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FARMERS &amp; MERCHANTS BANCORP,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6620" w:type="dxa"/>
            <w:vAlign w:val="bottom"/>
          </w:tcPr>
          <w:p>
            <w:pPr>
              <w:jc w:val="center"/>
              <w:ind w:right="3278"/>
              <w:spacing w:after="0"/>
              <w:rPr>
                <w:sz w:val="20"/>
                <w:szCs w:val="20"/>
                <w:color w:val="auto"/>
              </w:rPr>
            </w:pPr>
            <w:r>
              <w:rPr>
                <w:rFonts w:ascii="Arial" w:cs="Arial" w:eastAsia="Arial" w:hAnsi="Arial"/>
                <w:sz w:val="18"/>
                <w:szCs w:val="18"/>
                <w:b w:val="1"/>
                <w:bCs w:val="1"/>
                <w:color w:val="auto"/>
              </w:rPr>
              <w:t>OHIO</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6620" w:type="dxa"/>
            <w:vAlign w:val="bottom"/>
          </w:tcPr>
          <w:p>
            <w:pPr>
              <w:jc w:val="center"/>
              <w:ind w:right="32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620" w:type="dxa"/>
            <w:vAlign w:val="bottom"/>
          </w:tcPr>
          <w:p>
            <w:pPr>
              <w:jc w:val="center"/>
              <w:ind w:right="3258"/>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620" w:type="dxa"/>
            <w:vAlign w:val="bottom"/>
          </w:tcPr>
          <w:p>
            <w:pPr>
              <w:jc w:val="center"/>
              <w:ind w:right="3258"/>
              <w:spacing w:after="0"/>
              <w:rPr>
                <w:sz w:val="20"/>
                <w:szCs w:val="20"/>
                <w:color w:val="auto"/>
              </w:rPr>
            </w:pPr>
            <w:r>
              <w:rPr>
                <w:rFonts w:ascii="Arial" w:cs="Arial" w:eastAsia="Arial" w:hAnsi="Arial"/>
                <w:sz w:val="18"/>
                <w:szCs w:val="18"/>
                <w:b w:val="1"/>
                <w:bCs w:val="1"/>
                <w:color w:val="auto"/>
                <w:w w:val="91"/>
              </w:rPr>
              <w:t>307 North Defiance Street, Archbold, Ohio</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6620" w:type="dxa"/>
            <w:vAlign w:val="bottom"/>
          </w:tcPr>
          <w:p>
            <w:pPr>
              <w:jc w:val="center"/>
              <w:ind w:right="32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6620" w:type="dxa"/>
            <w:vAlign w:val="bottom"/>
          </w:tcPr>
          <w:p>
            <w:pPr>
              <w:jc w:val="right"/>
              <w:ind w:right="1518"/>
              <w:spacing w:after="0"/>
              <w:rPr>
                <w:sz w:val="20"/>
                <w:szCs w:val="20"/>
                <w:color w:val="auto"/>
              </w:rPr>
            </w:pPr>
            <w:r>
              <w:rPr>
                <w:rFonts w:ascii="Arial" w:cs="Arial" w:eastAsia="Arial" w:hAnsi="Arial"/>
                <w:sz w:val="18"/>
                <w:szCs w:val="18"/>
                <w:b w:val="1"/>
                <w:bCs w:val="1"/>
                <w:color w:val="auto"/>
              </w:rPr>
              <w:t>(419) 446-2501</w:t>
            </w:r>
          </w:p>
        </w:tc>
        <w:tc>
          <w:tcPr>
            <w:tcW w:w="1340" w:type="dxa"/>
            <w:vAlign w:val="bottom"/>
          </w:tcPr>
          <w:p>
            <w:pPr>
              <w:spacing w:after="0"/>
              <w:rPr>
                <w:sz w:val="24"/>
                <w:szCs w:val="24"/>
                <w:color w:val="auto"/>
              </w:rPr>
            </w:pPr>
          </w:p>
        </w:tc>
      </w:tr>
      <w:tr>
        <w:trPr>
          <w:trHeight w:val="234"/>
        </w:trPr>
        <w:tc>
          <w:tcPr>
            <w:tcW w:w="6620" w:type="dxa"/>
            <w:vAlign w:val="bottom"/>
          </w:tcPr>
          <w:p>
            <w:pPr>
              <w:jc w:val="center"/>
              <w:ind w:left="2198"/>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40" w:type="dxa"/>
            <w:vAlign w:val="bottom"/>
          </w:tcPr>
          <w:p>
            <w:pPr>
              <w:spacing w:after="0"/>
              <w:rPr>
                <w:sz w:val="20"/>
                <w:szCs w:val="20"/>
                <w:color w:val="auto"/>
              </w:rPr>
            </w:pPr>
          </w:p>
        </w:tc>
      </w:tr>
    </w:tbl>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both"/>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20" w:val="left"/>
          <w:tab w:leader="none" w:pos="9120" w:val="left"/>
        </w:tabs>
        <w:rPr>
          <w:sz w:val="20"/>
          <w:szCs w:val="20"/>
          <w:color w:val="auto"/>
        </w:rPr>
      </w:pPr>
      <w:r>
        <w:rPr>
          <w:rFonts w:ascii="Arial" w:cs="Arial" w:eastAsia="Arial" w:hAnsi="Arial"/>
          <w:sz w:val="17"/>
          <w:szCs w:val="17"/>
          <w:color w:val="auto"/>
        </w:rPr>
        <w:t>Indicated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7660" w:type="dxa"/>
            <w:vAlign w:val="bottom"/>
            <w:gridSpan w:val="3"/>
          </w:tcPr>
          <w:p>
            <w:pPr>
              <w:jc w:val="right"/>
              <w:ind w:right="2480"/>
              <w:spacing w:after="0"/>
              <w:rPr>
                <w:sz w:val="20"/>
                <w:szCs w:val="20"/>
                <w:color w:val="auto"/>
              </w:rPr>
            </w:pPr>
            <w:r>
              <w:rPr>
                <w:rFonts w:ascii="Arial" w:cs="Arial" w:eastAsia="Arial" w:hAnsi="Arial"/>
                <w:sz w:val="14"/>
                <w:szCs w:val="14"/>
                <w:color w:val="auto"/>
              </w:rPr>
              <w:t>9,265,980</w:t>
            </w:r>
          </w:p>
        </w:tc>
        <w:tc>
          <w:tcPr>
            <w:tcW w:w="0" w:type="dxa"/>
            <w:vAlign w:val="bottom"/>
          </w:tcPr>
          <w:p>
            <w:pPr>
              <w:spacing w:after="0"/>
              <w:rPr>
                <w:sz w:val="1"/>
                <w:szCs w:val="1"/>
                <w:color w:val="auto"/>
              </w:rPr>
            </w:pPr>
          </w:p>
        </w:tc>
      </w:tr>
      <w:tr>
        <w:trPr>
          <w:trHeight w:val="28"/>
        </w:trPr>
        <w:tc>
          <w:tcPr>
            <w:tcW w:w="20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600" w:type="dxa"/>
            <w:vAlign w:val="bottom"/>
            <w:vMerge w:val="restart"/>
          </w:tcPr>
          <w:p>
            <w:pPr>
              <w:ind w:left="3700"/>
              <w:spacing w:after="0"/>
              <w:rPr>
                <w:sz w:val="20"/>
                <w:szCs w:val="20"/>
                <w:color w:val="auto"/>
              </w:rPr>
            </w:pPr>
            <w:r>
              <w:rPr>
                <w:rFonts w:ascii="Arial" w:cs="Arial" w:eastAsia="Arial" w:hAnsi="Arial"/>
                <w:sz w:val="18"/>
                <w:szCs w:val="18"/>
                <w:color w:val="auto"/>
                <w:w w:val="90"/>
              </w:rPr>
              <w:t>Outstanding</w:t>
            </w:r>
          </w:p>
        </w:tc>
        <w:tc>
          <w:tcPr>
            <w:tcW w:w="58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4600" w:type="dxa"/>
            <w:vAlign w:val="bottom"/>
            <w:vMerge w:val="continue"/>
          </w:tcPr>
          <w:p>
            <w:pPr>
              <w:spacing w:after="0"/>
              <w:rPr>
                <w:sz w:val="19"/>
                <w:szCs w:val="19"/>
                <w:color w:val="auto"/>
              </w:rPr>
            </w:pPr>
          </w:p>
        </w:tc>
        <w:tc>
          <w:tcPr>
            <w:tcW w:w="3060" w:type="dxa"/>
            <w:vAlign w:val="bottom"/>
            <w:gridSpan w:val="2"/>
          </w:tcPr>
          <w:p>
            <w:pPr>
              <w:ind w:left="40"/>
              <w:spacing w:after="0"/>
              <w:rPr>
                <w:sz w:val="20"/>
                <w:szCs w:val="20"/>
                <w:color w:val="auto"/>
              </w:rPr>
            </w:pPr>
            <w:r>
              <w:rPr>
                <w:rFonts w:ascii="Arial" w:cs="Arial" w:eastAsia="Arial" w:hAnsi="Arial"/>
                <w:sz w:val="18"/>
                <w:szCs w:val="18"/>
                <w:color w:val="auto"/>
              </w:rPr>
              <w:t>as of April 25, 2018</w:t>
            </w:r>
          </w:p>
        </w:tc>
        <w:tc>
          <w:tcPr>
            <w:tcW w:w="0" w:type="dxa"/>
            <w:vAlign w:val="bottom"/>
          </w:tcPr>
          <w:p>
            <w:pPr>
              <w:spacing w:after="0"/>
              <w:rPr>
                <w:sz w:val="1"/>
                <w:szCs w:val="1"/>
                <w:color w:val="auto"/>
              </w:rPr>
            </w:pPr>
          </w:p>
        </w:tc>
      </w:tr>
      <w:tr>
        <w:trPr>
          <w:trHeight w:val="188"/>
        </w:trPr>
        <w:tc>
          <w:tcPr>
            <w:tcW w:w="2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181"/>
        </w:trPr>
        <w:tc>
          <w:tcPr>
            <w:tcW w:w="1080" w:type="dxa"/>
            <w:vAlign w:val="bottom"/>
            <w:gridSpan w:val="3"/>
          </w:tcPr>
          <w:p>
            <w:pPr>
              <w:spacing w:after="0"/>
              <w:rPr>
                <w:sz w:val="20"/>
                <w:szCs w:val="20"/>
                <w:color w:val="auto"/>
              </w:rPr>
            </w:pPr>
            <w:r>
              <w:rPr>
                <w:rFonts w:ascii="Arial" w:cs="Arial" w:eastAsia="Arial" w:hAnsi="Arial"/>
                <w:sz w:val="14"/>
                <w:szCs w:val="14"/>
                <w:color w:val="auto"/>
              </w:rPr>
              <w:t>Form 10-Q Items</w:t>
            </w:r>
          </w:p>
        </w:tc>
        <w:tc>
          <w:tcPr>
            <w:tcW w:w="8820" w:type="dxa"/>
            <w:vAlign w:val="bottom"/>
            <w:gridSpan w:val="18"/>
            <w:vMerge w:val="restart"/>
          </w:tcPr>
          <w:p>
            <w:pPr>
              <w:spacing w:after="0"/>
              <w:rPr>
                <w:sz w:val="20"/>
                <w:szCs w:val="20"/>
                <w:color w:val="auto"/>
              </w:rPr>
            </w:pPr>
            <w:r>
              <w:rPr>
                <w:rFonts w:ascii="Arial" w:cs="Arial" w:eastAsia="Arial" w:hAnsi="Arial"/>
                <w:sz w:val="18"/>
                <w:szCs w:val="18"/>
                <w:color w:val="auto"/>
              </w:rPr>
              <w:t>FINANCIAL INFORMATION</w:t>
            </w:r>
          </w:p>
        </w:tc>
        <w:tc>
          <w:tcPr>
            <w:tcW w:w="680" w:type="dxa"/>
            <w:vAlign w:val="bottom"/>
          </w:tcPr>
          <w:p>
            <w:pPr>
              <w:ind w:left="34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224"/>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PART I.</w:t>
            </w:r>
          </w:p>
        </w:tc>
        <w:tc>
          <w:tcPr>
            <w:tcW w:w="80" w:type="dxa"/>
            <w:vAlign w:val="bottom"/>
          </w:tcPr>
          <w:p>
            <w:pPr>
              <w:spacing w:after="0"/>
              <w:rPr>
                <w:sz w:val="19"/>
                <w:szCs w:val="19"/>
                <w:color w:val="auto"/>
              </w:rPr>
            </w:pPr>
          </w:p>
        </w:tc>
        <w:tc>
          <w:tcPr>
            <w:tcW w:w="8820" w:type="dxa"/>
            <w:vAlign w:val="bottom"/>
            <w:gridSpan w:val="18"/>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400" w:type="dxa"/>
            <w:vAlign w:val="bottom"/>
            <w:gridSpan w:val="8"/>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March 31, 2018 and December 31, 2017</w:t>
              </w:r>
            </w:hyperlink>
          </w:p>
        </w:tc>
        <w:tc>
          <w:tcPr>
            <w:tcW w:w="2780" w:type="dxa"/>
            <w:vAlign w:val="bottom"/>
            <w:gridSpan w:val="4"/>
          </w:tcPr>
          <w:p>
            <w:pPr>
              <w:spacing w:after="0"/>
              <w:rPr>
                <w:sz w:val="24"/>
                <w:szCs w:val="24"/>
                <w:color w:val="auto"/>
              </w:rPr>
            </w:pPr>
          </w:p>
        </w:tc>
        <w:tc>
          <w:tcPr>
            <w:tcW w:w="680" w:type="dxa"/>
            <w:vAlign w:val="bottom"/>
          </w:tcPr>
          <w:p>
            <w:pPr>
              <w:jc w:val="center"/>
              <w:ind w:left="19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Income &amp; Comprehensive Income - Three Months Ended March 31, 2018 and</w:t>
              </w:r>
            </w:hyperlink>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2017</w:t>
              </w:r>
            </w:hyperlink>
          </w:p>
        </w:tc>
        <w:tc>
          <w:tcPr>
            <w:tcW w:w="7500" w:type="dxa"/>
            <w:vAlign w:val="bottom"/>
            <w:gridSpan w:val="13"/>
          </w:tcPr>
          <w:p>
            <w:pPr>
              <w:spacing w:after="0"/>
              <w:rPr>
                <w:sz w:val="17"/>
                <w:szCs w:val="17"/>
                <w:color w:val="auto"/>
              </w:rPr>
            </w:pPr>
          </w:p>
        </w:tc>
        <w:tc>
          <w:tcPr>
            <w:tcW w:w="680" w:type="dxa"/>
            <w:vAlign w:val="bottom"/>
          </w:tcPr>
          <w:p>
            <w:pPr>
              <w:jc w:val="center"/>
              <w:ind w:left="191"/>
              <w:spacing w:after="0" w:line="196" w:lineRule="exact"/>
              <w:rPr>
                <w:sz w:val="20"/>
                <w:szCs w:val="20"/>
                <w:color w:val="auto"/>
              </w:rPr>
            </w:pPr>
            <w:r>
              <w:rPr>
                <w:rFonts w:ascii="Arial" w:cs="Arial" w:eastAsia="Arial" w:hAnsi="Arial"/>
                <w:sz w:val="18"/>
                <w:szCs w:val="18"/>
                <w:color w:val="auto"/>
                <w:w w:val="92"/>
              </w:rPr>
              <w:t>4-5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Cash Flows - Three Months Ended March 31, 2018 and March 31, 2017</w:t>
              </w:r>
            </w:hyperlink>
          </w:p>
        </w:tc>
        <w:tc>
          <w:tcPr>
            <w:tcW w:w="680" w:type="dxa"/>
            <w:vAlign w:val="bottom"/>
          </w:tcPr>
          <w:p>
            <w:pPr>
              <w:jc w:val="center"/>
              <w:ind w:left="191"/>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6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60" w:type="dxa"/>
            <w:vAlign w:val="bottom"/>
            <w:gridSpan w:val="2"/>
          </w:tcPr>
          <w:p>
            <w:pPr>
              <w:spacing w:after="0"/>
              <w:rPr>
                <w:sz w:val="24"/>
                <w:szCs w:val="24"/>
                <w:color w:val="auto"/>
              </w:rPr>
            </w:pPr>
          </w:p>
        </w:tc>
        <w:tc>
          <w:tcPr>
            <w:tcW w:w="680" w:type="dxa"/>
            <w:vAlign w:val="bottom"/>
          </w:tcPr>
          <w:p>
            <w:pPr>
              <w:jc w:val="center"/>
              <w:ind w:left="191"/>
              <w:spacing w:after="0"/>
              <w:rPr>
                <w:sz w:val="20"/>
                <w:szCs w:val="20"/>
                <w:color w:val="auto"/>
              </w:rPr>
            </w:pPr>
            <w:r>
              <w:rPr>
                <w:rFonts w:ascii="Arial" w:cs="Arial" w:eastAsia="Arial" w:hAnsi="Arial"/>
                <w:sz w:val="18"/>
                <w:szCs w:val="18"/>
                <w:color w:val="auto"/>
                <w:w w:val="88"/>
              </w:rPr>
              <w:t>7-33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360" w:type="dxa"/>
            <w:vAlign w:val="bottom"/>
            <w:gridSpan w:val="3"/>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91"/>
              </w:rPr>
              <w:t>34-47</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Qualitative and Quantitative Disclosures About Market Risk</w:t>
              </w:r>
            </w:hyperlink>
          </w:p>
        </w:tc>
        <w:tc>
          <w:tcPr>
            <w:tcW w:w="4460" w:type="dxa"/>
            <w:vAlign w:val="bottom"/>
            <w:gridSpan w:val="5"/>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OTHER INFORMATION</w:t>
              </w:r>
            </w:hyperlink>
          </w:p>
        </w:tc>
        <w:tc>
          <w:tcPr>
            <w:tcW w:w="69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500" w:type="dxa"/>
            <w:vAlign w:val="bottom"/>
            <w:gridSpan w:val="13"/>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4480" w:type="dxa"/>
            <w:vAlign w:val="bottom"/>
            <w:gridSpan w:val="6"/>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060" w:type="dxa"/>
            <w:vAlign w:val="bottom"/>
            <w:gridSpan w:val="12"/>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7520" w:type="dxa"/>
            <w:vAlign w:val="bottom"/>
            <w:gridSpan w:val="14"/>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Signatures</w:t>
              </w:r>
            </w:hyperlink>
          </w:p>
        </w:tc>
        <w:tc>
          <w:tcPr>
            <w:tcW w:w="32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center"/>
              <w:ind w:left="171"/>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Exhibit 31.</w:t>
            </w:r>
          </w:p>
        </w:tc>
        <w:tc>
          <w:tcPr>
            <w:tcW w:w="882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Certifications Under Section 302</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3"/>
          </w:tcPr>
          <w:p>
            <w:pPr>
              <w:spacing w:after="0" w:line="20" w:lineRule="exact"/>
              <w:rPr>
                <w:sz w:val="1"/>
                <w:szCs w:val="1"/>
                <w:color w:val="auto"/>
              </w:rPr>
            </w:pPr>
          </w:p>
        </w:tc>
        <w:tc>
          <w:tcPr>
            <w:tcW w:w="2360" w:type="dxa"/>
            <w:vAlign w:val="bottom"/>
            <w:gridSpan w:val="9"/>
            <w:shd w:val="clear" w:color="auto" w:fill="0000EE"/>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3"/>
          </w:tcPr>
          <w:p>
            <w:pPr>
              <w:spacing w:after="0"/>
              <w:rPr>
                <w:sz w:val="20"/>
                <w:szCs w:val="20"/>
                <w:color w:val="auto"/>
              </w:rPr>
            </w:pPr>
            <w:r>
              <w:rPr>
                <w:rFonts w:ascii="Arial" w:cs="Arial" w:eastAsia="Arial" w:hAnsi="Arial"/>
                <w:sz w:val="18"/>
                <w:szCs w:val="18"/>
                <w:color w:val="auto"/>
              </w:rPr>
              <w:t>Exhibit 32.</w:t>
            </w:r>
          </w:p>
        </w:tc>
        <w:tc>
          <w:tcPr>
            <w:tcW w:w="882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Certifications Under Section 906</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w w:val="99"/>
              </w:rPr>
              <w:t>XBRL Instance Document (1)</w:t>
            </w:r>
          </w:p>
        </w:tc>
        <w:tc>
          <w:tcPr>
            <w:tcW w:w="646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820" w:type="dxa"/>
            <w:vAlign w:val="bottom"/>
            <w:gridSpan w:val="18"/>
          </w:tcPr>
          <w:p>
            <w:pPr>
              <w:spacing w:after="0"/>
              <w:rPr>
                <w:sz w:val="20"/>
                <w:szCs w:val="20"/>
                <w:color w:val="auto"/>
              </w:rPr>
            </w:pPr>
            <w:r>
              <w:rPr>
                <w:rFonts w:ascii="Arial" w:cs="Arial" w:eastAsia="Arial" w:hAnsi="Arial"/>
                <w:sz w:val="18"/>
                <w:szCs w:val="18"/>
                <w:color w:val="auto"/>
              </w:rPr>
              <w:t>XBRL Taxonomy Extension Scheme Document (1)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8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82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8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 (1)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8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80" w:hanging="567"/>
        <w:spacing w:after="0" w:line="31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gridSpan w:val="3"/>
          </w:tcPr>
          <w:p>
            <w:pPr>
              <w:spacing w:after="0"/>
              <w:rPr>
                <w:sz w:val="20"/>
                <w:szCs w:val="20"/>
                <w:color w:val="auto"/>
              </w:rPr>
            </w:pPr>
            <w:r>
              <w:rPr>
                <w:rFonts w:ascii="Arial" w:cs="Arial" w:eastAsia="Arial" w:hAnsi="Arial"/>
                <w:sz w:val="18"/>
                <w:szCs w:val="18"/>
                <w:color w:val="auto"/>
              </w:rPr>
              <w:t>FARMERS &amp; MERCHANTS BANCORP, INC.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right"/>
              <w:ind w:right="700"/>
              <w:spacing w:after="0"/>
              <w:rPr>
                <w:sz w:val="20"/>
                <w:szCs w:val="20"/>
                <w:color w:val="auto"/>
              </w:rPr>
            </w:pPr>
            <w:r>
              <w:rPr>
                <w:rFonts w:ascii="Arial" w:cs="Arial" w:eastAsia="Arial" w:hAnsi="Arial"/>
                <w:sz w:val="14"/>
                <w:szCs w:val="14"/>
                <w:color w:val="auto"/>
              </w:rPr>
              <w:t>(in thousands of dollars)</w:t>
            </w: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March 31, 2018</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2017</w:t>
            </w: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w w:val="92"/>
              </w:rPr>
              <w:t>(Unaudited)</w:t>
            </w:r>
          </w:p>
        </w:tc>
        <w:tc>
          <w:tcPr>
            <w:tcW w:w="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Cash and due from banks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39,349</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33,480</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34,467</w:t>
            </w:r>
          </w:p>
        </w:tc>
        <w:tc>
          <w:tcPr>
            <w:tcW w:w="100" w:type="dxa"/>
            <w:vAlign w:val="bottom"/>
          </w:tcPr>
          <w:p>
            <w:pPr>
              <w:spacing w:after="0"/>
              <w:rPr>
                <w:sz w:val="19"/>
                <w:szCs w:val="19"/>
                <w:color w:val="auto"/>
              </w:rPr>
            </w:pPr>
          </w:p>
        </w:tc>
      </w:tr>
      <w:tr>
        <w:trPr>
          <w:trHeight w:val="107"/>
        </w:trPr>
        <w:tc>
          <w:tcPr>
            <w:tcW w:w="20" w:type="dxa"/>
            <w:vAlign w:val="bottom"/>
          </w:tcPr>
          <w:p>
            <w:pPr>
              <w:spacing w:after="0"/>
              <w:rPr>
                <w:sz w:val="9"/>
                <w:szCs w:val="9"/>
                <w:color w:val="auto"/>
              </w:rPr>
            </w:pPr>
          </w:p>
        </w:tc>
        <w:tc>
          <w:tcPr>
            <w:tcW w:w="87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Securities - available-for-sale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192,859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196,398</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securities,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827,937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816,156</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21,980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21,726</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Mortgage servicing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real estate owned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14,604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14,523</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1,123,742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Noninterest-bearing</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193,665</w:t>
            </w:r>
          </w:p>
        </w:tc>
        <w:tc>
          <w:tcPr>
            <w:tcW w:w="26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199,114</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Interest-bearing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NOW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327,433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298,711</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Savings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245,895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233,949</w:t>
            </w: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953,338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919,340</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23,307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39,495</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(FHLB) advances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7,844</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80" w:type="dxa"/>
            <w:vAlign w:val="bottom"/>
          </w:tcPr>
          <w:p>
            <w:pPr>
              <w:ind w:left="7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988,865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972,872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87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 No par value 20,000,000 shares authorized; issued and outstanding 10,400,000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xml:space="preserve">3/31/18 and 12/31/17 </w:t>
            </w:r>
            <w:r>
              <w:rPr>
                <w:rFonts w:ascii="Arial" w:cs="Arial" w:eastAsia="Arial" w:hAnsi="Arial"/>
                <w:sz w:val="15"/>
                <w:szCs w:val="15"/>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11,546</w:t>
            </w: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 xml:space="preserve">Treasury stock - 1,134,020 shares 3/31/18, 1,134,120 shares 12/31/17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(12,158)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(12,160)</w:t>
            </w: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136,577</w:t>
            </w: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(4,138)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(1,826)</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134,137</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1,123,742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260" w:hanging="452"/>
        <w:spacing w:after="0" w:line="563" w:lineRule="auto"/>
        <w:tabs>
          <w:tab w:leader="none" w:pos="233" w:val="left"/>
        </w:tabs>
        <w:numPr>
          <w:ilvl w:val="0"/>
          <w:numId w:val="4"/>
        </w:numPr>
        <w:rPr>
          <w:rFonts w:ascii="Arial" w:cs="Arial" w:eastAsia="Arial" w:hAnsi="Arial"/>
          <w:sz w:val="14"/>
          <w:szCs w:val="14"/>
          <w:color w:val="auto"/>
        </w:rPr>
      </w:pPr>
      <w:r>
        <w:rPr>
          <w:rFonts w:ascii="Arial" w:cs="Arial" w:eastAsia="Arial" w:hAnsi="Arial"/>
          <w:sz w:val="16"/>
          <w:szCs w:val="16"/>
          <w:color w:val="auto"/>
        </w:rPr>
        <w:t>Share data has been adjusted to reflect a 2-for-1 stock split on September 20, 2017 See Notes to Condensed Consolidated Unaudited Financial Statements.</w:t>
      </w:r>
    </w:p>
    <w:p>
      <w:pPr>
        <w:spacing w:after="0" w:line="1" w:lineRule="exact"/>
        <w:rPr>
          <w:sz w:val="20"/>
          <w:szCs w:val="20"/>
          <w:color w:val="auto"/>
        </w:rPr>
      </w:pPr>
    </w:p>
    <w:p>
      <w:pPr>
        <w:jc w:val="center"/>
        <w:ind w:left="540" w:right="160"/>
        <w:spacing w:after="0" w:line="449" w:lineRule="auto"/>
        <w:rPr>
          <w:sz w:val="20"/>
          <w:szCs w:val="20"/>
          <w:color w:val="auto"/>
        </w:rPr>
      </w:pPr>
      <w:r>
        <w:rPr>
          <w:rFonts w:ascii="Arial" w:cs="Arial" w:eastAsia="Arial" w:hAnsi="Arial"/>
          <w:sz w:val="18"/>
          <w:szCs w:val="18"/>
          <w:color w:val="auto"/>
        </w:rPr>
        <w:t>Note: The December 31, 2017, Condensed Consolidated Balance Sheet has been derived from the audited Consolidated Balance Sheet as of that date. 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jc w:val="center"/>
        <w:ind w:left="8620"/>
        <w:spacing w:after="0"/>
        <w:rPr>
          <w:sz w:val="20"/>
          <w:szCs w:val="20"/>
          <w:color w:val="auto"/>
        </w:rPr>
      </w:pPr>
      <w:r>
        <w:rPr>
          <w:rFonts w:ascii="Arial" w:cs="Arial" w:eastAsia="Arial" w:hAnsi="Arial"/>
          <w:sz w:val="13"/>
          <w:szCs w:val="13"/>
          <w:color w:val="auto"/>
        </w:rPr>
        <w:t>(in thousands of dollars, except per share data)</w:t>
      </w:r>
    </w:p>
    <w:p>
      <w:pPr>
        <w:spacing w:after="0" w:line="11"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w w:val="96"/>
              </w:rPr>
              <w:t>March 31, 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w w:val="96"/>
              </w:rPr>
              <w:t>March 31,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06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interest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106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b w:val="1"/>
                <w:bCs w:val="1"/>
                <w:color w:val="auto"/>
              </w:rPr>
              <w:t>For Loan Losses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Customer service fees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 charges and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Net gain on sale of loans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available-for-sale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1060"/>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Salaries and wages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benefits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Net occupancy expense</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Data processing</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ATM expense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Franchise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Net loss on sale of other assets owned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FDIC assessment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106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Net Income Per Share </w:t>
            </w:r>
            <w:r>
              <w:rPr>
                <w:rFonts w:ascii="Arial" w:cs="Arial" w:eastAsia="Arial" w:hAnsi="Arial"/>
                <w:sz w:val="15"/>
                <w:szCs w:val="15"/>
                <w:b w:val="1"/>
                <w:bCs w:val="1"/>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Dividends Declared </w:t>
            </w:r>
            <w:r>
              <w:rPr>
                <w:rFonts w:ascii="Arial" w:cs="Arial" w:eastAsia="Arial" w:hAnsi="Arial"/>
                <w:sz w:val="15"/>
                <w:szCs w:val="15"/>
                <w:b w:val="1"/>
                <w:b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140"/>
        <w:spacing w:after="0" w:line="264"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center"/>
              <w:ind w:left="134"/>
              <w:spacing w:after="0"/>
              <w:rPr>
                <w:sz w:val="20"/>
                <w:szCs w:val="20"/>
                <w:color w:val="auto"/>
              </w:rPr>
            </w:pPr>
            <w:r>
              <w:rPr>
                <w:rFonts w:ascii="Arial" w:cs="Arial" w:eastAsia="Arial" w:hAnsi="Arial"/>
                <w:sz w:val="14"/>
                <w:szCs w:val="14"/>
                <w:color w:val="auto"/>
                <w:w w:val="93"/>
              </w:rPr>
              <w:t>(in thousands of dollars)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4"/>
          </w:tcPr>
          <w:p>
            <w:pPr>
              <w:jc w:val="center"/>
              <w:ind w:left="154"/>
              <w:spacing w:after="0" w:line="149" w:lineRule="exact"/>
              <w:rPr>
                <w:sz w:val="20"/>
                <w:szCs w:val="20"/>
                <w:color w:val="auto"/>
              </w:rPr>
            </w:pPr>
            <w:r>
              <w:rPr>
                <w:rFonts w:ascii="Arial" w:cs="Arial" w:eastAsia="Arial" w:hAnsi="Arial"/>
                <w:sz w:val="14"/>
                <w:szCs w:val="14"/>
                <w:color w:val="auto"/>
                <w:w w:val="93"/>
              </w:rPr>
              <w:t>Three Months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878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color w:val="auto"/>
              </w:rPr>
              <w:t>March 31, 2018</w:t>
            </w:r>
          </w:p>
        </w:tc>
        <w:tc>
          <w:tcPr>
            <w:tcW w:w="1020" w:type="dxa"/>
            <w:vAlign w:val="bottom"/>
            <w:gridSpan w:val="3"/>
          </w:tcPr>
          <w:p>
            <w:pPr>
              <w:spacing w:after="0"/>
              <w:rPr>
                <w:sz w:val="20"/>
                <w:szCs w:val="20"/>
                <w:color w:val="auto"/>
              </w:rPr>
            </w:pPr>
            <w:r>
              <w:rPr>
                <w:rFonts w:ascii="Arial" w:cs="Arial" w:eastAsia="Arial" w:hAnsi="Arial"/>
                <w:sz w:val="14"/>
                <w:szCs w:val="14"/>
                <w:color w:val="auto"/>
              </w:rPr>
              <w:t>March 31, 2017</w:t>
            </w:r>
          </w:p>
        </w:tc>
      </w:tr>
      <w:tr>
        <w:trPr>
          <w:trHeight w:val="210"/>
        </w:trPr>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 on available-for-sale securities</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(2,471)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Reclassification adjustment for gain on sale of available-for-sale securities</w:t>
            </w:r>
          </w:p>
        </w:tc>
        <w:tc>
          <w:tcPr>
            <w:tcW w:w="2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7"/>
        </w:trPr>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 on available-for-sale securities</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(2,471)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Tax expense (benefit)</w:t>
            </w:r>
          </w:p>
        </w:tc>
        <w:tc>
          <w:tcPr>
            <w:tcW w:w="26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(519)</w:t>
            </w: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7"/>
        </w:trPr>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(1,952)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color w:val="auto"/>
                <w:w w:val="93"/>
              </w:rPr>
              <w:t>(in thousands of dollars)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ind w:left="291"/>
              <w:spacing w:after="0" w:line="149" w:lineRule="exact"/>
              <w:rPr>
                <w:sz w:val="20"/>
                <w:szCs w:val="20"/>
                <w:color w:val="auto"/>
              </w:rPr>
            </w:pPr>
            <w:r>
              <w:rPr>
                <w:rFonts w:ascii="Arial" w:cs="Arial" w:eastAsia="Arial" w:hAnsi="Arial"/>
                <w:sz w:val="14"/>
                <w:szCs w:val="14"/>
                <w:color w:val="auto"/>
                <w:w w:val="93"/>
              </w:rPr>
              <w:t>Three Months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March 31, 2018</w:t>
            </w:r>
          </w:p>
        </w:tc>
        <w:tc>
          <w:tcPr>
            <w:tcW w:w="1020" w:type="dxa"/>
            <w:vAlign w:val="bottom"/>
            <w:gridSpan w:val="3"/>
          </w:tcPr>
          <w:p>
            <w:pPr>
              <w:spacing w:after="0"/>
              <w:rPr>
                <w:sz w:val="20"/>
                <w:szCs w:val="20"/>
                <w:color w:val="auto"/>
              </w:rPr>
            </w:pPr>
            <w:r>
              <w:rPr>
                <w:rFonts w:ascii="Arial" w:cs="Arial" w:eastAsia="Arial" w:hAnsi="Arial"/>
                <w:sz w:val="14"/>
                <w:szCs w:val="14"/>
                <w:color w:val="auto"/>
              </w:rPr>
              <w:t>March 31,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3,767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448</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on available-for-sale securities, net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loans held for sale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2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(11,626)</w:t>
            </w: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loans held for sale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9,971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Loss on sale of other assets owned</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Gain on sales of securities available-for-sale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Change in other assets and other liabilities, net</w:t>
            </w:r>
          </w:p>
        </w:tc>
        <w:tc>
          <w:tcPr>
            <w:tcW w:w="2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(3,496)</w:t>
            </w: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Activity in available-for-sale securities: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2,094</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other assets owned</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2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premises and equipment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(10,166)</w:t>
            </w: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(10,185)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deposits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33,998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2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(16,188)</w:t>
            </w: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16,617</w:t>
            </w:r>
          </w:p>
        </w:tc>
        <w:tc>
          <w:tcPr>
            <w:tcW w:w="6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5,441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34,467</w:t>
            </w:r>
          </w:p>
        </w:tc>
        <w:tc>
          <w:tcPr>
            <w:tcW w:w="6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39,908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39,894</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1,479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to other real estate owned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w:t>
      </w:r>
    </w:p>
    <w:p>
      <w:pPr>
        <w:spacing w:after="0" w:line="117"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6"/>
          <w:szCs w:val="16"/>
          <w:color w:val="auto"/>
        </w:rPr>
        <w:t>BASIS OF PRESENTATION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Share data has been adjusted to reflect a 2-for-1 stock split on September 20, 2017. Operating results for the three months ended March 31, 2018 are not necessarily indicative of the results that are expected for the year ended December 31, 2018. The condensed consolidated balance sheet of the Company as of December 31, 2017,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2017.</w:t>
      </w:r>
    </w:p>
    <w:p>
      <w:pPr>
        <w:spacing w:after="0" w:line="166"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6"/>
          <w:szCs w:val="16"/>
          <w:color w:val="auto"/>
        </w:rPr>
        <w:t>ASSET PURCHASES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amortization expense for the year ended December 31, 2017 was $245 thousand, which included the remaining $78 thousand from the purchase of the Hicksville office on July 9, 2010. Of the $167 thousand to be expensed in 2018, $42 thousand has been expensed for the three months ended March 31, 2018.</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82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color w:val="auto"/>
                <w:w w:val="91"/>
              </w:rPr>
              <w:t>(In Thousands)</w:t>
            </w:r>
          </w:p>
        </w:tc>
      </w:tr>
      <w:tr>
        <w:trPr>
          <w:trHeight w:val="142"/>
        </w:trPr>
        <w:tc>
          <w:tcPr>
            <w:tcW w:w="6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Custar</w:t>
            </w:r>
          </w:p>
        </w:tc>
        <w:tc>
          <w:tcPr>
            <w:tcW w:w="6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jc w:val="right"/>
              <w:ind w:right="6370"/>
              <w:spacing w:after="0"/>
              <w:rPr>
                <w:sz w:val="20"/>
                <w:szCs w:val="20"/>
                <w:color w:val="auto"/>
              </w:rPr>
            </w:pPr>
            <w:r>
              <w:rPr>
                <w:rFonts w:ascii="Arial" w:cs="Arial" w:eastAsia="Arial" w:hAnsi="Arial"/>
                <w:sz w:val="18"/>
                <w:szCs w:val="18"/>
                <w:color w:val="auto"/>
                <w:w w:val="84"/>
              </w:rPr>
              <w:t>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jc w:val="right"/>
              <w:ind w:right="6370"/>
              <w:spacing w:after="0"/>
              <w:rPr>
                <w:sz w:val="20"/>
                <w:szCs w:val="20"/>
                <w:color w:val="auto"/>
              </w:rPr>
            </w:pPr>
            <w:r>
              <w:rPr>
                <w:rFonts w:ascii="Arial" w:cs="Arial" w:eastAsia="Arial" w:hAnsi="Arial"/>
                <w:sz w:val="18"/>
                <w:szCs w:val="18"/>
                <w:color w:val="auto"/>
                <w:w w:val="84"/>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jc w:val="right"/>
              <w:ind w:right="6370"/>
              <w:spacing w:after="0"/>
              <w:rPr>
                <w:sz w:val="20"/>
                <w:szCs w:val="20"/>
                <w:color w:val="auto"/>
              </w:rPr>
            </w:pPr>
            <w:r>
              <w:rPr>
                <w:rFonts w:ascii="Arial" w:cs="Arial" w:eastAsia="Arial" w:hAnsi="Arial"/>
                <w:sz w:val="18"/>
                <w:szCs w:val="18"/>
                <w:color w:val="auto"/>
                <w:w w:val="84"/>
              </w:rPr>
              <w:t>2020</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6"/>
          <w:szCs w:val="16"/>
          <w:color w:val="auto"/>
        </w:rPr>
        <w:t>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March 31, 2018 and December 31, 2017,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ind w:left="300"/>
              <w:spacing w:after="0" w:line="142" w:lineRule="exact"/>
              <w:rPr>
                <w:sz w:val="20"/>
                <w:szCs w:val="20"/>
                <w:color w:val="auto"/>
              </w:rPr>
            </w:pPr>
            <w:r>
              <w:rPr>
                <w:rFonts w:ascii="Arial" w:cs="Arial" w:eastAsia="Arial" w:hAnsi="Arial"/>
                <w:sz w:val="14"/>
                <w:szCs w:val="14"/>
                <w:color w:val="auto"/>
              </w:rPr>
              <w:t>March 31, 2018</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0"/>
                <w:szCs w:val="10"/>
                <w:color w:val="auto"/>
              </w:rPr>
            </w:pPr>
          </w:p>
        </w:tc>
        <w:tc>
          <w:tcPr>
            <w:tcW w:w="104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44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Amortized</w:t>
            </w: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90"/>
              </w:rPr>
              <w:t>Losses</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Fair Value</w:t>
            </w: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21,193</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20,839</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82,184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79,493</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38,283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36,862</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56,436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55,665</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198,096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6"/>
              </w:rPr>
              <w:t>387</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(5,624</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192,859</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ind w:left="200"/>
              <w:spacing w:after="0" w:line="142" w:lineRule="exact"/>
              <w:rPr>
                <w:sz w:val="20"/>
                <w:szCs w:val="20"/>
                <w:color w:val="auto"/>
              </w:rPr>
            </w:pPr>
            <w:r>
              <w:rPr>
                <w:rFonts w:ascii="Arial" w:cs="Arial" w:eastAsia="Arial" w:hAnsi="Arial"/>
                <w:sz w:val="14"/>
                <w:szCs w:val="14"/>
                <w:color w:val="auto"/>
              </w:rPr>
              <w:t>December 31, 2017</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0"/>
                <w:szCs w:val="10"/>
                <w:color w:val="auto"/>
              </w:rPr>
            </w:pPr>
          </w:p>
        </w:tc>
        <w:tc>
          <w:tcPr>
            <w:tcW w:w="104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44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Amortized</w:t>
            </w: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90"/>
              </w:rPr>
              <w:t>Losses</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Fair Value</w:t>
            </w: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21,219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20,978</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82,198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80,466</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40,236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39,510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55,512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55,444</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199,165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6"/>
              </w:rPr>
              <w:t>501</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(3,268</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196,398</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5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downgrade has occurred that lowered the credit rating to below investment grade (below Baa3 by Moody and BBB – by Standard and Poors.)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62"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6"/>
          <w:szCs w:val="16"/>
          <w:color w:val="auto"/>
        </w:rPr>
        <w:t>SECURITIES (Continued)</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2018 and December 31, 2017,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20"/>
              <w:spacing w:after="0"/>
              <w:rPr>
                <w:sz w:val="20"/>
                <w:szCs w:val="20"/>
                <w:color w:val="auto"/>
              </w:rPr>
            </w:pPr>
            <w:r>
              <w:rPr>
                <w:rFonts w:ascii="Arial" w:cs="Arial" w:eastAsia="Arial" w:hAnsi="Arial"/>
                <w:sz w:val="14"/>
                <w:szCs w:val="14"/>
                <w:color w:val="auto"/>
                <w:w w:val="93"/>
              </w:rPr>
              <w:t>(In Thousands)</w:t>
            </w: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center"/>
              <w:ind w:left="220"/>
              <w:spacing w:after="0" w:line="142" w:lineRule="exact"/>
              <w:rPr>
                <w:sz w:val="20"/>
                <w:szCs w:val="20"/>
                <w:color w:val="auto"/>
              </w:rPr>
            </w:pPr>
            <w:r>
              <w:rPr>
                <w:rFonts w:ascii="Arial" w:cs="Arial" w:eastAsia="Arial" w:hAnsi="Arial"/>
                <w:sz w:val="14"/>
                <w:szCs w:val="14"/>
                <w:color w:val="auto"/>
                <w:w w:val="94"/>
              </w:rPr>
              <w:t>March 31, 2018</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6"/>
          </w:tcPr>
          <w:p>
            <w:pPr>
              <w:ind w:left="140"/>
              <w:spacing w:after="0" w:line="142" w:lineRule="exact"/>
              <w:rPr>
                <w:sz w:val="20"/>
                <w:szCs w:val="20"/>
                <w:color w:val="auto"/>
              </w:rPr>
            </w:pPr>
            <w:r>
              <w:rPr>
                <w:rFonts w:ascii="Arial" w:cs="Arial" w:eastAsia="Arial" w:hAnsi="Arial"/>
                <w:sz w:val="14"/>
                <w:szCs w:val="14"/>
                <w:color w:val="auto"/>
              </w:rPr>
              <w:t>Less Than Twelve Months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tcPr>
          <w:p>
            <w:pPr>
              <w:jc w:val="right"/>
              <w:ind w:right="395"/>
              <w:spacing w:after="0" w:line="142"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40"/>
              <w:spacing w:after="0" w:line="123" w:lineRule="exact"/>
              <w:rPr>
                <w:sz w:val="20"/>
                <w:szCs w:val="20"/>
                <w:color w:val="auto"/>
              </w:rPr>
            </w:pPr>
            <w:r>
              <w:rPr>
                <w:rFonts w:ascii="Arial" w:cs="Arial" w:eastAsia="Arial" w:hAnsi="Arial"/>
                <w:sz w:val="14"/>
                <w:szCs w:val="14"/>
                <w:color w:val="auto"/>
                <w:w w:val="99"/>
              </w:rPr>
              <w:t>Fair</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9"/>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940"/>
              <w:spacing w:after="0"/>
              <w:rPr>
                <w:sz w:val="20"/>
                <w:szCs w:val="20"/>
                <w:color w:val="auto"/>
              </w:rPr>
            </w:pPr>
            <w:r>
              <w:rPr>
                <w:rFonts w:ascii="Arial" w:cs="Arial" w:eastAsia="Arial" w:hAnsi="Arial"/>
                <w:sz w:val="14"/>
                <w:szCs w:val="14"/>
                <w:color w:val="auto"/>
                <w:w w:val="94"/>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5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(619)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27,015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32,785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75,654</w:t>
            </w:r>
          </w:p>
        </w:tc>
        <w:tc>
          <w:tcPr>
            <w:tcW w:w="28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104,129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left="260"/>
              <w:spacing w:after="0"/>
              <w:rPr>
                <w:sz w:val="20"/>
                <w:szCs w:val="20"/>
                <w:color w:val="auto"/>
              </w:rPr>
            </w:pPr>
            <w:r>
              <w:rPr>
                <w:rFonts w:ascii="Arial" w:cs="Arial" w:eastAsia="Arial" w:hAnsi="Arial"/>
                <w:sz w:val="14"/>
                <w:szCs w:val="14"/>
                <w:color w:val="auto"/>
                <w:w w:val="93"/>
              </w:rPr>
              <w:t>(In Thousands)</w:t>
            </w: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6"/>
          </w:tcPr>
          <w:p>
            <w:pPr>
              <w:jc w:val="center"/>
              <w:ind w:right="1040"/>
              <w:spacing w:after="0" w:line="142" w:lineRule="exact"/>
              <w:rPr>
                <w:sz w:val="20"/>
                <w:szCs w:val="20"/>
                <w:color w:val="auto"/>
              </w:rPr>
            </w:pPr>
            <w:r>
              <w:rPr>
                <w:rFonts w:ascii="Arial" w:cs="Arial" w:eastAsia="Arial" w:hAnsi="Arial"/>
                <w:sz w:val="14"/>
                <w:szCs w:val="14"/>
                <w:color w:val="auto"/>
                <w:w w:val="91"/>
              </w:rPr>
              <w:t>December 31, 2017</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Less Than Twelve Months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tcPr>
          <w:p>
            <w:pPr>
              <w:jc w:val="right"/>
              <w:ind w:right="395"/>
              <w:spacing w:after="0" w:line="142"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0"/>
              <w:spacing w:after="0" w:line="123" w:lineRule="exact"/>
              <w:rPr>
                <w:sz w:val="20"/>
                <w:szCs w:val="20"/>
                <w:color w:val="auto"/>
              </w:rPr>
            </w:pPr>
            <w:r>
              <w:rPr>
                <w:rFonts w:ascii="Arial" w:cs="Arial" w:eastAsia="Arial" w:hAnsi="Arial"/>
                <w:sz w:val="14"/>
                <w:szCs w:val="14"/>
                <w:color w:val="auto"/>
                <w:w w:val="91"/>
              </w:rPr>
              <w:t>Fair</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9"/>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Value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940"/>
              <w:spacing w:after="0"/>
              <w:rPr>
                <w:sz w:val="20"/>
                <w:szCs w:val="20"/>
                <w:color w:val="auto"/>
              </w:rPr>
            </w:pPr>
            <w:r>
              <w:rPr>
                <w:rFonts w:ascii="Arial" w:cs="Arial" w:eastAsia="Arial" w:hAnsi="Arial"/>
                <w:sz w:val="14"/>
                <w:szCs w:val="14"/>
                <w:color w:val="auto"/>
                <w:w w:val="94"/>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5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27,328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24,999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66,400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106,840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Below are the gross realized gains and losses for the three months ended March 31.</w:t>
      </w:r>
    </w:p>
    <w:p>
      <w:pPr>
        <w:spacing w:after="0" w:line="247" w:lineRule="exact"/>
        <w:rPr>
          <w:sz w:val="20"/>
          <w:szCs w:val="20"/>
          <w:color w:val="auto"/>
        </w:rPr>
      </w:pPr>
    </w:p>
    <w:p>
      <w:pPr>
        <w:ind w:left="8680"/>
        <w:spacing w:after="0"/>
        <w:rPr>
          <w:sz w:val="20"/>
          <w:szCs w:val="20"/>
          <w:color w:val="auto"/>
        </w:rPr>
      </w:pPr>
      <w:r>
        <w:rPr>
          <w:rFonts w:ascii="Arial" w:cs="Arial" w:eastAsia="Arial" w:hAnsi="Arial"/>
          <w:sz w:val="14"/>
          <w:szCs w:val="14"/>
          <w:color w:val="auto"/>
        </w:rPr>
        <w:t>Three Months</w:t>
      </w:r>
    </w:p>
    <w:p>
      <w:pPr>
        <w:ind w:left="8640"/>
        <w:spacing w:after="0" w:line="231" w:lineRule="auto"/>
        <w:rPr>
          <w:sz w:val="20"/>
          <w:szCs w:val="20"/>
          <w:color w:val="auto"/>
        </w:rPr>
      </w:pPr>
      <w:r>
        <w:rPr>
          <w:rFonts w:ascii="Arial" w:cs="Arial" w:eastAsia="Arial" w:hAnsi="Arial"/>
          <w:sz w:val="14"/>
          <w:szCs w:val="14"/>
          <w:color w:val="auto"/>
        </w:rPr>
        <w:t>(In Thousands)</w:t>
      </w:r>
    </w:p>
    <w:tbl>
      <w:tblPr>
        <w:tblLayout w:type="fixed"/>
        <w:tblInd w:w="138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2018</w:t>
            </w:r>
          </w:p>
        </w:tc>
        <w:tc>
          <w:tcPr>
            <w:tcW w:w="6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89"/>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 is included in net gain on sale of available-for-sale securities and the related tax expense is included in income taxes in the condensed consolidated statements of income and comprehensive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6"/>
          <w:szCs w:val="16"/>
          <w:color w:val="auto"/>
        </w:rPr>
        <w:t>SECURITIES (Continued)</w:t>
      </w:r>
    </w:p>
    <w:p>
      <w:pPr>
        <w:spacing w:after="0" w:line="14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amortized cost and fair value of debt securities at March 31, 2018, by contractual maturity, are shown below. Expected maturities will differ from contractual maturities because borrowers may have the right to call or prepay obligations with or without call or prepayment penalties.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(In Thousands)</w:t>
            </w:r>
          </w:p>
        </w:tc>
      </w:tr>
      <w:tr>
        <w:trPr>
          <w:trHeight w:val="123"/>
        </w:trPr>
        <w:tc>
          <w:tcPr>
            <w:tcW w:w="4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83,471</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48,228</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After ten years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6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159,813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155,997</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36,862</w:t>
            </w:r>
          </w:p>
        </w:tc>
        <w:tc>
          <w:tcPr>
            <w:tcW w:w="6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198,096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192,859</w:t>
            </w:r>
          </w:p>
        </w:tc>
        <w:tc>
          <w:tcPr>
            <w:tcW w:w="6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with a carrying value of $82.1 million and $82.9 million at March 31, 2018 and December 31, 2017, respectively, were pledged to secure public deposits and securities sold under repurchase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include Federal Home Loan Bank of Cincinnati and Farmer Mac stock as of March 31, 2018 and December 31, 2017.</w:t>
      </w:r>
    </w:p>
    <w:p>
      <w:pPr>
        <w:spacing w:after="0" w:line="225"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as of March 31, 2018 and December 31, 2017:</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660" w:type="dxa"/>
            <w:vAlign w:val="bottom"/>
            <w:gridSpan w:val="2"/>
            <w:vMerge w:val="restart"/>
          </w:tcPr>
          <w:p>
            <w:pPr>
              <w:spacing w:after="0"/>
              <w:rPr>
                <w:sz w:val="20"/>
                <w:szCs w:val="20"/>
                <w:color w:val="auto"/>
              </w:rPr>
            </w:pPr>
            <w:r>
              <w:rPr>
                <w:rFonts w:ascii="Arial" w:cs="Arial" w:eastAsia="Arial" w:hAnsi="Arial"/>
                <w:sz w:val="14"/>
                <w:szCs w:val="14"/>
                <w:color w:val="auto"/>
              </w:rPr>
              <w:t>Loans:</w:t>
            </w:r>
          </w:p>
        </w:tc>
        <w:tc>
          <w:tcPr>
            <w:tcW w:w="2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(In Thousands)</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color w:val="auto"/>
              </w:rPr>
              <w:t>March 31, 2018</w:t>
            </w:r>
          </w:p>
        </w:tc>
        <w:tc>
          <w:tcPr>
            <w:tcW w:w="1480" w:type="dxa"/>
            <w:vAlign w:val="bottom"/>
            <w:gridSpan w:val="3"/>
          </w:tcPr>
          <w:p>
            <w:pPr>
              <w:ind w:left="340"/>
              <w:spacing w:after="0" w:line="142" w:lineRule="exact"/>
              <w:rPr>
                <w:sz w:val="20"/>
                <w:szCs w:val="20"/>
                <w:color w:val="auto"/>
              </w:rPr>
            </w:pPr>
            <w:r>
              <w:rPr>
                <w:rFonts w:ascii="Arial" w:cs="Arial" w:eastAsia="Arial" w:hAnsi="Arial"/>
                <w:sz w:val="14"/>
                <w:szCs w:val="14"/>
                <w:color w:val="auto"/>
                <w:w w:val="91"/>
              </w:rPr>
              <w:t>December 31, 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 w:type="dxa"/>
            <w:vAlign w:val="bottom"/>
            <w:tcBorders>
              <w:top w:val="single" w:sz="8" w:color="auto"/>
            </w:tcBorders>
            <w:shd w:val="clear" w:color="auto" w:fill="CCEEFF"/>
          </w:tcPr>
          <w:p>
            <w:pPr>
              <w:spacing w:after="0"/>
              <w:rPr>
                <w:sz w:val="16"/>
                <w:szCs w:val="16"/>
                <w:color w:val="auto"/>
              </w:rPr>
            </w:pPr>
          </w:p>
        </w:tc>
        <w:tc>
          <w:tcPr>
            <w:tcW w:w="3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Consumer Real Estate</w:t>
            </w:r>
          </w:p>
        </w:tc>
        <w:tc>
          <w:tcPr>
            <w:tcW w:w="20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84,501</w:t>
            </w: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83,620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Agricultural Real Estate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67,596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415,296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Consumer</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38,569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 Development Bonds</w:t>
            </w:r>
          </w:p>
        </w:tc>
        <w:tc>
          <w:tcPr>
            <w:tcW w:w="20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835,587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deferred loan fees and costs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(850)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834,737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Allowance for loan losses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(6,800)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Loans - Net</w:t>
            </w:r>
          </w:p>
        </w:tc>
        <w:tc>
          <w:tcPr>
            <w:tcW w:w="20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827,937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vMerge w:val="restart"/>
          </w:tcPr>
          <w:p>
            <w:pPr>
              <w:jc w:val="right"/>
              <w:ind w:right="12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contractual maturity schedule by major category of loans as of March 31, 2018:</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6"/>
              </w:rPr>
              <w:t>After One</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56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Within</w:t>
            </w:r>
          </w:p>
        </w:tc>
        <w:tc>
          <w:tcPr>
            <w:tcW w:w="2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Year Within</w:t>
            </w:r>
          </w:p>
        </w:tc>
        <w:tc>
          <w:tcPr>
            <w:tcW w:w="1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After</w:t>
            </w:r>
          </w:p>
        </w:tc>
      </w:tr>
      <w:tr>
        <w:trPr>
          <w:trHeight w:val="167"/>
        </w:trPr>
        <w:tc>
          <w:tcPr>
            <w:tcW w:w="65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One Year</w:t>
            </w:r>
          </w:p>
        </w:tc>
        <w:tc>
          <w:tcPr>
            <w:tcW w:w="2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Five Years</w:t>
            </w: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Five Years</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$ 3,701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14,131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$ 66,669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6,055</w:t>
            </w:r>
          </w:p>
        </w:tc>
        <w:tc>
          <w:tcPr>
            <w:tcW w:w="3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60,563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61,155</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27,656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11,025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18,333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140,155</w:t>
            </w:r>
          </w:p>
        </w:tc>
        <w:tc>
          <w:tcPr>
            <w:tcW w:w="3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256,808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65,252</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41,008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17,179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Consumer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5,346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24,530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8,693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5,485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March 31, 2018:</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color w:val="auto"/>
              </w:rPr>
              <w:t>(In Thousands)</w:t>
            </w:r>
          </w:p>
        </w:tc>
      </w:tr>
      <w:tr>
        <w:trPr>
          <w:trHeight w:val="123"/>
        </w:trPr>
        <w:tc>
          <w:tcPr>
            <w:tcW w:w="44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Variable</w:t>
            </w:r>
          </w:p>
        </w:tc>
        <w:tc>
          <w:tcPr>
            <w:tcW w:w="60" w:type="dxa"/>
            <w:vAlign w:val="bottom"/>
          </w:tcPr>
          <w:p>
            <w:pPr>
              <w:spacing w:after="0"/>
              <w:rPr>
                <w:sz w:val="10"/>
                <w:szCs w:val="10"/>
                <w:color w:val="auto"/>
              </w:rPr>
            </w:pPr>
          </w:p>
        </w:tc>
      </w:t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Fixed Rate</w:t>
            </w:r>
          </w:p>
        </w:tc>
        <w:tc>
          <w:tcPr>
            <w:tcW w:w="4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Rate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$ 41,497</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$ 43,004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49,003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18,593</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64,114</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258,969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156,327</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77,302</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Consumer</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33,838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4,731</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2018 and December 31, 2017 one to four family residential mortgage loans amounting to $17.5 and $17.3 million, respectively, have been pledged as security for future loans and existing loans the Bank has received from the Federal Home Loan Bank.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Unless listed separately, Industrial Development Bonds are included in the Commercial and Industrial category for the remainder of the tables in this Note 4.</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the contractual aging of the recorded investment (in thousands) in past due loans by portfolio classification of loans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December 31, 2017, net of deferred loan fees and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9"/>
              </w:rPr>
              <w:t>Investment &gt;</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9"/>
              </w:rPr>
              <w:t>30-59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90 Days and</w:t>
            </w: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March 31, 2018</w:t>
            </w:r>
          </w:p>
        </w:tc>
        <w:tc>
          <w:tcPr>
            <w:tcW w:w="130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color w:val="auto"/>
                <w:w w:val="97"/>
              </w:rPr>
              <w:t>Past Due</w:t>
            </w: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3"/>
          </w:tcPr>
          <w:p>
            <w:pPr>
              <w:ind w:left="20"/>
              <w:spacing w:after="0"/>
              <w:rPr>
                <w:sz w:val="20"/>
                <w:szCs w:val="20"/>
                <w:color w:val="auto"/>
              </w:rPr>
            </w:pPr>
            <w:r>
              <w:rPr>
                <w:rFonts w:ascii="Arial" w:cs="Arial" w:eastAsia="Arial" w:hAnsi="Arial"/>
                <w:sz w:val="14"/>
                <w:szCs w:val="14"/>
                <w:color w:val="auto"/>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461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67,569</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414,665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414,666</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129,750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129,865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38,631</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632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834,004</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$ 834,737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0"/>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9"/>
              </w:rPr>
              <w:t>Investment &gt;</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9"/>
              </w:rPr>
              <w:t>30-59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90 Days and</w:t>
            </w: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December 31, 2017</w:t>
            </w:r>
          </w:p>
        </w:tc>
        <w:tc>
          <w:tcPr>
            <w:tcW w:w="130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color w:val="auto"/>
                <w:w w:val="97"/>
              </w:rPr>
              <w:t>Past Due</w:t>
            </w: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3"/>
          </w:tcPr>
          <w:p>
            <w:pPr>
              <w:ind w:left="20"/>
              <w:spacing w:after="0"/>
              <w:rPr>
                <w:sz w:val="20"/>
                <w:szCs w:val="20"/>
                <w:color w:val="auto"/>
              </w:rPr>
            </w:pPr>
            <w:r>
              <w:rPr>
                <w:rFonts w:ascii="Arial" w:cs="Arial" w:eastAsia="Arial" w:hAnsi="Arial"/>
                <w:sz w:val="14"/>
                <w:szCs w:val="14"/>
                <w:color w:val="auto"/>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565</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212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113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63,943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64,044</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95,238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409,915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409,953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132,787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37,759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37,802</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259</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$ 1,114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821,910</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$ 823,024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March 31, 2018 and December 31, 2017:</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color w:val="auto"/>
                <w:w w:val="99"/>
              </w:rPr>
              <w:t>(In Thousands)</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March 31,</w:t>
            </w:r>
          </w:p>
        </w:tc>
        <w:tc>
          <w:tcPr>
            <w:tcW w:w="154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0"/>
                <w:szCs w:val="10"/>
                <w:color w:val="auto"/>
              </w:rPr>
            </w:pPr>
          </w:p>
        </w:tc>
      </w:tr>
      <w:tr>
        <w:trPr>
          <w:trHeight w:val="167"/>
        </w:trPr>
        <w:tc>
          <w:tcPr>
            <w:tcW w:w="40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2018</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790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480"/>
              <w:spacing w:after="0"/>
              <w:rPr>
                <w:sz w:val="20"/>
                <w:szCs w:val="20"/>
                <w:color w:val="auto"/>
              </w:rPr>
            </w:pPr>
            <w:r>
              <w:rPr>
                <w:rFonts w:ascii="Arial" w:cs="Arial" w:eastAsia="Arial" w:hAnsi="Arial"/>
                <w:sz w:val="18"/>
                <w:szCs w:val="18"/>
                <w:color w:val="auto"/>
                <w:w w:val="79"/>
              </w:rPr>
              <w:t>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109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900</w:t>
            </w:r>
          </w:p>
        </w:tc>
        <w:tc>
          <w:tcPr>
            <w:tcW w:w="9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risk ratings are described as follows.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70" w:lineRule="exact"/>
        <w:rPr>
          <w:rFonts w:ascii="Arial" w:cs="Arial" w:eastAsia="Arial" w:hAnsi="Arial"/>
          <w:sz w:val="16"/>
          <w:szCs w:val="16"/>
          <w:color w:val="auto"/>
        </w:rPr>
      </w:pPr>
    </w:p>
    <w:p>
      <w:pPr>
        <w:ind w:left="900" w:right="40" w:hanging="446"/>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6" w:lineRule="exact"/>
        <w:rPr>
          <w:rFonts w:ascii="Arial" w:cs="Arial" w:eastAsia="Arial" w:hAnsi="Arial"/>
          <w:sz w:val="17"/>
          <w:szCs w:val="17"/>
          <w:color w:val="auto"/>
        </w:rPr>
      </w:pPr>
    </w:p>
    <w:p>
      <w:pPr>
        <w:ind w:left="900" w:right="1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Loans may be graded 3 when there is no recent information on which to base a current risk evaluation and the following conditions apply:</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1" w:lineRule="exact"/>
        <w:rPr>
          <w:sz w:val="20"/>
          <w:szCs w:val="20"/>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30" w:lineRule="exact"/>
        <w:rPr>
          <w:rFonts w:ascii="Arial" w:cs="Arial" w:eastAsia="Arial" w:hAnsi="Arial"/>
          <w:sz w:val="18"/>
          <w:szCs w:val="18"/>
          <w:color w:val="auto"/>
        </w:rPr>
      </w:pPr>
    </w:p>
    <w:p>
      <w:pPr>
        <w:ind w:left="1480" w:right="40" w:hanging="567"/>
        <w:spacing w:after="0" w:line="286" w:lineRule="auto"/>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70"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92" w:lineRule="exact"/>
        <w:rPr>
          <w:rFonts w:ascii="Arial" w:cs="Arial" w:eastAsia="Arial" w:hAnsi="Arial"/>
          <w:sz w:val="18"/>
          <w:szCs w:val="18"/>
          <w:color w:val="auto"/>
        </w:rPr>
      </w:pPr>
    </w:p>
    <w:p>
      <w:pPr>
        <w:jc w:val="both"/>
        <w:ind w:left="900" w:right="160" w:hanging="446"/>
        <w:spacing w:after="0" w:line="28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w:t>
      </w:r>
    </w:p>
    <w:p>
      <w:pPr>
        <w:ind w:left="900"/>
        <w:spacing w:after="0"/>
        <w:rPr>
          <w:rFonts w:ascii="Arial" w:cs="Arial" w:eastAsia="Arial" w:hAnsi="Arial"/>
          <w:sz w:val="16"/>
          <w:szCs w:val="16"/>
          <w:color w:val="auto"/>
        </w:rPr>
      </w:pPr>
      <w:r>
        <w:rPr>
          <w:rFonts w:ascii="Arial" w:cs="Arial" w:eastAsia="Arial" w:hAnsi="Arial"/>
          <w:sz w:val="18"/>
          <w:szCs w:val="18"/>
          <w:color w:val="auto"/>
        </w:rPr>
        <w:t>(2) weaknesses are considered “potential”, versus “defined”, impairments to the primary source of loan repayment and collateral.</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1480" w:right="560" w:hanging="567"/>
        <w:spacing w:after="0" w:line="34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ind w:left="1480" w:right="300" w:hanging="567"/>
        <w:spacing w:after="0" w:line="277"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primary source of repayment is gone, and there is considerable doubt as to the quality of the secondary source of repayment.</w:t>
      </w:r>
    </w:p>
    <w:p>
      <w:pPr>
        <w:spacing w:after="0" w:line="142" w:lineRule="exact"/>
        <w:rPr>
          <w:rFonts w:ascii="Arial" w:cs="Arial" w:eastAsia="Arial" w:hAnsi="Arial"/>
          <w:sz w:val="17"/>
          <w:szCs w:val="17"/>
          <w:color w:val="auto"/>
        </w:rPr>
      </w:pPr>
    </w:p>
    <w:p>
      <w:pPr>
        <w:ind w:left="1480" w:right="260" w:hanging="567"/>
        <w:spacing w:after="0" w:line="34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2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risk category of loans by portfolio class, net of deferred fees and costs, based on the most recent analysis performed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7"/>
              </w:rPr>
              <w:t>(In Thousands)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140"/>
              <w:spacing w:after="0" w:line="123" w:lineRule="exact"/>
              <w:rPr>
                <w:sz w:val="20"/>
                <w:szCs w:val="20"/>
                <w:color w:val="auto"/>
              </w:rPr>
            </w:pPr>
            <w:r>
              <w:rPr>
                <w:rFonts w:ascii="Arial" w:cs="Arial" w:eastAsia="Arial" w:hAnsi="Arial"/>
                <w:sz w:val="14"/>
                <w:szCs w:val="14"/>
                <w:color w:val="auto"/>
                <w:w w:val="93"/>
              </w:rPr>
              <w:t>Commercial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Industrial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9"/>
              </w:rPr>
              <w:t>Development</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w w:val="91"/>
              </w:rPr>
              <w:t>Real Estate</w:t>
            </w: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Industrial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jc w:val="right"/>
              <w:ind w:right="1950"/>
              <w:spacing w:after="0" w:line="196" w:lineRule="exact"/>
              <w:rPr>
                <w:sz w:val="20"/>
                <w:szCs w:val="20"/>
                <w:color w:val="auto"/>
              </w:rPr>
            </w:pPr>
            <w:r>
              <w:rPr>
                <w:rFonts w:ascii="Arial" w:cs="Arial" w:eastAsia="Arial" w:hAnsi="Arial"/>
                <w:sz w:val="18"/>
                <w:szCs w:val="18"/>
                <w:color w:val="auto"/>
              </w:rPr>
              <w:t>March 31, 2018</w:t>
            </w:r>
          </w:p>
        </w:tc>
        <w:tc>
          <w:tcPr>
            <w:tcW w:w="3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jc w:val="center"/>
              <w:ind w:right="630"/>
              <w:spacing w:after="0"/>
              <w:rPr>
                <w:sz w:val="20"/>
                <w:szCs w:val="20"/>
                <w:color w:val="auto"/>
              </w:rPr>
            </w:pPr>
            <w:r>
              <w:rPr>
                <w:rFonts w:ascii="Arial" w:cs="Arial" w:eastAsia="Arial" w:hAnsi="Arial"/>
                <w:sz w:val="18"/>
                <w:szCs w:val="18"/>
                <w:color w:val="auto"/>
                <w:w w:val="92"/>
              </w:rPr>
              <w:t>1-2</w:t>
            </w:r>
          </w:p>
        </w:tc>
        <w:tc>
          <w:tcPr>
            <w:tcW w:w="324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9,065</w:t>
            </w: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9"/>
              </w:rPr>
              <w:t>3</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13,087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16,752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3,460</w:t>
            </w:r>
          </w:p>
        </w:tc>
        <w:tc>
          <w:tcPr>
            <w:tcW w:w="0" w:type="dxa"/>
            <w:vAlign w:val="bottom"/>
          </w:tcPr>
          <w:p>
            <w:pPr>
              <w:spacing w:after="0"/>
              <w:rPr>
                <w:sz w:val="1"/>
                <w:szCs w:val="1"/>
                <w:color w:val="auto"/>
              </w:rPr>
            </w:pPr>
          </w:p>
        </w:tc>
      </w:tr>
      <w:tr>
        <w:trPr>
          <w:trHeight w:val="216"/>
        </w:trPr>
        <w:tc>
          <w:tcPr>
            <w:tcW w:w="3600" w:type="dxa"/>
            <w:vAlign w:val="bottom"/>
          </w:tcPr>
          <w:p>
            <w:pPr>
              <w:jc w:val="center"/>
              <w:ind w:right="650"/>
              <w:spacing w:after="0"/>
              <w:rPr>
                <w:sz w:val="20"/>
                <w:szCs w:val="20"/>
                <w:color w:val="auto"/>
              </w:rPr>
            </w:pPr>
            <w:r>
              <w:rPr>
                <w:rFonts w:ascii="Arial" w:cs="Arial" w:eastAsia="Arial" w:hAnsi="Arial"/>
                <w:sz w:val="18"/>
                <w:szCs w:val="18"/>
                <w:color w:val="auto"/>
                <w:w w:val="99"/>
              </w:rPr>
              <w:t>4</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49,057</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62,856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365,841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95,150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2,890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9"/>
              </w:rPr>
              <w:t>5</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jc w:val="center"/>
              <w:ind w:right="650"/>
              <w:spacing w:after="0"/>
              <w:rPr>
                <w:sz w:val="20"/>
                <w:szCs w:val="20"/>
                <w:color w:val="auto"/>
              </w:rPr>
            </w:pPr>
            <w:r>
              <w:rPr>
                <w:rFonts w:ascii="Arial" w:cs="Arial" w:eastAsia="Arial" w:hAnsi="Arial"/>
                <w:sz w:val="18"/>
                <w:szCs w:val="18"/>
                <w:color w:val="auto"/>
                <w:w w:val="99"/>
              </w:rPr>
              <w:t>6</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8,755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9"/>
              </w:rPr>
              <w:t>7</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jc w:val="center"/>
              <w:ind w:right="650"/>
              <w:spacing w:after="0"/>
              <w:rPr>
                <w:sz w:val="20"/>
                <w:szCs w:val="20"/>
                <w:color w:val="auto"/>
              </w:rPr>
            </w:pPr>
            <w:r>
              <w:rPr>
                <w:rFonts w:ascii="Arial" w:cs="Arial" w:eastAsia="Arial" w:hAnsi="Arial"/>
                <w:sz w:val="18"/>
                <w:szCs w:val="18"/>
                <w:color w:val="auto"/>
                <w:w w:val="99"/>
              </w:rPr>
              <w:t>8</w:t>
            </w:r>
          </w:p>
        </w:tc>
        <w:tc>
          <w:tcPr>
            <w:tcW w:w="3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67,569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99,954</w:t>
            </w: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$ 414,666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$ 123,515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6,350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Commercial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Industrial</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9"/>
              </w:rPr>
              <w:t>Development</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w w:val="91"/>
              </w:rPr>
              <w:t>Real Estate</w:t>
            </w: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Industrial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jc w:val="right"/>
              <w:ind w:right="1950"/>
              <w:spacing w:after="0" w:line="196" w:lineRule="exact"/>
              <w:rPr>
                <w:sz w:val="20"/>
                <w:szCs w:val="20"/>
                <w:color w:val="auto"/>
              </w:rPr>
            </w:pPr>
            <w:r>
              <w:rPr>
                <w:rFonts w:ascii="Arial" w:cs="Arial" w:eastAsia="Arial" w:hAnsi="Arial"/>
                <w:sz w:val="18"/>
                <w:szCs w:val="18"/>
                <w:color w:val="auto"/>
                <w:w w:val="97"/>
              </w:rPr>
              <w:t>December 31, 2017</w:t>
            </w:r>
          </w:p>
        </w:tc>
        <w:tc>
          <w:tcPr>
            <w:tcW w:w="3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jc w:val="center"/>
              <w:ind w:right="630"/>
              <w:spacing w:after="0"/>
              <w:rPr>
                <w:sz w:val="20"/>
                <w:szCs w:val="20"/>
                <w:color w:val="auto"/>
              </w:rPr>
            </w:pPr>
            <w:r>
              <w:rPr>
                <w:rFonts w:ascii="Arial" w:cs="Arial" w:eastAsia="Arial" w:hAnsi="Arial"/>
                <w:sz w:val="18"/>
                <w:szCs w:val="18"/>
                <w:color w:val="auto"/>
                <w:w w:val="92"/>
              </w:rPr>
              <w:t>1-2</w:t>
            </w:r>
          </w:p>
        </w:tc>
        <w:tc>
          <w:tcPr>
            <w:tcW w:w="324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9,205</w:t>
            </w: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9"/>
              </w:rPr>
              <w:t>3</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15,244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3,489</w:t>
            </w:r>
          </w:p>
        </w:tc>
        <w:tc>
          <w:tcPr>
            <w:tcW w:w="0" w:type="dxa"/>
            <w:vAlign w:val="bottom"/>
          </w:tcPr>
          <w:p>
            <w:pPr>
              <w:spacing w:after="0"/>
              <w:rPr>
                <w:sz w:val="1"/>
                <w:szCs w:val="1"/>
                <w:color w:val="auto"/>
              </w:rPr>
            </w:pPr>
          </w:p>
        </w:tc>
      </w:tr>
      <w:tr>
        <w:trPr>
          <w:trHeight w:val="216"/>
        </w:trPr>
        <w:tc>
          <w:tcPr>
            <w:tcW w:w="3600" w:type="dxa"/>
            <w:vAlign w:val="bottom"/>
          </w:tcPr>
          <w:p>
            <w:pPr>
              <w:jc w:val="center"/>
              <w:ind w:right="650"/>
              <w:spacing w:after="0"/>
              <w:rPr>
                <w:sz w:val="20"/>
                <w:szCs w:val="20"/>
                <w:color w:val="auto"/>
              </w:rPr>
            </w:pPr>
            <w:r>
              <w:rPr>
                <w:rFonts w:ascii="Arial" w:cs="Arial" w:eastAsia="Arial" w:hAnsi="Arial"/>
                <w:sz w:val="18"/>
                <w:szCs w:val="18"/>
                <w:color w:val="auto"/>
                <w:w w:val="99"/>
              </w:rPr>
              <w:t>4</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43,416</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359,600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99,581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2,926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9"/>
              </w:rPr>
              <w:t>5</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jc w:val="center"/>
              <w:ind w:right="650"/>
              <w:spacing w:after="0"/>
              <w:rPr>
                <w:sz w:val="20"/>
                <w:szCs w:val="20"/>
                <w:color w:val="auto"/>
              </w:rPr>
            </w:pPr>
            <w:r>
              <w:rPr>
                <w:rFonts w:ascii="Arial" w:cs="Arial" w:eastAsia="Arial" w:hAnsi="Arial"/>
                <w:sz w:val="18"/>
                <w:szCs w:val="18"/>
                <w:color w:val="auto"/>
                <w:w w:val="99"/>
              </w:rPr>
              <w:t>6</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8,853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9"/>
              </w:rPr>
              <w:t>7</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jc w:val="center"/>
              <w:ind w:right="650"/>
              <w:spacing w:after="0"/>
              <w:rPr>
                <w:sz w:val="20"/>
                <w:szCs w:val="20"/>
                <w:color w:val="auto"/>
              </w:rPr>
            </w:pPr>
            <w:r>
              <w:rPr>
                <w:rFonts w:ascii="Arial" w:cs="Arial" w:eastAsia="Arial" w:hAnsi="Arial"/>
                <w:sz w:val="18"/>
                <w:szCs w:val="18"/>
                <w:color w:val="auto"/>
                <w:w w:val="99"/>
              </w:rPr>
              <w:t>8</w:t>
            </w:r>
          </w:p>
        </w:tc>
        <w:tc>
          <w:tcPr>
            <w:tcW w:w="3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64,044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95,238</w:t>
            </w: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$ 409,953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$ 126,372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6,415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100" w:type="dxa"/>
            <w:vAlign w:val="bottom"/>
            <w:vMerge w:val="restart"/>
          </w:tcPr>
          <w:p>
            <w:pPr>
              <w:ind w:left="202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2018 and December 31, 2017.</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color w:val="auto"/>
              </w:rPr>
              <w:t>(In Thousands)</w:t>
            </w:r>
          </w:p>
        </w:tc>
      </w:tr>
      <w:tr>
        <w:trPr>
          <w:trHeight w:val="123"/>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Consumer</w:t>
            </w: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89"/>
              </w:rPr>
              <w:t>Consumer</w:t>
            </w:r>
          </w:p>
        </w:tc>
        <w:tc>
          <w:tcPr>
            <w:tcW w:w="60" w:type="dxa"/>
            <w:vAlign w:val="bottom"/>
          </w:tcPr>
          <w:p>
            <w:pPr>
              <w:spacing w:after="0"/>
              <w:rPr>
                <w:sz w:val="10"/>
                <w:szCs w:val="10"/>
                <w:color w:val="auto"/>
              </w:rPr>
            </w:pPr>
          </w:p>
        </w:tc>
      </w:tr>
      <w:tr>
        <w:trPr>
          <w:trHeight w:val="167"/>
        </w:trPr>
        <w:tc>
          <w:tcPr>
            <w:tcW w:w="66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1"/>
              </w:rPr>
              <w:t>Real Estate</w:t>
            </w:r>
          </w:p>
        </w:tc>
        <w:tc>
          <w:tcPr>
            <w:tcW w:w="5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Real Estate</w:t>
            </w:r>
          </w:p>
        </w:tc>
      </w:tr>
      <w:tr>
        <w:trPr>
          <w:trHeight w:val="123"/>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March 31,</w:t>
            </w:r>
          </w:p>
        </w:tc>
        <w:tc>
          <w:tcPr>
            <w:tcW w:w="54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0"/>
                <w:szCs w:val="10"/>
                <w:color w:val="auto"/>
              </w:rPr>
            </w:pPr>
          </w:p>
        </w:tc>
      </w:tr>
      <w:tr>
        <w:trPr>
          <w:trHeight w:val="167"/>
        </w:trPr>
        <w:tc>
          <w:tcPr>
            <w:tcW w:w="66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4"/>
                <w:szCs w:val="14"/>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Pass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$ 83,716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82,632</w:t>
            </w: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23"/>
        </w:trPr>
        <w:tc>
          <w:tcPr>
            <w:tcW w:w="660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$ 84,052</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83,200</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jc w:val="right"/>
              <w:ind w:right="337"/>
              <w:spacing w:after="0" w:line="142" w:lineRule="exact"/>
              <w:rPr>
                <w:sz w:val="20"/>
                <w:szCs w:val="20"/>
                <w:color w:val="auto"/>
              </w:rPr>
            </w:pPr>
            <w:r>
              <w:rPr>
                <w:rFonts w:ascii="Arial" w:cs="Arial" w:eastAsia="Arial" w:hAnsi="Arial"/>
                <w:sz w:val="14"/>
                <w:szCs w:val="14"/>
                <w:color w:val="auto"/>
              </w:rPr>
              <w:t>Consumer - Credit</w:t>
            </w:r>
          </w:p>
        </w:tc>
        <w:tc>
          <w:tcPr>
            <w:tcW w:w="500" w:type="dxa"/>
            <w:vAlign w:val="bottom"/>
          </w:tcPr>
          <w:p>
            <w:pPr>
              <w:spacing w:after="0"/>
              <w:rPr>
                <w:sz w:val="12"/>
                <w:szCs w:val="12"/>
                <w:color w:val="auto"/>
              </w:rPr>
            </w:pPr>
          </w:p>
        </w:tc>
        <w:tc>
          <w:tcPr>
            <w:tcW w:w="1920" w:type="dxa"/>
            <w:vAlign w:val="bottom"/>
            <w:tcBorders>
              <w:bottom w:val="single" w:sz="8" w:color="auto"/>
            </w:tcBorders>
            <w:gridSpan w:val="5"/>
          </w:tcPr>
          <w:p>
            <w:pPr>
              <w:jc w:val="right"/>
              <w:ind w:right="354"/>
              <w:spacing w:after="0" w:line="142" w:lineRule="exact"/>
              <w:rPr>
                <w:sz w:val="20"/>
                <w:szCs w:val="20"/>
                <w:color w:val="auto"/>
              </w:rPr>
            </w:pPr>
            <w:r>
              <w:rPr>
                <w:rFonts w:ascii="Arial" w:cs="Arial" w:eastAsia="Arial" w:hAnsi="Arial"/>
                <w:sz w:val="14"/>
                <w:szCs w:val="14"/>
                <w:color w:val="auto"/>
              </w:rPr>
              <w:t>Consumer - Other</w:t>
            </w:r>
          </w:p>
        </w:tc>
        <w:tc>
          <w:tcPr>
            <w:tcW w:w="60" w:type="dxa"/>
            <w:vAlign w:val="bottom"/>
          </w:tcPr>
          <w:p>
            <w:pPr>
              <w:spacing w:after="0"/>
              <w:rPr>
                <w:sz w:val="12"/>
                <w:szCs w:val="12"/>
                <w:color w:val="auto"/>
              </w:rPr>
            </w:pPr>
          </w:p>
        </w:tc>
      </w:tr>
      <w:tr>
        <w:trPr>
          <w:trHeight w:val="123"/>
        </w:trPr>
        <w:tc>
          <w:tcPr>
            <w:tcW w:w="36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March 31,</w:t>
            </w: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500" w:type="dxa"/>
            <w:vAlign w:val="bottom"/>
          </w:tcPr>
          <w:p>
            <w:pPr>
              <w:spacing w:after="0"/>
              <w:rPr>
                <w:sz w:val="10"/>
                <w:szCs w:val="10"/>
                <w:color w:val="auto"/>
              </w:rPr>
            </w:pPr>
          </w:p>
        </w:tc>
        <w:tc>
          <w:tcPr>
            <w:tcW w:w="86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w w:val="93"/>
              </w:rPr>
              <w:t>March 31,</w:t>
            </w:r>
          </w:p>
        </w:tc>
        <w:tc>
          <w:tcPr>
            <w:tcW w:w="26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10"/>
                <w:szCs w:val="10"/>
                <w:color w:val="auto"/>
              </w:rPr>
            </w:pPr>
          </w:p>
        </w:tc>
      </w:tr>
      <w:tr>
        <w:trPr>
          <w:trHeight w:val="167"/>
        </w:trPr>
        <w:tc>
          <w:tcPr>
            <w:tcW w:w="3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color w:val="auto"/>
                <w:w w:val="96"/>
              </w:rPr>
              <w:t>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color w:val="auto"/>
              </w:rPr>
              <w:t>2017</w:t>
            </w:r>
          </w:p>
        </w:tc>
        <w:tc>
          <w:tcPr>
            <w:tcW w:w="1100" w:type="dxa"/>
            <w:vAlign w:val="bottom"/>
            <w:gridSpan w:val="2"/>
          </w:tcPr>
          <w:p>
            <w:pPr>
              <w:jc w:val="right"/>
              <w:ind w:right="59"/>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Performing</w:t>
            </w: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$34,791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Nonperforming</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7"/>
        </w:trPr>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34,805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33,694</w:t>
            </w:r>
          </w:p>
        </w:tc>
      </w:tr>
      <w:tr>
        <w:trPr>
          <w:trHeight w:val="20"/>
        </w:trPr>
        <w:tc>
          <w:tcPr>
            <w:tcW w:w="3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impaired loans as of March 31, 2018, December 31, 2017 and March 31, 2017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color w:val="auto"/>
              </w:rPr>
              <w:t>March 31, 2018</w:t>
            </w:r>
          </w:p>
        </w:tc>
        <w:tc>
          <w:tcPr>
            <w:tcW w:w="152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2017</w:t>
            </w:r>
          </w:p>
        </w:tc>
        <w:tc>
          <w:tcPr>
            <w:tcW w:w="38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March 31, 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Impaired loans without a valuation</w:t>
            </w:r>
          </w:p>
        </w:tc>
        <w:tc>
          <w:tcPr>
            <w:tcW w:w="9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3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w:t>
            </w: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loans</w:t>
            </w: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loans past-due ninety days or more</w:t>
            </w: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and still accruing</w:t>
            </w: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Quarter ended average investment in</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3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Year to date average investment in</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impaired loans</w:t>
            </w: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1,885</w:t>
            </w:r>
          </w:p>
        </w:tc>
        <w:tc>
          <w:tcPr>
            <w:tcW w:w="38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Bank had approximately $527 thousand of its impaired loans classified as troubled debt restructured (TDR) as of March 31, 2018, $534 thousand as of December 31, 2017 and $551 thousand as of March 31, 2017. During the year to date 2018 and 2017, there were no new loans considered TDR.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 period ended March 31, 2018 and 2017, there were no TDRs that subsequently defaulted after modification.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5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loans individually evaluated for impairment by class of loans for three months ended March 31, 2018 and March 31, 2017.</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QTD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060" w:type="dxa"/>
            <w:vAlign w:val="bottom"/>
            <w:gridSpan w:val="2"/>
          </w:tcPr>
          <w:p>
            <w:pPr>
              <w:spacing w:after="0"/>
              <w:rPr>
                <w:sz w:val="20"/>
                <w:szCs w:val="20"/>
                <w:color w:val="auto"/>
              </w:rPr>
            </w:pPr>
            <w:r>
              <w:rPr>
                <w:rFonts w:ascii="Arial" w:cs="Arial" w:eastAsia="Arial" w:hAnsi="Arial"/>
                <w:sz w:val="14"/>
                <w:szCs w:val="14"/>
                <w:color w:val="auto"/>
              </w:rPr>
              <w:t>Three Months Ended March 31, 2018</w:t>
            </w:r>
          </w:p>
        </w:tc>
        <w:tc>
          <w:tcPr>
            <w:tcW w:w="1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489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489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492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42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569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569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20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572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618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621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419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419</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42</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428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4</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QTD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5780" w:type="dxa"/>
            <w:vAlign w:val="bottom"/>
            <w:gridSpan w:val="2"/>
          </w:tcPr>
          <w:p>
            <w:pPr>
              <w:spacing w:after="0"/>
              <w:rPr>
                <w:sz w:val="20"/>
                <w:szCs w:val="20"/>
                <w:color w:val="auto"/>
              </w:rPr>
            </w:pPr>
            <w:r>
              <w:rPr>
                <w:rFonts w:ascii="Arial" w:cs="Arial" w:eastAsia="Arial" w:hAnsi="Arial"/>
                <w:sz w:val="14"/>
                <w:szCs w:val="14"/>
                <w:color w:val="auto"/>
              </w:rPr>
              <w:t>Three Months Ended March 31, 2017</w:t>
            </w:r>
          </w:p>
        </w:tc>
        <w:tc>
          <w:tcPr>
            <w:tcW w:w="100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80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1,003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1,081</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1,097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498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115</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115</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116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March 31, 2018, the Company had $3 thousand of foreclosed residential real estate property obtained by physical possession and $49 thousand of consumer mortgage loans secured by residential real estate properties for which foreclosure proceedings are in process according to local jurisdictions. As of March 31, 2017, the Company had $169 thousand of foreclosed residential real estate property obtained by physical possession and $190 thousand of consumer mortgage loans secured by residential real estate properties for which foreclosure proceedings were in process according to local jurisdictions.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color w:val="auto"/>
                <w:w w:val="93"/>
              </w:rPr>
              <w:t>(In Thousands)</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3"/>
          </w:tcPr>
          <w:p>
            <w:pPr>
              <w:jc w:val="right"/>
              <w:ind w:right="80"/>
              <w:spacing w:after="0" w:line="123" w:lineRule="exact"/>
              <w:rPr>
                <w:sz w:val="20"/>
                <w:szCs w:val="20"/>
                <w:color w:val="auto"/>
              </w:rPr>
            </w:pPr>
            <w:r>
              <w:rPr>
                <w:rFonts w:ascii="Arial" w:cs="Arial" w:eastAsia="Arial" w:hAnsi="Arial"/>
                <w:sz w:val="14"/>
                <w:szCs w:val="14"/>
                <w:color w:val="auto"/>
                <w:w w:val="90"/>
              </w:rPr>
              <w:t>Three Months Ended</w:t>
            </w:r>
          </w:p>
        </w:tc>
        <w:tc>
          <w:tcPr>
            <w:tcW w:w="2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Twelve Months Ended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March 31, 2018</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2017</w:t>
            </w: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Loan &amp; Lease Losses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Balance at beginning of year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6,868</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Unfunded Loan Commitments &amp; Letters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Credit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0"/>
                <w:szCs w:val="20"/>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March 31, 2018 and March 31, 2017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
              <w:spacing w:after="0"/>
              <w:rPr>
                <w:sz w:val="20"/>
                <w:szCs w:val="20"/>
                <w:color w:val="auto"/>
              </w:rPr>
            </w:pPr>
            <w:r>
              <w:rPr>
                <w:rFonts w:ascii="Arial" w:cs="Arial" w:eastAsia="Arial" w:hAnsi="Arial"/>
                <w:sz w:val="14"/>
                <w:szCs w:val="14"/>
                <w:color w:val="auto"/>
                <w:w w:val="92"/>
              </w:rPr>
              <w:t>Unfunded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
              <w:spacing w:after="0" w:line="149" w:lineRule="exact"/>
              <w:rPr>
                <w:sz w:val="20"/>
                <w:szCs w:val="20"/>
                <w:color w:val="auto"/>
              </w:rPr>
            </w:pPr>
            <w:r>
              <w:rPr>
                <w:rFonts w:ascii="Arial" w:cs="Arial" w:eastAsia="Arial" w:hAnsi="Arial"/>
                <w:sz w:val="14"/>
                <w:szCs w:val="14"/>
                <w:color w:val="auto"/>
                <w:w w:val="89"/>
              </w:rPr>
              <w:t>Loan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w w:val="93"/>
              </w:rPr>
              <w:t>Commitment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Consumer</w:t>
            </w:r>
          </w:p>
        </w:tc>
        <w:tc>
          <w:tcPr>
            <w:tcW w:w="8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7"/>
              </w:rPr>
              <w:t>Agricultural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&amp; Letters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3"/>
              </w:rPr>
              <w:t>Real Estate</w:t>
            </w: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w w:val="97"/>
              </w:rPr>
              <w:t>Agricultural</w:t>
            </w: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1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4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
              <w:spacing w:after="0"/>
              <w:rPr>
                <w:sz w:val="20"/>
                <w:szCs w:val="20"/>
                <w:color w:val="auto"/>
              </w:rPr>
            </w:pPr>
            <w:r>
              <w:rPr>
                <w:rFonts w:ascii="Arial" w:cs="Arial" w:eastAsia="Arial" w:hAnsi="Arial"/>
                <w:sz w:val="14"/>
                <w:szCs w:val="14"/>
                <w:color w:val="auto"/>
                <w:w w:val="96"/>
              </w:rPr>
              <w:t>Credit</w:t>
            </w: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Three Months Ended March 31, 2018</w:t>
            </w: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Arial" w:cs="Arial" w:eastAsia="Arial" w:hAnsi="Arial"/>
                <w:sz w:val="16"/>
                <w:szCs w:val="16"/>
                <w:b w:val="1"/>
                <w:bCs w:val="1"/>
                <w:color w:val="auto"/>
              </w:rPr>
              <w:t>ALLOWANCE FOR CREDIT LOSSES: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2"/>
              </w:rPr>
              <w:t>244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2"/>
              </w:rPr>
              <w:t>667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3,149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2"/>
              </w:rPr>
              <w:t>227</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340"/>
              <w:spacing w:after="0"/>
              <w:rPr>
                <w:sz w:val="20"/>
                <w:szCs w:val="20"/>
                <w:color w:val="auto"/>
              </w:rPr>
            </w:pPr>
            <w:r>
              <w:rPr>
                <w:rFonts w:ascii="Arial" w:cs="Arial" w:eastAsia="Arial" w:hAnsi="Arial"/>
                <w:sz w:val="16"/>
                <w:szCs w:val="16"/>
                <w:color w:val="auto"/>
              </w:rPr>
              <w:t>Charge Offs</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Recoveries</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340"/>
              <w:spacing w:after="0"/>
              <w:rPr>
                <w:sz w:val="20"/>
                <w:szCs w:val="20"/>
                <w:color w:val="auto"/>
              </w:rPr>
            </w:pPr>
            <w:r>
              <w:rPr>
                <w:rFonts w:ascii="Arial" w:cs="Arial" w:eastAsia="Arial" w:hAnsi="Arial"/>
                <w:sz w:val="16"/>
                <w:szCs w:val="16"/>
                <w:color w:val="auto"/>
              </w:rPr>
              <w:t>Provision (Credit)</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Non-interest expense related to</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unfunded</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78"/>
              </w:rPr>
              <w:t>38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Arial" w:cs="Arial" w:eastAsia="Arial" w:hAnsi="Arial"/>
                <w:sz w:val="16"/>
                <w:szCs w:val="16"/>
                <w:color w:val="auto"/>
              </w:rPr>
              <w:t>Ending Balance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w w:val="82"/>
              </w:rPr>
              <w:t>263</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w w:val="82"/>
              </w:rPr>
              <w:t>706</w:t>
            </w: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3,674</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1,443</w:t>
            </w:r>
          </w:p>
        </w:tc>
        <w:tc>
          <w:tcPr>
            <w:tcW w:w="2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431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40"/>
              <w:spacing w:after="0"/>
              <w:rPr>
                <w:sz w:val="20"/>
                <w:szCs w:val="20"/>
                <w:color w:val="auto"/>
              </w:rPr>
            </w:pPr>
            <w:r>
              <w:rPr>
                <w:rFonts w:ascii="Arial" w:cs="Arial" w:eastAsia="Arial" w:hAnsi="Arial"/>
                <w:sz w:val="16"/>
                <w:szCs w:val="16"/>
                <w:color w:val="auto"/>
                <w:w w:val="82"/>
              </w:rPr>
              <w:t>265</w:t>
            </w: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Ending balance: individually evaluated for</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Ending balance: collectively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w w:val="82"/>
              </w:rPr>
              <w:t>263</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w w:val="82"/>
              </w:rPr>
              <w:t>706</w:t>
            </w: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3,632</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1,401</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431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40"/>
              <w:spacing w:after="0"/>
              <w:rPr>
                <w:sz w:val="20"/>
                <w:szCs w:val="20"/>
                <w:color w:val="auto"/>
              </w:rPr>
            </w:pPr>
            <w:r>
              <w:rPr>
                <w:rFonts w:ascii="Arial" w:cs="Arial" w:eastAsia="Arial" w:hAnsi="Arial"/>
                <w:sz w:val="16"/>
                <w:szCs w:val="16"/>
                <w:color w:val="auto"/>
                <w:w w:val="82"/>
              </w:rPr>
              <w:t>265</w:t>
            </w: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Ending balance: loans acquired with</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deteriorated credit quality</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414,666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38,631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834,737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Ending balance: individually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569</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618</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419</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Ending balance: collectively evaluated for</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83,483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414,048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38,631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833,131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Ending balance: loans acquired with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6"/>
                <w:szCs w:val="16"/>
                <w:color w:val="auto"/>
              </w:rPr>
              <w:t>deteriorated credit quality</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Unfunded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Loan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Commitment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9"/>
              </w:rPr>
              <w:t>Consumer</w:t>
            </w:r>
          </w:p>
        </w:tc>
        <w:tc>
          <w:tcPr>
            <w:tcW w:w="10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9"/>
              </w:rPr>
              <w:t>Agricultural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7"/>
              </w:rPr>
              <w:t>&amp; Letters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85"/>
              </w:rPr>
              <w:t>Real Estate</w:t>
            </w:r>
          </w:p>
        </w:tc>
        <w:tc>
          <w:tcPr>
            <w:tcW w:w="1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Real Estate</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04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Credit</w:t>
            </w:r>
          </w:p>
        </w:tc>
        <w:tc>
          <w:tcPr>
            <w:tcW w:w="1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Unallocated</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Three Months Ended March 31, 2017</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Arial" w:cs="Arial" w:eastAsia="Arial" w:hAnsi="Arial"/>
                <w:sz w:val="16"/>
                <w:szCs w:val="16"/>
                <w:b w:val="1"/>
                <w:bCs w:val="1"/>
                <w:color w:val="auto"/>
              </w:rPr>
              <w:t>ALLOWANCE FOR CREDIT LOSSES: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241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2"/>
              </w:rPr>
              <w:t>616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3,250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217</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82"/>
              </w:rPr>
              <w:t>649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340"/>
              <w:spacing w:after="0"/>
              <w:rPr>
                <w:sz w:val="20"/>
                <w:szCs w:val="20"/>
                <w:color w:val="auto"/>
              </w:rPr>
            </w:pPr>
            <w:r>
              <w:rPr>
                <w:rFonts w:ascii="Arial" w:cs="Arial" w:eastAsia="Arial" w:hAnsi="Arial"/>
                <w:sz w:val="16"/>
                <w:szCs w:val="16"/>
                <w:color w:val="auto"/>
              </w:rPr>
              <w:t>Charge Offs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Recoveries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340"/>
              <w:spacing w:after="0"/>
              <w:rPr>
                <w:sz w:val="20"/>
                <w:szCs w:val="20"/>
                <w:color w:val="auto"/>
              </w:rPr>
            </w:pPr>
            <w:r>
              <w:rPr>
                <w:rFonts w:ascii="Arial" w:cs="Arial" w:eastAsia="Arial" w:hAnsi="Arial"/>
                <w:sz w:val="16"/>
                <w:szCs w:val="16"/>
                <w:color w:val="auto"/>
              </w:rPr>
              <w:t>Provision (Credit)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(244)</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w w:val="82"/>
              </w:rPr>
              <w:t>342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Non-interest expense related to</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unfunded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219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Ending balance: individually evaluated for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color w:val="auto"/>
              </w:rPr>
              <w:t>Ending balance: collectively evaluated for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impairment</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254</w:t>
            </w:r>
          </w:p>
        </w:tc>
        <w:tc>
          <w:tcPr>
            <w:tcW w:w="16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244</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ind w:left="280"/>
              <w:spacing w:after="0"/>
              <w:rPr>
                <w:sz w:val="20"/>
                <w:szCs w:val="20"/>
                <w:color w:val="auto"/>
              </w:rPr>
            </w:pPr>
            <w:r>
              <w:rPr>
                <w:rFonts w:ascii="Arial" w:cs="Arial" w:eastAsia="Arial" w:hAnsi="Arial"/>
                <w:sz w:val="16"/>
                <w:szCs w:val="16"/>
                <w:color w:val="auto"/>
                <w:w w:val="82"/>
              </w:rPr>
              <w:t>634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2,947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219</w:t>
            </w: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w w:val="82"/>
              </w:rPr>
              <w:t>991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Ending balance: loans acquired with</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deteriorated credit quality</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b w:val="1"/>
                <w:bCs w:val="1"/>
                <w:color w:val="auto"/>
              </w:rPr>
              <w:t>FINANCING RECEIVABLES: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84,081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62,803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382,183</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121,183</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3"/>
              </w:rPr>
              <w:t>33,878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771,206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color w:val="auto"/>
              </w:rPr>
              <w:t>Ending balance: individually evaluated for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impairment</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1,081</w:t>
            </w:r>
          </w:p>
        </w:tc>
        <w:tc>
          <w:tcPr>
            <w:tcW w:w="16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101</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Ending balance: collectively evaluated for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83,000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62,702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381,687</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121,068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3"/>
              </w:rPr>
              <w:t>33,878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769,413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color w:val="auto"/>
              </w:rPr>
              <w:t>Ending balance: loans acquired with</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deteriorated credit quality</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198</w:t>
            </w:r>
          </w:p>
        </w:tc>
        <w:tc>
          <w:tcPr>
            <w:tcW w:w="16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EARNINGS PER SHARE</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jc w:val="right"/>
              <w:ind w:right="494"/>
              <w:spacing w:after="0" w:line="142" w:lineRule="exact"/>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500"/>
              <w:spacing w:after="0" w:line="123" w:lineRule="exact"/>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34"/>
              <w:spacing w:after="0" w:line="123" w:lineRule="exact"/>
              <w:rPr>
                <w:sz w:val="20"/>
                <w:szCs w:val="20"/>
                <w:color w:val="auto"/>
              </w:rPr>
            </w:pPr>
            <w:r>
              <w:rPr>
                <w:rFonts w:ascii="Arial" w:cs="Arial" w:eastAsia="Arial" w:hAnsi="Arial"/>
                <w:sz w:val="14"/>
                <w:szCs w:val="14"/>
                <w:color w:val="auto"/>
                <w:w w:val="93"/>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3,767</w:t>
            </w:r>
          </w:p>
        </w:tc>
        <w:tc>
          <w:tcPr>
            <w:tcW w:w="3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80" w:type="dxa"/>
            <w:vAlign w:val="bottom"/>
            <w:gridSpan w:val="2"/>
            <w:vMerge w:val="restart"/>
          </w:tcPr>
          <w:p>
            <w:pPr>
              <w:ind w:left="1060"/>
              <w:spacing w:after="0"/>
              <w:rPr>
                <w:sz w:val="20"/>
                <w:szCs w:val="20"/>
                <w:color w:val="auto"/>
              </w:rPr>
            </w:pPr>
            <w:r>
              <w:rPr>
                <w:rFonts w:ascii="Arial" w:cs="Arial" w:eastAsia="Arial" w:hAnsi="Arial"/>
                <w:sz w:val="18"/>
                <w:szCs w:val="18"/>
                <w:color w:val="auto"/>
              </w:rPr>
              <w:t>Weighted average common shares outstanding including participating</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5"/>
                <w:szCs w:val="15"/>
                <w:color w:val="auto"/>
              </w:rPr>
              <w:t>(1)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9,265,959</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9,241,750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average unvested restricted shares </w:t>
            </w:r>
            <w:r>
              <w:rPr>
                <w:rFonts w:ascii="Arial" w:cs="Arial" w:eastAsia="Arial" w:hAnsi="Arial"/>
                <w:sz w:val="15"/>
                <w:szCs w:val="15"/>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(92,429)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(86,300)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680" w:type="dxa"/>
            <w:vAlign w:val="bottom"/>
            <w:gridSpan w:val="2"/>
          </w:tcPr>
          <w:p>
            <w:pPr>
              <w:ind w:left="1060"/>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5"/>
                <w:szCs w:val="15"/>
                <w:color w:val="auto"/>
              </w:rPr>
              <w:t>(1)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9,173,530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9,155,450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Basic earnings and diluted per share </w:t>
            </w:r>
            <w:r>
              <w:rPr>
                <w:rFonts w:ascii="Arial" w:cs="Arial" w:eastAsia="Arial" w:hAnsi="Arial"/>
                <w:sz w:val="15"/>
                <w:szCs w:val="15"/>
                <w:color w:val="auto"/>
              </w:rPr>
              <w:t>(1)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63"/>
              <w:spacing w:after="0"/>
              <w:rPr>
                <w:sz w:val="20"/>
                <w:szCs w:val="20"/>
                <w:color w:val="auto"/>
              </w:rPr>
            </w:pPr>
            <w:r>
              <w:rPr>
                <w:rFonts w:ascii="Arial" w:cs="Arial" w:eastAsia="Arial" w:hAnsi="Arial"/>
                <w:sz w:val="15"/>
                <w:szCs w:val="15"/>
                <w:color w:val="auto"/>
                <w:w w:val="87"/>
              </w:rPr>
              <w:t>(1)</w:t>
            </w:r>
          </w:p>
        </w:tc>
        <w:tc>
          <w:tcPr>
            <w:tcW w:w="6680" w:type="dxa"/>
            <w:vAlign w:val="bottom"/>
            <w:gridSpan w:val="2"/>
            <w:vMerge w:val="restart"/>
          </w:tcPr>
          <w:p>
            <w:pPr>
              <w:ind w:left="140"/>
              <w:spacing w:after="0"/>
              <w:rPr>
                <w:sz w:val="20"/>
                <w:szCs w:val="20"/>
                <w:color w:val="auto"/>
              </w:rPr>
            </w:pPr>
            <w:r>
              <w:rPr>
                <w:rFonts w:ascii="Arial" w:cs="Arial" w:eastAsia="Arial" w:hAnsi="Arial"/>
                <w:sz w:val="18"/>
                <w:szCs w:val="18"/>
                <w:color w:val="auto"/>
                <w:w w:val="98"/>
              </w:rPr>
              <w:t>Share data has been adjusted to reflect a 2-for-1 stock split on September 20, 2017</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 Time Deposits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Securities - Available-for-sale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closed in the last six months of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and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Off Balance Sheet Financial Instruments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March 31, 2018 and December 31, 2017 are reflected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7"/>
              </w:rPr>
              <w:t>(In Thousands)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w w:val="96"/>
              </w:rPr>
              <w:t>March 31, 2018</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spacing w:after="0" w:line="123" w:lineRule="exact"/>
              <w:rPr>
                <w:sz w:val="20"/>
                <w:szCs w:val="20"/>
                <w:color w:val="auto"/>
              </w:rPr>
            </w:pPr>
            <w:r>
              <w:rPr>
                <w:rFonts w:ascii="Arial" w:cs="Arial" w:eastAsia="Arial" w:hAnsi="Arial"/>
                <w:sz w:val="14"/>
                <w:szCs w:val="14"/>
                <w:color w:val="auto"/>
              </w:rPr>
              <w:t>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Fair Value</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39,908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39,908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39,908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192,859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192,859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20,839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170,597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2,769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827,937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813,272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813,272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3,782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573,328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574,512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574,512</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193,665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193,665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193,665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186,345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186,392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186,392</w:t>
            </w:r>
          </w:p>
        </w:tc>
      </w:tr>
      <w:tr>
        <w:trPr>
          <w:trHeight w:val="27"/>
        </w:trPr>
        <w:tc>
          <w:tcPr>
            <w:tcW w:w="6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953,338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954,569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193,665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760,904</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w w:val="96"/>
              </w:rPr>
              <w:t>Federal Funds Purchased and Securities Sold Under Agreement to Repurchase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23,307</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4,882</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(In Thousands)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8"/>
          </w:tcPr>
          <w:p>
            <w:pPr>
              <w:jc w:val="center"/>
              <w:ind w:left="411"/>
              <w:spacing w:after="0" w:line="142" w:lineRule="exact"/>
              <w:rPr>
                <w:sz w:val="20"/>
                <w:szCs w:val="20"/>
                <w:color w:val="auto"/>
              </w:rPr>
            </w:pPr>
            <w:r>
              <w:rPr>
                <w:rFonts w:ascii="Arial" w:cs="Arial" w:eastAsia="Arial" w:hAnsi="Arial"/>
                <w:sz w:val="14"/>
                <w:szCs w:val="14"/>
                <w:color w:val="auto"/>
                <w:w w:val="91"/>
              </w:rPr>
              <w:t>December 31, 2017</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spacing w:after="0" w:line="123" w:lineRule="exact"/>
              <w:rPr>
                <w:sz w:val="20"/>
                <w:szCs w:val="20"/>
                <w:color w:val="auto"/>
              </w:rPr>
            </w:pPr>
            <w:r>
              <w:rPr>
                <w:rFonts w:ascii="Arial" w:cs="Arial" w:eastAsia="Arial" w:hAnsi="Arial"/>
                <w:sz w:val="14"/>
                <w:szCs w:val="14"/>
                <w:color w:val="auto"/>
              </w:rPr>
              <w:t>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Fair Value</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34,467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34,467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196,398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20,978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173,992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1,428</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816,156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819,193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819,193</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4,276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532,660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532,660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532,660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199,114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199,114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199,114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188,335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188,335</w:t>
            </w:r>
          </w:p>
        </w:tc>
      </w:tr>
      <w:tr>
        <w:trPr>
          <w:trHeight w:val="27"/>
        </w:trPr>
        <w:tc>
          <w:tcPr>
            <w:tcW w:w="6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919,340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920,109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199,114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720,995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w w:val="96"/>
              </w:rPr>
              <w:t>Federal Funds Purchased and Securities Sold Under Agreement to Repurchase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39,495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39,495</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5,021</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when quoted prices are available in an active market, securities are valued using the quoted price and are classified as Level 1.</w:t>
      </w:r>
    </w:p>
    <w:p>
      <w:pPr>
        <w:spacing w:after="0" w:line="2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March 31, 2018 and December 31, 2017, segregated by level or the valuation inputs within the fair value hierarchy utilized to measure fair value: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820" w:type="dxa"/>
            <w:vAlign w:val="bottom"/>
            <w:gridSpan w:val="10"/>
          </w:tcPr>
          <w:p>
            <w:pPr>
              <w:spacing w:after="0"/>
              <w:rPr>
                <w:sz w:val="20"/>
                <w:szCs w:val="20"/>
                <w:color w:val="auto"/>
              </w:rPr>
            </w:pPr>
            <w:r>
              <w:rPr>
                <w:rFonts w:ascii="Arial" w:cs="Arial" w:eastAsia="Arial" w:hAnsi="Arial"/>
                <w:sz w:val="14"/>
                <w:szCs w:val="14"/>
                <w:color w:val="auto"/>
                <w:w w:val="93"/>
              </w:rPr>
              <w:t>Assets and Liabilities Measured at Fair Value on a Recurring Basis (In Thousands)</w:t>
            </w:r>
          </w:p>
        </w:tc>
      </w:tr>
      <w:tr>
        <w:trPr>
          <w:trHeight w:val="96"/>
        </w:trPr>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3"/>
          </w:tcPr>
          <w:p>
            <w:pPr>
              <w:jc w:val="center"/>
              <w:ind w:right="460"/>
              <w:spacing w:after="0" w:line="96" w:lineRule="exact"/>
              <w:rPr>
                <w:sz w:val="20"/>
                <w:szCs w:val="20"/>
                <w:color w:val="auto"/>
              </w:rPr>
            </w:pPr>
            <w:r>
              <w:rPr>
                <w:rFonts w:ascii="Arial" w:cs="Arial" w:eastAsia="Arial" w:hAnsi="Arial"/>
                <w:sz w:val="11"/>
                <w:szCs w:val="11"/>
                <w:color w:val="auto"/>
              </w:rPr>
              <w:t>Quoted Prices in</w:t>
            </w:r>
          </w:p>
        </w:tc>
        <w:tc>
          <w:tcPr>
            <w:tcW w:w="920" w:type="dxa"/>
            <w:vAlign w:val="bottom"/>
            <w:tcBorders>
              <w:top w:val="single" w:sz="8" w:color="auto"/>
            </w:tcBorders>
            <w:gridSpan w:val="3"/>
          </w:tcPr>
          <w:p>
            <w:pPr>
              <w:jc w:val="center"/>
              <w:ind w:right="220"/>
              <w:spacing w:after="0" w:line="96" w:lineRule="exact"/>
              <w:rPr>
                <w:sz w:val="20"/>
                <w:szCs w:val="20"/>
                <w:color w:val="auto"/>
              </w:rPr>
            </w:pPr>
            <w:r>
              <w:rPr>
                <w:rFonts w:ascii="Arial" w:cs="Arial" w:eastAsia="Arial" w:hAnsi="Arial"/>
                <w:sz w:val="11"/>
                <w:szCs w:val="11"/>
                <w:color w:val="auto"/>
              </w:rPr>
              <w:t>Significant</w:t>
            </w: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ind w:left="20"/>
              <w:spacing w:after="0" w:line="96" w:lineRule="exact"/>
              <w:rPr>
                <w:sz w:val="20"/>
                <w:szCs w:val="20"/>
                <w:color w:val="auto"/>
              </w:rPr>
            </w:pPr>
            <w:r>
              <w:rPr>
                <w:rFonts w:ascii="Arial" w:cs="Arial" w:eastAsia="Arial" w:hAnsi="Arial"/>
                <w:sz w:val="11"/>
                <w:szCs w:val="11"/>
                <w:color w:val="auto"/>
              </w:rPr>
              <w:t>Significant</w:t>
            </w: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5"/>
              </w:rPr>
              <w:t>Active Markets</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4"/>
              </w:rPr>
              <w:t>Observable</w:t>
            </w: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9"/>
              </w:rPr>
              <w:t>for Identical</w:t>
            </w:r>
          </w:p>
        </w:tc>
        <w:tc>
          <w:tcPr>
            <w:tcW w:w="14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4760" w:type="dxa"/>
            <w:vAlign w:val="bottom"/>
            <w:gridSpan w:val="3"/>
          </w:tcPr>
          <w:p>
            <w:pPr>
              <w:spacing w:after="0"/>
              <w:rPr>
                <w:sz w:val="20"/>
                <w:szCs w:val="20"/>
                <w:color w:val="auto"/>
              </w:rPr>
            </w:pPr>
            <w:r>
              <w:rPr>
                <w:rFonts w:ascii="Arial" w:cs="Arial" w:eastAsia="Arial" w:hAnsi="Arial"/>
                <w:sz w:val="14"/>
                <w:szCs w:val="14"/>
                <w:color w:val="auto"/>
              </w:rPr>
              <w:t>March 31, 2018</w:t>
            </w:r>
          </w:p>
        </w:tc>
        <w:tc>
          <w:tcPr>
            <w:tcW w:w="1540" w:type="dxa"/>
            <w:vAlign w:val="bottom"/>
          </w:tcPr>
          <w:p>
            <w:pPr>
              <w:spacing w:after="0"/>
              <w:rPr>
                <w:sz w:val="14"/>
                <w:szCs w:val="1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color w:val="auto"/>
                <w:w w:val="93"/>
              </w:rPr>
              <w:t>Assets (Level 1)</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(Level 2)</w:t>
            </w:r>
          </w:p>
        </w:tc>
        <w:tc>
          <w:tcPr>
            <w:tcW w:w="2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5"/>
              </w:rPr>
              <w:t>(Level 3)</w:t>
            </w:r>
          </w:p>
        </w:tc>
      </w:tr>
      <w:tr>
        <w:trPr>
          <w:trHeight w:val="27"/>
        </w:trPr>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r>
      <w:tr>
        <w:trPr>
          <w:trHeight w:val="189"/>
        </w:trPr>
        <w:tc>
          <w:tcPr>
            <w:tcW w:w="47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Assets - (Securities Available-for-Sale)</w:t>
            </w:r>
          </w:p>
        </w:tc>
        <w:tc>
          <w:tcPr>
            <w:tcW w:w="15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U.S. Treasury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80"/>
              <w:spacing w:after="0"/>
              <w:rPr>
                <w:sz w:val="20"/>
                <w:szCs w:val="20"/>
                <w:color w:val="auto"/>
              </w:rPr>
            </w:pPr>
            <w:r>
              <w:rPr>
                <w:rFonts w:ascii="Arial" w:cs="Arial" w:eastAsia="Arial" w:hAnsi="Arial"/>
                <w:sz w:val="18"/>
                <w:szCs w:val="18"/>
                <w:color w:val="auto"/>
                <w:w w:val="83"/>
              </w:rPr>
              <w:t>20,839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79,493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36,862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54,242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1,423</w:t>
            </w:r>
          </w:p>
        </w:tc>
      </w:tr>
      <w:tr>
        <w:trPr>
          <w:trHeight w:val="223"/>
        </w:trPr>
        <w:tc>
          <w:tcPr>
            <w:tcW w:w="4760" w:type="dxa"/>
            <w:vAlign w:val="bottom"/>
            <w:gridSpan w:val="3"/>
          </w:tcPr>
          <w:p>
            <w:pPr>
              <w:ind w:left="360"/>
              <w:spacing w:after="0"/>
              <w:rPr>
                <w:sz w:val="20"/>
                <w:szCs w:val="20"/>
                <w:color w:val="auto"/>
              </w:rPr>
            </w:pPr>
            <w:r>
              <w:rPr>
                <w:rFonts w:ascii="Arial" w:cs="Arial" w:eastAsia="Arial" w:hAnsi="Arial"/>
                <w:sz w:val="18"/>
                <w:szCs w:val="18"/>
                <w:color w:val="auto"/>
              </w:rPr>
              <w:t>Total Securities Available-for-Sale</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20,839</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170,597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3"/>
              </w:rPr>
              <w:t>1,423</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r>
      <w:tr>
        <w:trPr>
          <w:trHeight w:val="340"/>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Quoted Prices in</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color w:val="auto"/>
                <w:w w:val="95"/>
              </w:rPr>
              <w:t>Significant</w:t>
            </w:r>
          </w:p>
        </w:tc>
        <w:tc>
          <w:tcPr>
            <w:tcW w:w="24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Significant</w:t>
            </w: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5"/>
              </w:rPr>
              <w:t>Active Markets</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4"/>
              </w:rPr>
              <w:t>Observable</w:t>
            </w: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9"/>
              </w:rPr>
              <w:t>for Identical</w:t>
            </w:r>
          </w:p>
        </w:tc>
        <w:tc>
          <w:tcPr>
            <w:tcW w:w="14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Inputs</w:t>
            </w:r>
          </w:p>
        </w:tc>
      </w:tr>
      <w:tr>
        <w:trPr>
          <w:trHeight w:val="17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December 31, 2017</w:t>
            </w:r>
          </w:p>
        </w:tc>
        <w:tc>
          <w:tcPr>
            <w:tcW w:w="36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Assets (Level 1)</w:t>
            </w:r>
          </w:p>
        </w:tc>
        <w:tc>
          <w:tcPr>
            <w:tcW w:w="4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9"/>
              </w:rPr>
              <w:t>(Level 2)</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r>
      <w:tr>
        <w:trPr>
          <w:trHeight w:val="189"/>
        </w:trPr>
        <w:tc>
          <w:tcPr>
            <w:tcW w:w="47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Assets - (Securities Available-for-Sale)</w:t>
            </w:r>
          </w:p>
        </w:tc>
        <w:tc>
          <w:tcPr>
            <w:tcW w:w="15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U.S. Treasury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80"/>
              <w:spacing w:after="0"/>
              <w:rPr>
                <w:sz w:val="20"/>
                <w:szCs w:val="20"/>
                <w:color w:val="auto"/>
              </w:rPr>
            </w:pPr>
            <w:r>
              <w:rPr>
                <w:rFonts w:ascii="Arial" w:cs="Arial" w:eastAsia="Arial" w:hAnsi="Arial"/>
                <w:sz w:val="18"/>
                <w:szCs w:val="18"/>
                <w:color w:val="auto"/>
                <w:w w:val="83"/>
              </w:rPr>
              <w:t>20,978</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80,466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39,510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54,016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1,428</w:t>
            </w:r>
          </w:p>
        </w:tc>
      </w:tr>
      <w:tr>
        <w:trPr>
          <w:trHeight w:val="223"/>
        </w:trPr>
        <w:tc>
          <w:tcPr>
            <w:tcW w:w="4760" w:type="dxa"/>
            <w:vAlign w:val="bottom"/>
            <w:gridSpan w:val="3"/>
          </w:tcPr>
          <w:p>
            <w:pPr>
              <w:ind w:left="360"/>
              <w:spacing w:after="0"/>
              <w:rPr>
                <w:sz w:val="20"/>
                <w:szCs w:val="20"/>
                <w:color w:val="auto"/>
              </w:rPr>
            </w:pPr>
            <w:r>
              <w:rPr>
                <w:rFonts w:ascii="Arial" w:cs="Arial" w:eastAsia="Arial" w:hAnsi="Arial"/>
                <w:sz w:val="18"/>
                <w:szCs w:val="18"/>
                <w:color w:val="auto"/>
              </w:rPr>
              <w:t>Total Securities Available-for-Sale</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20,978</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173,992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3"/>
              </w:rPr>
              <w:t>1,428</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March 31, 2018 and March 31, 2017.</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7"/>
          </w:tcPr>
          <w:p>
            <w:pPr>
              <w:jc w:val="center"/>
              <w:ind w:right="38"/>
              <w:spacing w:after="0" w:line="142" w:lineRule="exact"/>
              <w:rPr>
                <w:sz w:val="20"/>
                <w:szCs w:val="20"/>
                <w:color w:val="auto"/>
              </w:rPr>
            </w:pPr>
            <w:r>
              <w:rPr>
                <w:rFonts w:ascii="Arial" w:cs="Arial" w:eastAsia="Arial" w:hAnsi="Arial"/>
                <w:sz w:val="14"/>
                <w:szCs w:val="14"/>
                <w:color w:val="auto"/>
                <w:w w:val="93"/>
              </w:rPr>
              <w:t>Fair Value Measurements Using Significant</w:t>
            </w:r>
          </w:p>
        </w:tc>
        <w:tc>
          <w:tcPr>
            <w:tcW w:w="1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4"/>
              </w:rPr>
              <w:t>Unobservable Inputs (Level 3)</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8"/>
              <w:spacing w:after="0" w:line="123" w:lineRule="exact"/>
              <w:rPr>
                <w:sz w:val="20"/>
                <w:szCs w:val="20"/>
                <w:color w:val="auto"/>
              </w:rPr>
            </w:pPr>
            <w:r>
              <w:rPr>
                <w:rFonts w:ascii="Arial" w:cs="Arial" w:eastAsia="Arial" w:hAnsi="Arial"/>
                <w:sz w:val="14"/>
                <w:szCs w:val="14"/>
                <w:color w:val="auto"/>
                <w:w w:val="90"/>
              </w:rPr>
              <w:t>State and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6"/>
              </w:rPr>
              <w:t>State and</w:t>
            </w:r>
          </w:p>
        </w:tc>
        <w:tc>
          <w:tcPr>
            <w:tcW w:w="100" w:type="dxa"/>
            <w:vAlign w:val="bottom"/>
          </w:tcPr>
          <w:p>
            <w:pPr>
              <w:spacing w:after="0"/>
              <w:rPr>
                <w:sz w:val="10"/>
                <w:szCs w:val="10"/>
                <w:color w:val="auto"/>
              </w:rPr>
            </w:pPr>
          </w:p>
        </w:tc>
        <w:tc>
          <w:tcPr>
            <w:tcW w:w="680" w:type="dxa"/>
            <w:vAlign w:val="bottom"/>
          </w:tcPr>
          <w:p>
            <w:pPr>
              <w:jc w:val="center"/>
              <w:ind w:right="38"/>
              <w:spacing w:after="0" w:line="123" w:lineRule="exact"/>
              <w:rPr>
                <w:sz w:val="20"/>
                <w:szCs w:val="20"/>
                <w:color w:val="auto"/>
              </w:rPr>
            </w:pPr>
            <w:r>
              <w:rPr>
                <w:rFonts w:ascii="Arial" w:cs="Arial" w:eastAsia="Arial" w:hAnsi="Arial"/>
                <w:sz w:val="14"/>
                <w:szCs w:val="14"/>
                <w:color w:val="auto"/>
                <w:w w:val="86"/>
              </w:rPr>
              <w:t>State and</w:t>
            </w:r>
          </w:p>
        </w:tc>
        <w:tc>
          <w:tcPr>
            <w:tcW w:w="100" w:type="dxa"/>
            <w:vAlign w:val="bottom"/>
          </w:tcPr>
          <w:p>
            <w:pPr>
              <w:spacing w:after="0"/>
              <w:rPr>
                <w:sz w:val="10"/>
                <w:szCs w:val="10"/>
                <w:color w:val="auto"/>
              </w:rPr>
            </w:pPr>
          </w:p>
        </w:tc>
      </w:t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5"/>
              </w:rPr>
              <w:t>Local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Local</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Local</w:t>
            </w:r>
          </w:p>
        </w:tc>
      </w:tr>
      <w:tr>
        <w:trPr>
          <w:trHeight w:val="149"/>
        </w:trPr>
        <w:tc>
          <w:tcPr>
            <w:tcW w:w="58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w w:val="90"/>
              </w:rPr>
              <w:t>Governments</w:t>
            </w:r>
          </w:p>
        </w:tc>
        <w:tc>
          <w:tcPr>
            <w:tcW w:w="600" w:type="dxa"/>
            <w:vAlign w:val="bottom"/>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2"/>
              </w:rPr>
              <w:t>Governments</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Governments</w:t>
            </w:r>
          </w:p>
        </w:tc>
      </w:tr>
      <w:tr>
        <w:trPr>
          <w:trHeight w:val="167"/>
        </w:trPr>
        <w:tc>
          <w:tcPr>
            <w:tcW w:w="58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2"/>
              </w:rPr>
              <w:t>Tax-Exempt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color w:val="auto"/>
                <w:w w:val="88"/>
              </w:rPr>
              <w:t>Taxable</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7"/>
          </w:tcPr>
          <w:p>
            <w:pPr>
              <w:jc w:val="center"/>
              <w:ind w:right="38"/>
              <w:spacing w:after="0" w:line="142" w:lineRule="exact"/>
              <w:rPr>
                <w:sz w:val="20"/>
                <w:szCs w:val="20"/>
                <w:color w:val="auto"/>
              </w:rPr>
            </w:pPr>
            <w:r>
              <w:rPr>
                <w:rFonts w:ascii="Arial" w:cs="Arial" w:eastAsia="Arial" w:hAnsi="Arial"/>
                <w:sz w:val="14"/>
                <w:szCs w:val="14"/>
                <w:color w:val="auto"/>
                <w:w w:val="93"/>
              </w:rPr>
              <w:t>Fair Value Measurements Using Significant</w:t>
            </w:r>
          </w:p>
        </w:tc>
        <w:tc>
          <w:tcPr>
            <w:tcW w:w="1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4"/>
              </w:rPr>
              <w:t>Unobservable Inputs (Level 3)</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8"/>
              <w:spacing w:after="0" w:line="123" w:lineRule="exact"/>
              <w:rPr>
                <w:sz w:val="20"/>
                <w:szCs w:val="20"/>
                <w:color w:val="auto"/>
              </w:rPr>
            </w:pPr>
            <w:r>
              <w:rPr>
                <w:rFonts w:ascii="Arial" w:cs="Arial" w:eastAsia="Arial" w:hAnsi="Arial"/>
                <w:sz w:val="14"/>
                <w:szCs w:val="14"/>
                <w:color w:val="auto"/>
                <w:w w:val="90"/>
              </w:rPr>
              <w:t>State and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6"/>
              </w:rPr>
              <w:t>State and</w:t>
            </w:r>
          </w:p>
        </w:tc>
        <w:tc>
          <w:tcPr>
            <w:tcW w:w="100" w:type="dxa"/>
            <w:vAlign w:val="bottom"/>
          </w:tcPr>
          <w:p>
            <w:pPr>
              <w:spacing w:after="0"/>
              <w:rPr>
                <w:sz w:val="10"/>
                <w:szCs w:val="10"/>
                <w:color w:val="auto"/>
              </w:rPr>
            </w:pPr>
          </w:p>
        </w:tc>
        <w:tc>
          <w:tcPr>
            <w:tcW w:w="680" w:type="dxa"/>
            <w:vAlign w:val="bottom"/>
          </w:tcPr>
          <w:p>
            <w:pPr>
              <w:jc w:val="center"/>
              <w:ind w:right="38"/>
              <w:spacing w:after="0" w:line="123" w:lineRule="exact"/>
              <w:rPr>
                <w:sz w:val="20"/>
                <w:szCs w:val="20"/>
                <w:color w:val="auto"/>
              </w:rPr>
            </w:pPr>
            <w:r>
              <w:rPr>
                <w:rFonts w:ascii="Arial" w:cs="Arial" w:eastAsia="Arial" w:hAnsi="Arial"/>
                <w:sz w:val="14"/>
                <w:szCs w:val="14"/>
                <w:color w:val="auto"/>
                <w:w w:val="86"/>
              </w:rPr>
              <w:t>State and</w:t>
            </w:r>
          </w:p>
        </w:tc>
        <w:tc>
          <w:tcPr>
            <w:tcW w:w="100" w:type="dxa"/>
            <w:vAlign w:val="bottom"/>
          </w:tcPr>
          <w:p>
            <w:pPr>
              <w:spacing w:after="0"/>
              <w:rPr>
                <w:sz w:val="10"/>
                <w:szCs w:val="10"/>
                <w:color w:val="auto"/>
              </w:rPr>
            </w:pPr>
          </w:p>
        </w:tc>
      </w:t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5"/>
              </w:rPr>
              <w:t>Local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Local</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Local</w:t>
            </w:r>
          </w:p>
        </w:tc>
      </w:tr>
      <w:tr>
        <w:trPr>
          <w:trHeight w:val="149"/>
        </w:trPr>
        <w:tc>
          <w:tcPr>
            <w:tcW w:w="58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Governments</w:t>
            </w:r>
          </w:p>
        </w:tc>
        <w:tc>
          <w:tcPr>
            <w:tcW w:w="600" w:type="dxa"/>
            <w:vAlign w:val="bottom"/>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2"/>
              </w:rPr>
              <w:t>Governments</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Governments</w:t>
            </w:r>
          </w:p>
        </w:tc>
      </w:tr>
      <w:tr>
        <w:trPr>
          <w:trHeight w:val="167"/>
        </w:trPr>
        <w:tc>
          <w:tcPr>
            <w:tcW w:w="58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2"/>
              </w:rPr>
              <w:t>Tax-Exempt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color w:val="auto"/>
                <w:w w:val="88"/>
              </w:rPr>
              <w:t>Taxable</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March 31, 2018 and December 31, 2017,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March 31, 2018 and December 31, 2017, fair value of collateral dependent impaired loans categorized as Level 3 was $503 and $508 thousand, respectively. The specific allocation for impaired loans was $104 and $106 thousand as of March 31, 2018 and December 31, 2017, respectively, which are accounted for in the allowance for loan losses (see Note 4).</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unobservable inputs used in recurring and nonrecurring Level 3 fair value measurements: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State and local government</w:t>
      </w:r>
    </w:p>
    <w:p>
      <w:pPr>
        <w:spacing w:after="0" w:line="264"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Collateral dependent impaired loans</w:t>
      </w:r>
    </w:p>
    <w:p>
      <w:pPr>
        <w:spacing w:after="0" w:line="184" w:lineRule="exact"/>
        <w:rPr>
          <w:sz w:val="20"/>
          <w:szCs w:val="20"/>
          <w:color w:val="auto"/>
        </w:rPr>
      </w:pPr>
    </w:p>
    <w:p>
      <w:pPr>
        <w:ind w:left="180" w:right="360" w:hanging="179"/>
        <w:spacing w:after="0" w:line="258" w:lineRule="auto"/>
        <w:rPr>
          <w:sz w:val="20"/>
          <w:szCs w:val="20"/>
          <w:color w:val="auto"/>
        </w:rPr>
      </w:pPr>
      <w:r>
        <w:rPr>
          <w:rFonts w:ascii="Arial" w:cs="Arial" w:eastAsia="Arial" w:hAnsi="Arial"/>
          <w:sz w:val="18"/>
          <w:szCs w:val="18"/>
          <w:color w:val="auto"/>
        </w:rPr>
        <w:t>Other real estate owned - residential</w:t>
      </w:r>
    </w:p>
    <w:p>
      <w:pPr>
        <w:spacing w:after="0" w:line="1" w:lineRule="exact"/>
        <w:rPr>
          <w:sz w:val="20"/>
          <w:szCs w:val="20"/>
          <w:color w:val="auto"/>
        </w:rPr>
      </w:pPr>
    </w:p>
    <w:p>
      <w:pPr>
        <w:ind w:left="180" w:right="360" w:hanging="179"/>
        <w:spacing w:after="0" w:line="276" w:lineRule="auto"/>
        <w:rPr>
          <w:sz w:val="20"/>
          <w:szCs w:val="20"/>
          <w:color w:val="auto"/>
        </w:rPr>
      </w:pPr>
      <w:r>
        <w:rPr>
          <w:rFonts w:ascii="Arial" w:cs="Arial" w:eastAsia="Arial" w:hAnsi="Arial"/>
          <w:sz w:val="18"/>
          <w:szCs w:val="18"/>
          <w:color w:val="auto"/>
        </w:rPr>
        <w:t>Other real estate owned - commercial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State and local government</w:t>
      </w:r>
    </w:p>
    <w:p>
      <w:pPr>
        <w:spacing w:after="0" w:line="264"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Collateral dependent impaired loans</w:t>
      </w:r>
    </w:p>
    <w:p>
      <w:pPr>
        <w:spacing w:after="0" w:line="184" w:lineRule="exact"/>
        <w:rPr>
          <w:sz w:val="20"/>
          <w:szCs w:val="20"/>
          <w:color w:val="auto"/>
        </w:rPr>
      </w:pPr>
    </w:p>
    <w:p>
      <w:pPr>
        <w:ind w:left="180" w:right="360" w:hanging="179"/>
        <w:spacing w:after="0" w:line="258" w:lineRule="auto"/>
        <w:rPr>
          <w:sz w:val="20"/>
          <w:szCs w:val="20"/>
          <w:color w:val="auto"/>
        </w:rPr>
      </w:pPr>
      <w:r>
        <w:rPr>
          <w:rFonts w:ascii="Arial" w:cs="Arial" w:eastAsia="Arial" w:hAnsi="Arial"/>
          <w:sz w:val="18"/>
          <w:szCs w:val="18"/>
          <w:color w:val="auto"/>
        </w:rPr>
        <w:t>Other real estate owned - residential</w:t>
      </w:r>
    </w:p>
    <w:p>
      <w:pPr>
        <w:spacing w:after="0" w:line="1" w:lineRule="exact"/>
        <w:rPr>
          <w:sz w:val="20"/>
          <w:szCs w:val="20"/>
          <w:color w:val="auto"/>
        </w:rPr>
      </w:pPr>
    </w:p>
    <w:p>
      <w:pPr>
        <w:ind w:left="180" w:right="360" w:hanging="179"/>
        <w:spacing w:after="0" w:line="276" w:lineRule="auto"/>
        <w:rPr>
          <w:sz w:val="20"/>
          <w:szCs w:val="20"/>
          <w:color w:val="auto"/>
        </w:rPr>
      </w:pPr>
      <w:r>
        <w:rPr>
          <w:rFonts w:ascii="Arial" w:cs="Arial" w:eastAsia="Arial" w:hAnsi="Arial"/>
          <w:sz w:val="18"/>
          <w:szCs w:val="18"/>
          <w:color w:val="auto"/>
        </w:rPr>
        <w:t>Other real estate owned - commercial</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3"/>
              </w:rPr>
              <w:t>(In Thousands)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Fair Value at</w:t>
            </w:r>
          </w:p>
        </w:tc>
        <w:tc>
          <w:tcPr>
            <w:tcW w:w="1360" w:type="dxa"/>
            <w:vAlign w:val="bottom"/>
            <w:vMerge w:val="restart"/>
          </w:tcPr>
          <w:p>
            <w:pPr>
              <w:ind w:left="80"/>
              <w:spacing w:after="0"/>
              <w:rPr>
                <w:sz w:val="20"/>
                <w:szCs w:val="20"/>
                <w:color w:val="auto"/>
              </w:rPr>
            </w:pPr>
            <w:r>
              <w:rPr>
                <w:rFonts w:ascii="Arial" w:cs="Arial" w:eastAsia="Arial" w:hAnsi="Arial"/>
                <w:sz w:val="14"/>
                <w:szCs w:val="14"/>
                <w:color w:val="auto"/>
                <w:w w:val="98"/>
              </w:rPr>
              <w:t>Valuation Technique</w:t>
            </w:r>
          </w:p>
        </w:tc>
        <w:tc>
          <w:tcPr>
            <w:tcW w:w="0" w:type="dxa"/>
            <w:vAlign w:val="bottom"/>
          </w:tcPr>
          <w:p>
            <w:pPr>
              <w:spacing w:after="0"/>
              <w:rPr>
                <w:sz w:val="1"/>
                <w:szCs w:val="1"/>
                <w:color w:val="auto"/>
              </w:rPr>
            </w:pPr>
          </w:p>
        </w:tc>
      </w:tr>
      <w:tr>
        <w:trPr>
          <w:trHeight w:val="167"/>
        </w:trPr>
        <w:tc>
          <w:tcPr>
            <w:tcW w:w="1660" w:type="dxa"/>
            <w:vAlign w:val="bottom"/>
            <w:gridSpan w:val="3"/>
          </w:tcPr>
          <w:p>
            <w:pPr>
              <w:jc w:val="center"/>
              <w:ind w:right="440"/>
              <w:spacing w:after="0"/>
              <w:rPr>
                <w:sz w:val="20"/>
                <w:szCs w:val="20"/>
                <w:color w:val="auto"/>
              </w:rPr>
            </w:pPr>
            <w:r>
              <w:rPr>
                <w:rFonts w:ascii="Arial" w:cs="Arial" w:eastAsia="Arial" w:hAnsi="Arial"/>
                <w:sz w:val="14"/>
                <w:szCs w:val="14"/>
                <w:color w:val="auto"/>
                <w:w w:val="92"/>
              </w:rPr>
              <w:t>December 31, 2017</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Discounted Cash</w:t>
            </w:r>
          </w:p>
        </w:tc>
        <w:tc>
          <w:tcPr>
            <w:tcW w:w="0" w:type="dxa"/>
            <w:vAlign w:val="bottom"/>
          </w:tcPr>
          <w:p>
            <w:pPr>
              <w:spacing w:after="0"/>
              <w:rPr>
                <w:sz w:val="1"/>
                <w:szCs w:val="1"/>
                <w:color w:val="auto"/>
              </w:rPr>
            </w:pP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1,423</w:t>
            </w:r>
          </w:p>
        </w:tc>
        <w:tc>
          <w:tcPr>
            <w:tcW w:w="1360" w:type="dxa"/>
            <w:vAlign w:val="bottom"/>
          </w:tcPr>
          <w:p>
            <w:pPr>
              <w:spacing w:after="0"/>
              <w:rPr>
                <w:sz w:val="20"/>
                <w:szCs w:val="20"/>
                <w:color w:val="auto"/>
              </w:rPr>
            </w:pPr>
            <w:r>
              <w:rPr>
                <w:rFonts w:ascii="Arial" w:cs="Arial" w:eastAsia="Arial" w:hAnsi="Arial"/>
                <w:sz w:val="18"/>
                <w:szCs w:val="18"/>
                <w:color w:val="auto"/>
              </w:rPr>
              <w:t>Flow</w:t>
            </w:r>
          </w:p>
        </w:tc>
        <w:tc>
          <w:tcPr>
            <w:tcW w:w="0" w:type="dxa"/>
            <w:vAlign w:val="bottom"/>
          </w:tcPr>
          <w:p>
            <w:pPr>
              <w:spacing w:after="0"/>
              <w:rPr>
                <w:sz w:val="1"/>
                <w:szCs w:val="1"/>
                <w:color w:val="auto"/>
              </w:rPr>
            </w:pPr>
          </w:p>
        </w:tc>
      </w:tr>
      <w:tr>
        <w:trPr>
          <w:trHeight w:val="431"/>
        </w:trPr>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Collateral based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503</w:t>
            </w:r>
          </w:p>
        </w:tc>
        <w:tc>
          <w:tcPr>
            <w:tcW w:w="1360" w:type="dxa"/>
            <w:vAlign w:val="bottom"/>
          </w:tcPr>
          <w:p>
            <w:pPr>
              <w:spacing w:after="0"/>
              <w:rPr>
                <w:sz w:val="20"/>
                <w:szCs w:val="20"/>
                <w:color w:val="auto"/>
              </w:rPr>
            </w:pPr>
            <w:r>
              <w:rPr>
                <w:rFonts w:ascii="Arial" w:cs="Arial" w:eastAsia="Arial" w:hAnsi="Arial"/>
                <w:sz w:val="18"/>
                <w:szCs w:val="18"/>
                <w:color w:val="auto"/>
              </w:rPr>
              <w:t>measurements</w:t>
            </w:r>
          </w:p>
        </w:tc>
        <w:tc>
          <w:tcPr>
            <w:tcW w:w="0" w:type="dxa"/>
            <w:vAlign w:val="bottom"/>
          </w:tcPr>
          <w:p>
            <w:pPr>
              <w:spacing w:after="0"/>
              <w:rPr>
                <w:sz w:val="1"/>
                <w:szCs w:val="1"/>
                <w:color w:val="auto"/>
              </w:rPr>
            </w:pPr>
          </w:p>
        </w:tc>
      </w:tr>
      <w:tr>
        <w:trPr>
          <w:trHeight w:val="446"/>
        </w:trPr>
        <w:tc>
          <w:tcPr>
            <w:tcW w:w="1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r>
              <w:rPr>
                <w:rFonts w:ascii="Arial" w:cs="Arial" w:eastAsia="Arial" w:hAnsi="Arial"/>
                <w:sz w:val="18"/>
                <w:szCs w:val="18"/>
                <w:color w:val="auto"/>
              </w:rPr>
              <w:t>Appraisals</w:t>
            </w:r>
          </w:p>
        </w:tc>
        <w:tc>
          <w:tcPr>
            <w:tcW w:w="0" w:type="dxa"/>
            <w:vAlign w:val="bottom"/>
          </w:tcPr>
          <w:p>
            <w:pPr>
              <w:spacing w:after="0"/>
              <w:rPr>
                <w:sz w:val="1"/>
                <w:szCs w:val="1"/>
                <w:color w:val="auto"/>
              </w:rPr>
            </w:pPr>
          </w:p>
        </w:tc>
      </w:tr>
      <w:tr>
        <w:trPr>
          <w:trHeight w:val="446"/>
        </w:trPr>
        <w:tc>
          <w:tcPr>
            <w:tcW w:w="1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r>
              <w:rPr>
                <w:rFonts w:ascii="Arial" w:cs="Arial" w:eastAsia="Arial" w:hAnsi="Arial"/>
                <w:sz w:val="18"/>
                <w:szCs w:val="18"/>
                <w:color w:val="auto"/>
              </w:rPr>
              <w:t>Appraisals</w:t>
            </w:r>
          </w:p>
        </w:tc>
        <w:tc>
          <w:tcPr>
            <w:tcW w:w="0" w:type="dxa"/>
            <w:vAlign w:val="bottom"/>
          </w:tcPr>
          <w:p>
            <w:pPr>
              <w:spacing w:after="0"/>
              <w:rPr>
                <w:sz w:val="1"/>
                <w:szCs w:val="1"/>
                <w:color w:val="auto"/>
              </w:rPr>
            </w:pPr>
          </w:p>
        </w:tc>
      </w:tr>
      <w:tr>
        <w:trPr>
          <w:trHeight w:val="365"/>
        </w:trPr>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3"/>
              </w:rPr>
              <w:t>(In Thousands)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Fair Value at</w:t>
            </w:r>
          </w:p>
        </w:tc>
        <w:tc>
          <w:tcPr>
            <w:tcW w:w="1360" w:type="dxa"/>
            <w:vAlign w:val="bottom"/>
            <w:vMerge w:val="restart"/>
          </w:tcPr>
          <w:p>
            <w:pPr>
              <w:ind w:left="80"/>
              <w:spacing w:after="0"/>
              <w:rPr>
                <w:sz w:val="20"/>
                <w:szCs w:val="20"/>
                <w:color w:val="auto"/>
              </w:rPr>
            </w:pPr>
            <w:r>
              <w:rPr>
                <w:rFonts w:ascii="Arial" w:cs="Arial" w:eastAsia="Arial" w:hAnsi="Arial"/>
                <w:sz w:val="14"/>
                <w:szCs w:val="14"/>
                <w:color w:val="auto"/>
                <w:w w:val="98"/>
              </w:rPr>
              <w:t>Valuation Technique</w:t>
            </w:r>
          </w:p>
        </w:tc>
        <w:tc>
          <w:tcPr>
            <w:tcW w:w="0" w:type="dxa"/>
            <w:vAlign w:val="bottom"/>
          </w:tcPr>
          <w:p>
            <w:pPr>
              <w:spacing w:after="0"/>
              <w:rPr>
                <w:sz w:val="1"/>
                <w:szCs w:val="1"/>
                <w:color w:val="auto"/>
              </w:rPr>
            </w:pPr>
          </w:p>
        </w:tc>
      </w:tr>
      <w:tr>
        <w:trPr>
          <w:trHeight w:val="167"/>
        </w:trPr>
        <w:tc>
          <w:tcPr>
            <w:tcW w:w="1660" w:type="dxa"/>
            <w:vAlign w:val="bottom"/>
            <w:gridSpan w:val="3"/>
          </w:tcPr>
          <w:p>
            <w:pPr>
              <w:jc w:val="center"/>
              <w:ind w:right="440"/>
              <w:spacing w:after="0"/>
              <w:rPr>
                <w:sz w:val="20"/>
                <w:szCs w:val="20"/>
                <w:color w:val="auto"/>
              </w:rPr>
            </w:pPr>
            <w:r>
              <w:rPr>
                <w:rFonts w:ascii="Arial" w:cs="Arial" w:eastAsia="Arial" w:hAnsi="Arial"/>
                <w:sz w:val="14"/>
                <w:szCs w:val="14"/>
                <w:color w:val="auto"/>
                <w:w w:val="92"/>
              </w:rPr>
              <w:t>December 31, 2017</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Discounted Cash</w:t>
            </w:r>
          </w:p>
        </w:tc>
        <w:tc>
          <w:tcPr>
            <w:tcW w:w="0" w:type="dxa"/>
            <w:vAlign w:val="bottom"/>
          </w:tcPr>
          <w:p>
            <w:pPr>
              <w:spacing w:after="0"/>
              <w:rPr>
                <w:sz w:val="1"/>
                <w:szCs w:val="1"/>
                <w:color w:val="auto"/>
              </w:rPr>
            </w:pPr>
          </w:p>
        </w:tc>
      </w:tr>
      <w:tr>
        <w:trPr>
          <w:trHeight w:val="24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1,428</w:t>
            </w:r>
          </w:p>
        </w:tc>
        <w:tc>
          <w:tcPr>
            <w:tcW w:w="1360" w:type="dxa"/>
            <w:vAlign w:val="bottom"/>
          </w:tcPr>
          <w:p>
            <w:pPr>
              <w:spacing w:after="0"/>
              <w:rPr>
                <w:sz w:val="20"/>
                <w:szCs w:val="20"/>
                <w:color w:val="auto"/>
              </w:rPr>
            </w:pPr>
            <w:r>
              <w:rPr>
                <w:rFonts w:ascii="Arial" w:cs="Arial" w:eastAsia="Arial" w:hAnsi="Arial"/>
                <w:sz w:val="18"/>
                <w:szCs w:val="18"/>
                <w:color w:val="auto"/>
              </w:rPr>
              <w:t>Flow</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Collateral based</w:t>
      </w:r>
    </w:p>
    <w:p>
      <w:pPr>
        <w:spacing w:after="0" w:line="23" w:lineRule="exact"/>
        <w:rPr>
          <w:sz w:val="20"/>
          <w:szCs w:val="20"/>
          <w:color w:val="auto"/>
        </w:rPr>
      </w:pPr>
    </w:p>
    <w:p>
      <w:pPr>
        <w:ind w:left="1660" w:hanging="708"/>
        <w:spacing w:after="0"/>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measurements</w:t>
      </w:r>
    </w:p>
    <w:p>
      <w:pPr>
        <w:spacing w:after="0" w:line="224" w:lineRule="exact"/>
        <w:rPr>
          <w:rFonts w:ascii="Arial" w:cs="Arial" w:eastAsia="Arial" w:hAnsi="Arial"/>
          <w:sz w:val="18"/>
          <w:szCs w:val="18"/>
          <w:color w:val="auto"/>
        </w:rPr>
      </w:pPr>
    </w:p>
    <w:p>
      <w:pPr>
        <w:ind w:left="1660" w:hanging="618"/>
        <w:spacing w:after="0"/>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Appraisals</w:t>
      </w:r>
    </w:p>
    <w:p>
      <w:pPr>
        <w:spacing w:after="0" w:line="239" w:lineRule="exact"/>
        <w:rPr>
          <w:sz w:val="20"/>
          <w:szCs w:val="20"/>
          <w:color w:val="auto"/>
        </w:rPr>
      </w:pPr>
    </w:p>
    <w:p>
      <w:pPr>
        <w:ind w:left="960"/>
        <w:spacing w:after="0"/>
        <w:tabs>
          <w:tab w:leader="none" w:pos="164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8"/>
          <w:szCs w:val="18"/>
          <w:color w:val="auto"/>
        </w:rPr>
        <w:t>Appraisals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vMerge w:val="restart"/>
          </w:tcPr>
          <w:p>
            <w:pPr>
              <w:ind w:left="1260"/>
              <w:spacing w:after="0"/>
              <w:rPr>
                <w:sz w:val="20"/>
                <w:szCs w:val="20"/>
                <w:color w:val="auto"/>
              </w:rPr>
            </w:pPr>
            <w:r>
              <w:rPr>
                <w:rFonts w:ascii="Arial" w:cs="Arial" w:eastAsia="Arial" w:hAnsi="Arial"/>
                <w:sz w:val="14"/>
                <w:szCs w:val="14"/>
                <w:color w:val="auto"/>
              </w:rPr>
              <w:t>Unobservable Inputs</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Credit strength of underlying</w:t>
            </w:r>
          </w:p>
        </w:tc>
        <w:tc>
          <w:tcPr>
            <w:tcW w:w="2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project or entity / Discount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0-5% (3.69%)</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Discount to reflect current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market conditions and</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ultimate collectability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0-50% (17.11%)</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Discount to reflect current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market</w:t>
            </w:r>
          </w:p>
        </w:tc>
        <w:tc>
          <w:tcPr>
            <w:tcW w:w="1380" w:type="dxa"/>
            <w:vAlign w:val="bottom"/>
          </w:tcPr>
          <w:p>
            <w:pPr>
              <w:jc w:val="right"/>
              <w:spacing w:after="0"/>
              <w:rPr>
                <w:sz w:val="20"/>
                <w:szCs w:val="20"/>
                <w:color w:val="auto"/>
              </w:rPr>
            </w:pPr>
            <w:r>
              <w:rPr>
                <w:rFonts w:ascii="Arial" w:cs="Arial" w:eastAsia="Arial" w:hAnsi="Arial"/>
                <w:sz w:val="18"/>
                <w:szCs w:val="18"/>
                <w:color w:val="auto"/>
              </w:rPr>
              <w:t>0-20% ( - )</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Discount to reflect current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color w:val="auto"/>
              </w:rPr>
              <w:t>market</w:t>
            </w:r>
          </w:p>
        </w:tc>
        <w:tc>
          <w:tcPr>
            <w:tcW w:w="1380" w:type="dxa"/>
            <w:vAlign w:val="bottom"/>
          </w:tcPr>
          <w:p>
            <w:pPr>
              <w:jc w:val="right"/>
              <w:spacing w:after="0"/>
              <w:rPr>
                <w:sz w:val="20"/>
                <w:szCs w:val="20"/>
                <w:color w:val="auto"/>
              </w:rPr>
            </w:pPr>
            <w:r>
              <w:rPr>
                <w:rFonts w:ascii="Arial" w:cs="Arial" w:eastAsia="Arial" w:hAnsi="Arial"/>
                <w:sz w:val="18"/>
                <w:szCs w:val="18"/>
                <w:color w:val="auto"/>
              </w:rPr>
              <w:t>0-20% ( - )</w:t>
            </w: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vMerge w:val="restart"/>
          </w:tcPr>
          <w:p>
            <w:pPr>
              <w:ind w:left="1260"/>
              <w:spacing w:after="0"/>
              <w:rPr>
                <w:sz w:val="20"/>
                <w:szCs w:val="20"/>
                <w:color w:val="auto"/>
              </w:rPr>
            </w:pPr>
            <w:r>
              <w:rPr>
                <w:rFonts w:ascii="Arial" w:cs="Arial" w:eastAsia="Arial" w:hAnsi="Arial"/>
                <w:sz w:val="14"/>
                <w:szCs w:val="14"/>
                <w:color w:val="auto"/>
              </w:rPr>
              <w:t>Unobservable Inputs</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Credit strength of underlying</w:t>
            </w:r>
          </w:p>
        </w:tc>
        <w:tc>
          <w:tcPr>
            <w:tcW w:w="2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project or entity / Discount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0-5% (3.68%)</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Discount to reflect current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market conditions and</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ultimate collectability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0-50% (17.28%)</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Discount to reflect current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market</w:t>
            </w:r>
          </w:p>
        </w:tc>
        <w:tc>
          <w:tcPr>
            <w:tcW w:w="1380" w:type="dxa"/>
            <w:vAlign w:val="bottom"/>
          </w:tcPr>
          <w:p>
            <w:pPr>
              <w:jc w:val="right"/>
              <w:spacing w:after="0"/>
              <w:rPr>
                <w:sz w:val="20"/>
                <w:szCs w:val="20"/>
                <w:color w:val="auto"/>
              </w:rPr>
            </w:pPr>
            <w:r>
              <w:rPr>
                <w:rFonts w:ascii="Arial" w:cs="Arial" w:eastAsia="Arial" w:hAnsi="Arial"/>
                <w:sz w:val="18"/>
                <w:szCs w:val="18"/>
                <w:color w:val="auto"/>
              </w:rPr>
              <w:t>0-20% (2.22%)</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Discount to reflect current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color w:val="auto"/>
              </w:rPr>
              <w:t>market</w:t>
            </w:r>
          </w:p>
        </w:tc>
        <w:tc>
          <w:tcPr>
            <w:tcW w:w="1380" w:type="dxa"/>
            <w:vAlign w:val="bottom"/>
          </w:tcPr>
          <w:p>
            <w:pPr>
              <w:jc w:val="right"/>
              <w:spacing w:after="0"/>
              <w:rPr>
                <w:sz w:val="20"/>
                <w:szCs w:val="20"/>
                <w:color w:val="auto"/>
              </w:rPr>
            </w:pPr>
            <w:r>
              <w:rPr>
                <w:rFonts w:ascii="Arial" w:cs="Arial" w:eastAsia="Arial" w:hAnsi="Arial"/>
                <w:sz w:val="18"/>
                <w:szCs w:val="18"/>
                <w:color w:val="auto"/>
              </w:rPr>
              <w:t>0-20% (5.15%)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-3069590</wp:posOffset>
            </wp:positionV>
            <wp:extent cx="72466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-2357755</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-1276985</wp:posOffset>
            </wp:positionV>
            <wp:extent cx="72466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-565150</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3">
            <w:col w:w="2180" w:space="320"/>
            <w:col w:w="3020" w:space="100"/>
            <w:col w:w="5560"/>
          </w:cols>
          <w:pgMar w:left="240" w:top="459" w:right="4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impaired loans and other real estate owned as recorded at fair value on March 31, 2018 and December 31, 2017:</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color w:val="auto"/>
                <w:w w:val="96"/>
              </w:rPr>
              <w:t>Assets Measured at Fair Value on a Nonrecurring Basis at March 31, 2018</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2"/>
          </w:tcPr>
          <w:p>
            <w:pPr>
              <w:jc w:val="center"/>
              <w:ind w:right="920"/>
              <w:spacing w:after="0" w:line="123" w:lineRule="exact"/>
              <w:rPr>
                <w:sz w:val="20"/>
                <w:szCs w:val="20"/>
                <w:color w:val="auto"/>
              </w:rPr>
            </w:pPr>
            <w:r>
              <w:rPr>
                <w:rFonts w:ascii="Arial" w:cs="Arial" w:eastAsia="Arial" w:hAnsi="Arial"/>
                <w:sz w:val="14"/>
                <w:szCs w:val="14"/>
                <w:color w:val="auto"/>
                <w:w w:val="93"/>
              </w:rPr>
              <w:t>(In Thousands)</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4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93"/>
              </w:rPr>
              <w:t>Quoted Prices in Active</w:t>
            </w:r>
          </w:p>
        </w:tc>
        <w:tc>
          <w:tcPr>
            <w:tcW w:w="16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Significant</w:t>
            </w: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Balance at</w:t>
            </w:r>
          </w:p>
        </w:tc>
        <w:tc>
          <w:tcPr>
            <w:tcW w:w="640" w:type="dxa"/>
            <w:vAlign w:val="bottom"/>
          </w:tcPr>
          <w:p>
            <w:pPr>
              <w:spacing w:after="0"/>
              <w:rPr>
                <w:sz w:val="12"/>
                <w:szCs w:val="12"/>
                <w:color w:val="auto"/>
              </w:rPr>
            </w:pPr>
          </w:p>
        </w:tc>
        <w:tc>
          <w:tcPr>
            <w:tcW w:w="214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6"/>
              </w:rPr>
              <w:t>Markets for Identical</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Observable Inputs</w:t>
            </w: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Unobservable Inputs</w:t>
            </w:r>
          </w:p>
        </w:tc>
      </w:tr>
      <w:tr>
        <w:trPr>
          <w:trHeight w:val="167"/>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March 31, 2018</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9"/>
              </w:rPr>
              <w:t>(Level 2)</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3)</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6"/>
              </w:rPr>
              <w:t>503</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503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real estate owned - residential</w:t>
            </w:r>
          </w:p>
        </w:tc>
        <w:tc>
          <w:tcPr>
            <w:tcW w:w="10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Collateral dependent impaired loans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real estate owned - residential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real estate owned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commercial</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4"/>
          <w:szCs w:val="14"/>
          <w:color w:val="auto"/>
        </w:rPr>
        <w:t>Assets Measured at Fair Value on a Nonrecurring Basis at December 31, 2017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2"/>
          </w:tcPr>
          <w:p>
            <w:pPr>
              <w:jc w:val="center"/>
              <w:ind w:right="920"/>
              <w:spacing w:after="0" w:line="123" w:lineRule="exact"/>
              <w:rPr>
                <w:sz w:val="20"/>
                <w:szCs w:val="20"/>
                <w:color w:val="auto"/>
              </w:rPr>
            </w:pPr>
            <w:r>
              <w:rPr>
                <w:rFonts w:ascii="Arial" w:cs="Arial" w:eastAsia="Arial" w:hAnsi="Arial"/>
                <w:sz w:val="14"/>
                <w:szCs w:val="14"/>
                <w:color w:val="auto"/>
                <w:w w:val="93"/>
              </w:rPr>
              <w:t>(In Thousands)</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2"/>
              </w:rPr>
              <w:t>Quoted Prices in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9"/>
              </w:rPr>
              <w:t>Active</w:t>
            </w:r>
          </w:p>
        </w:tc>
        <w:tc>
          <w:tcPr>
            <w:tcW w:w="16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Significant</w:t>
            </w:r>
          </w:p>
        </w:tc>
      </w:tr>
      <w:tr>
        <w:trPr>
          <w:trHeight w:val="149"/>
        </w:trPr>
        <w:tc>
          <w:tcPr>
            <w:tcW w:w="180" w:type="dxa"/>
            <w:vAlign w:val="bottom"/>
          </w:tcPr>
          <w:p>
            <w:pPr>
              <w:spacing w:after="0"/>
              <w:rPr>
                <w:sz w:val="12"/>
                <w:szCs w:val="12"/>
                <w:color w:val="auto"/>
              </w:rPr>
            </w:pPr>
          </w:p>
        </w:tc>
        <w:tc>
          <w:tcPr>
            <w:tcW w:w="1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Balance at</w:t>
            </w:r>
          </w:p>
        </w:tc>
        <w:tc>
          <w:tcPr>
            <w:tcW w:w="214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6"/>
              </w:rPr>
              <w:t>Markets for Identical</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Observable Inputs</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3"/>
              </w:rPr>
              <w:t>Unobservable Inputs</w:t>
            </w:r>
          </w:p>
        </w:tc>
      </w:tr>
      <w:tr>
        <w:trPr>
          <w:trHeight w:val="167"/>
        </w:trPr>
        <w:tc>
          <w:tcPr>
            <w:tcW w:w="1900" w:type="dxa"/>
            <w:vAlign w:val="bottom"/>
            <w:gridSpan w:val="3"/>
          </w:tcPr>
          <w:p>
            <w:pPr>
              <w:spacing w:after="0"/>
              <w:rPr>
                <w:sz w:val="20"/>
                <w:szCs w:val="20"/>
                <w:color w:val="auto"/>
              </w:rPr>
            </w:pPr>
            <w:r>
              <w:rPr>
                <w:rFonts w:ascii="Arial" w:cs="Arial" w:eastAsia="Arial" w:hAnsi="Arial"/>
                <w:sz w:val="14"/>
                <w:szCs w:val="14"/>
                <w:color w:val="auto"/>
              </w:rPr>
              <w:t>December 31, 2017</w:t>
            </w:r>
          </w:p>
        </w:tc>
        <w:tc>
          <w:tcPr>
            <w:tcW w:w="14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9"/>
              </w:rPr>
              <w:t>(Level 2)</w:t>
            </w: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(Level 3)</w:t>
            </w:r>
          </w:p>
        </w:tc>
      </w:tr>
      <w:tr>
        <w:trPr>
          <w:trHeight w:val="195"/>
        </w:trPr>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508</w:t>
            </w:r>
          </w:p>
        </w:tc>
        <w:tc>
          <w:tcPr>
            <w:tcW w:w="7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62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508</w:t>
            </w:r>
          </w:p>
        </w:tc>
        <w:tc>
          <w:tcPr>
            <w:tcW w:w="20" w:type="dxa"/>
            <w:vAlign w:val="bottom"/>
          </w:tcPr>
          <w:p>
            <w:pPr>
              <w:spacing w:after="0"/>
              <w:rPr>
                <w:sz w:val="16"/>
                <w:szCs w:val="16"/>
                <w:color w:val="auto"/>
              </w:rPr>
            </w:pPr>
          </w:p>
        </w:tc>
      </w:tr>
      <w:tr>
        <w:trPr>
          <w:trHeight w:val="230"/>
        </w:trPr>
        <w:tc>
          <w:tcPr>
            <w:tcW w:w="180" w:type="dxa"/>
            <w:vAlign w:val="bottom"/>
          </w:tcPr>
          <w:p>
            <w:pPr>
              <w:spacing w:after="0"/>
              <w:rPr>
                <w:sz w:val="20"/>
                <w:szCs w:val="20"/>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432"/>
        </w:trPr>
        <w:tc>
          <w:tcPr>
            <w:tcW w:w="180" w:type="dxa"/>
            <w:vAlign w:val="bottom"/>
          </w:tcPr>
          <w:p>
            <w:pPr>
              <w:spacing w:after="0"/>
              <w:rPr>
                <w:sz w:val="24"/>
                <w:szCs w:val="2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24"/>
                <w:szCs w:val="24"/>
                <w:color w:val="auto"/>
              </w:rPr>
            </w:pP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-556895</wp:posOffset>
            </wp:positionV>
            <wp:extent cx="666369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-273685</wp:posOffset>
            </wp:positionV>
            <wp:extent cx="666369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580"/>
          </w:cols>
          <w:pgMar w:left="240" w:top="459" w:right="239" w:bottom="1440" w:gutter="0" w:footer="0" w:header="0"/>
          <w:type w:val="continuous"/>
        </w:sectPr>
      </w:pPr>
    </w:p>
    <w:p>
      <w:pPr>
        <w:spacing w:after="0" w:line="110"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FEDERAL FUNDS PURCHASED AND SECURITIES SOLD UNDER AGREEMENTS TO REPURCHASE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did not have any Federal Funds Purchased as of March 31, 2018 and had $10.4 million as of December 31, 2017. During the same time periods the company also had $23.3 million and $29.1 million in securities sold under agreement to repurchase.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March 31, 2018</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80" w:type="dxa"/>
            <w:vAlign w:val="bottom"/>
            <w:tcBorders>
              <w:bottom w:val="single" w:sz="8" w:color="auto"/>
            </w:tcBorders>
            <w:gridSpan w:val="10"/>
          </w:tcPr>
          <w:p>
            <w:pPr>
              <w:jc w:val="center"/>
              <w:ind w:right="160"/>
              <w:spacing w:after="0" w:line="142" w:lineRule="exact"/>
              <w:rPr>
                <w:sz w:val="20"/>
                <w:szCs w:val="20"/>
                <w:color w:val="auto"/>
              </w:rPr>
            </w:pPr>
            <w:r>
              <w:rPr>
                <w:rFonts w:ascii="Arial" w:cs="Arial" w:eastAsia="Arial" w:hAnsi="Arial"/>
                <w:sz w:val="14"/>
                <w:szCs w:val="14"/>
                <w:color w:val="auto"/>
                <w:w w:val="94"/>
              </w:rPr>
              <w:t>Remaining Contractual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gridSpan w:val="2"/>
          </w:tcPr>
          <w:p>
            <w:pPr>
              <w:spacing w:after="0" w:line="123" w:lineRule="exact"/>
              <w:rPr>
                <w:sz w:val="20"/>
                <w:szCs w:val="20"/>
                <w:color w:val="auto"/>
              </w:rPr>
            </w:pPr>
            <w:r>
              <w:rPr>
                <w:rFonts w:ascii="Arial" w:cs="Arial" w:eastAsia="Arial" w:hAnsi="Arial"/>
                <w:sz w:val="14"/>
                <w:szCs w:val="14"/>
                <w:color w:val="auto"/>
                <w:w w:val="97"/>
              </w:rPr>
              <w:t>Overnight &amp;</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Greater Than 90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w w:val="98"/>
              </w:rPr>
              <w:t>Continuous</w:t>
            </w:r>
          </w:p>
        </w:tc>
        <w:tc>
          <w:tcPr>
            <w:tcW w:w="4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30-90 days</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days</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23,036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23,307</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23,036</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December 31, 2017</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80" w:type="dxa"/>
            <w:vAlign w:val="bottom"/>
            <w:tcBorders>
              <w:bottom w:val="single" w:sz="8" w:color="auto"/>
            </w:tcBorders>
            <w:gridSpan w:val="10"/>
          </w:tcPr>
          <w:p>
            <w:pPr>
              <w:jc w:val="center"/>
              <w:ind w:right="160"/>
              <w:spacing w:after="0" w:line="142" w:lineRule="exact"/>
              <w:rPr>
                <w:sz w:val="20"/>
                <w:szCs w:val="20"/>
                <w:color w:val="auto"/>
              </w:rPr>
            </w:pPr>
            <w:r>
              <w:rPr>
                <w:rFonts w:ascii="Arial" w:cs="Arial" w:eastAsia="Arial" w:hAnsi="Arial"/>
                <w:sz w:val="14"/>
                <w:szCs w:val="14"/>
                <w:color w:val="auto"/>
                <w:w w:val="94"/>
              </w:rPr>
              <w:t>Remaining Contractual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gridSpan w:val="2"/>
          </w:tcPr>
          <w:p>
            <w:pPr>
              <w:spacing w:after="0" w:line="123" w:lineRule="exact"/>
              <w:rPr>
                <w:sz w:val="20"/>
                <w:szCs w:val="20"/>
                <w:color w:val="auto"/>
              </w:rPr>
            </w:pPr>
            <w:r>
              <w:rPr>
                <w:rFonts w:ascii="Arial" w:cs="Arial" w:eastAsia="Arial" w:hAnsi="Arial"/>
                <w:sz w:val="14"/>
                <w:szCs w:val="14"/>
                <w:color w:val="auto"/>
                <w:w w:val="97"/>
              </w:rPr>
              <w:t>Overnight &amp;</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Greater Than 90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w w:val="98"/>
              </w:rPr>
              <w:t>Continuous</w:t>
            </w:r>
          </w:p>
        </w:tc>
        <w:tc>
          <w:tcPr>
            <w:tcW w:w="4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30-90 days</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days</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22,925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29,070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16,570</w:t>
            </w: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22,925</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8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RECENT ACCOUNTING PRONOUNCEMENTS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requires that an entity recognize revenue to depict the transfer of promised goods or services to customers in an amount that reflects the consideration to which the entity expects to be entitled in exchange for those goods and services. On July 9, 2015, the FASB approved amendments deferring the effective date by one year. ASU 2014-09 is now effective for annual reporting periods beginning after December 15, 2017, including interim periods within that reporting period. The amendments can be applied retrospectively to each prior reporting period or retrospectively with the cumulative effect of initially applying this Update recognized at the date of initial application. Early application was permitted but not before the original public entity effective date, </w:t>
      </w:r>
      <w:r>
        <w:rPr>
          <w:rFonts w:ascii="Arial" w:cs="Arial" w:eastAsia="Arial" w:hAnsi="Arial"/>
          <w:sz w:val="16"/>
          <w:szCs w:val="16"/>
          <w:i w:val="1"/>
          <w:iCs w:val="1"/>
          <w:color w:val="auto"/>
        </w:rPr>
        <w:t>i.e</w:t>
      </w:r>
      <w:r>
        <w:rPr>
          <w:rFonts w:ascii="Arial" w:cs="Arial" w:eastAsia="Arial" w:hAnsi="Arial"/>
          <w:sz w:val="16"/>
          <w:szCs w:val="16"/>
          <w:color w:val="auto"/>
        </w:rPr>
        <w:t>., annual periods beginning after December 15, 2016. The Company has adopted ASU 2014-09 on January 1, 2018 and has determined, based on analysis performed, that ASU No 2014-09 does not have a significant impact on its financial statements. Several of the Company’s revenue streams were scoped out as a result of the standard.</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January 2016, the Financial Accounting Standards Board (FASB) issued ASU No. 2016-01 “</w:t>
      </w:r>
      <w:r>
        <w:rPr>
          <w:rFonts w:ascii="Arial" w:cs="Arial" w:eastAsia="Arial" w:hAnsi="Arial"/>
          <w:sz w:val="17"/>
          <w:szCs w:val="17"/>
          <w:i w:val="1"/>
          <w:iCs w:val="1"/>
          <w:color w:val="auto"/>
        </w:rPr>
        <w:t>Financial Instruments - Overall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825-10) - Recognition and Measurement of Financial Assets and Financial Liabilities.” </w:t>
      </w:r>
      <w:r>
        <w:rPr>
          <w:rFonts w:ascii="Arial" w:cs="Arial" w:eastAsia="Arial" w:hAnsi="Arial"/>
          <w:sz w:val="17"/>
          <w:szCs w:val="17"/>
          <w:color w:val="auto"/>
        </w:rPr>
        <w:t>ASU 2016-01 is intended to improve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instruments by 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adopted ASU 2016-01 on January 1, 2018 and it did not have a material impact on the consolidated financial statement. The Bank’s equity securities are membership stocks in the Federal Home Loan Bank and Farmer Mac and thereby excluded from fair value pricing. For exit pricing on loans, the company used recent Merger and Acquisition Transaction Metrics compiled by S&amp;P Global Market Intelligence for the second half of 2017. This provided the credit mark to be used along with the fair value adjustment based on the yield metrics of the portfolio.</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2016, FASB issued 2016-13, Financial Instruments - 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RECENT ACCOUNTING PRONOUNCEMENTS (Continued)</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 At this time, an external advisor has been contracted. The Company is in the early stages of CECL conversion.</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2016, the FASB issued ASU No. 2016-18 “</w:t>
      </w:r>
      <w:r>
        <w:rPr>
          <w:rFonts w:ascii="Arial" w:cs="Arial" w:eastAsia="Arial" w:hAnsi="Arial"/>
          <w:sz w:val="16"/>
          <w:szCs w:val="16"/>
          <w:i w:val="1"/>
          <w:iCs w:val="1"/>
          <w:color w:val="auto"/>
        </w:rPr>
        <w:t>Statement of Cash Flows (Topic 230) - Restricted Cash.”</w:t>
      </w:r>
      <w:r>
        <w:rPr>
          <w:rFonts w:ascii="Arial" w:cs="Arial" w:eastAsia="Arial" w:hAnsi="Arial"/>
          <w:sz w:val="16"/>
          <w:szCs w:val="16"/>
          <w:color w:val="auto"/>
        </w:rPr>
        <w:t xml:space="preserve"> 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 December 15, 2017, and interim periods within those fiscal years and should be applied using a retrospective transition method to each period presented. Early adoption is permitted including adoption in an interim period. The Company has adopted ASU 2016-18 on January 1, 2018 and does not currently have restricted cash or restricted cash equivalents. In the future, restricted cash or restricted cash equivalents will be presented in accordance with the guidance.</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2017, the FASB issued ASU No. 2017-01 “</w:t>
      </w:r>
      <w:r>
        <w:rPr>
          <w:rFonts w:ascii="Arial" w:cs="Arial" w:eastAsia="Arial" w:hAnsi="Arial"/>
          <w:sz w:val="18"/>
          <w:szCs w:val="18"/>
          <w:i w:val="1"/>
          <w:iCs w:val="1"/>
          <w:color w:val="auto"/>
        </w:rPr>
        <w:t>Business Combinations (Topic 805) - Clarifying the Definition of a Business.”</w:t>
      </w:r>
      <w:r>
        <w:rPr>
          <w:rFonts w:ascii="Arial" w:cs="Arial" w:eastAsia="Arial" w:hAnsi="Arial"/>
          <w:sz w:val="18"/>
          <w:szCs w:val="18"/>
          <w:color w:val="auto"/>
        </w:rPr>
        <w:t xml:space="preserve"> 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adopted ASU 2017-01 on January 1, 2018 and going forward will account for business combinations accordingly.</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 Simplifying the Test for Goodwill Impairment”</w:t>
      </w:r>
      <w:r>
        <w:rPr>
          <w:rFonts w:ascii="Arial" w:cs="Arial" w:eastAsia="Arial" w:hAnsi="Arial"/>
          <w:sz w:val="18"/>
          <w:szCs w:val="18"/>
          <w:color w:val="auto"/>
        </w:rPr>
        <w:t xml:space="preserve"> These amendments eliminate Step 2 from the goodwill impairment test.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2017, the FASB issued Accounting Standards Update (ASU) No. 2017-08 </w:t>
      </w:r>
      <w:r>
        <w:rPr>
          <w:rFonts w:ascii="Arial" w:cs="Arial" w:eastAsia="Arial" w:hAnsi="Arial"/>
          <w:sz w:val="18"/>
          <w:szCs w:val="18"/>
          <w:i w:val="1"/>
          <w:iCs w:val="1"/>
          <w:color w:val="auto"/>
        </w:rPr>
        <w:t>“Receivables - Nonrefundable Fees and Other Cost (Subtopic 310-20),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Premium Amortization on Purchased Callable Debit Securities.” </w:t>
      </w:r>
      <w:r>
        <w:rPr>
          <w:rFonts w:ascii="Arial" w:cs="Arial" w:eastAsia="Arial" w:hAnsi="Arial"/>
          <w:sz w:val="18"/>
          <w:szCs w:val="18"/>
          <w:color w:val="auto"/>
        </w:rPr>
        <w:t>These amendments shorten the amortization period for certain callable debit securities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a premium. 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3" w:lineRule="exact"/>
        <w:rPr>
          <w:sz w:val="20"/>
          <w:szCs w:val="20"/>
          <w:color w:val="auto"/>
        </w:rPr>
      </w:pPr>
    </w:p>
    <w:p>
      <w:pPr>
        <w:ind w:left="920"/>
        <w:spacing w:after="0"/>
        <w:tabs>
          <w:tab w:leader="none" w:pos="170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RECENT ACCOUNTING PRONOUNCEMENTS (Continued)</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applied on a modified retrospective basis, with a cumulative-effect adjustment directly to retained earnings as of the beginning of the period of adoption. The Company adopted this standard as of January 1, 2018. The impact of just over $30 thousand of accelerated amortization expense was booked and the adjustment ran through retained earnings. This will not alter the Bank or Company’s well capitalized status. The Bank’s Municipal Tax-Exempt category of securities was the only category affected by the adoption.</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Scope of Modification Accounting.” </w:t>
      </w:r>
      <w:r>
        <w:rPr>
          <w:rFonts w:ascii="Arial" w:cs="Arial" w:eastAsia="Arial" w:hAnsi="Arial"/>
          <w:sz w:val="17"/>
          <w:szCs w:val="17"/>
          <w:color w:val="auto"/>
        </w:rPr>
        <w:t>These amendments provide guidance on determining which changes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share-based payment awards require an entity to apply modification accounting under Topic 7l8. The guidance is effective for public business entities for fiscal years, and interim periods within those fiscal years, beginning after December 15, 2017. Early adoption is permitted, including adoption in an interim period. The amendments should be applied on a prospective basis to an award modified on or after the adoption date. The Company adopted ASU 2016-09 on January 1, 2017. ASU 2016-09 also requires that companies make an accounting policy election regarding forfeitures, to either estimate the number of awards that are expected to vest or account for them when they occur. The impact of this change and that of the remaining provisions of ASU 2016-09 did not have a significant impact on our financial statements.</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February 2018, the Financial Accounting Standards Board (FASB) issued Accounting Standards Update (ASU) No. 2018-02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 Reporting Comprehensive Income (Topic 220): Reclassification of Certain Tax Effects from Accumulated Other Comprehensive Income.”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allow for the reclassification of stranded tax effects in accumulated other comprehensive income (AOCI) an option rather than a requirement; however, disclosure is required if not elected. The reclassification from accumulated other comprehensive income to retained earnings results from the newly enacted federal corporate income tax rate resulting from the Tax Cuts and Job Acts signed by President Trump in December 2017. The amount of the reclassification is the difference between the historical corporate income tax rate and the newly enacted corporate income tax rate of 21%. Entities will have an option to adopt the standard retrospectively or in the period of adoption. The company has adopted this standard on January 1, 2018 and reclassified approximately $360 thousand into retained earnings.</w:t>
      </w:r>
    </w:p>
    <w:p>
      <w:pPr>
        <w:spacing w:after="0" w:line="341" w:lineRule="exact"/>
        <w:rPr>
          <w:sz w:val="20"/>
          <w:szCs w:val="20"/>
          <w:color w:val="auto"/>
        </w:rPr>
      </w:pPr>
    </w:p>
    <w:p>
      <w:pPr>
        <w:ind w:right="158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With long-term sustainable growth as a strategic objective, the Bank opened its 25</w:t>
      </w:r>
      <w:r>
        <w:rPr>
          <w:rFonts w:ascii="Arial" w:cs="Arial" w:eastAsia="Arial" w:hAnsi="Arial"/>
          <w:sz w:val="13"/>
          <w:szCs w:val="13"/>
          <w:color w:val="auto"/>
        </w:rPr>
        <w:t>th</w:t>
      </w:r>
      <w:r>
        <w:rPr>
          <w:rFonts w:ascii="Arial" w:cs="Arial" w:eastAsia="Arial" w:hAnsi="Arial"/>
          <w:sz w:val="16"/>
          <w:szCs w:val="16"/>
          <w:color w:val="auto"/>
        </w:rPr>
        <w:t xml:space="preserve"> office in Findlay, Ohio, in the first quarter. Unique to the office is the utilization of newer technology in the form of Interactive Teller Machines (ITMs). The use of ITMs enabled the office to be remodeled and eliminated the traditional teller line and drive-up. The ITMs have remote assistance available upon request or the customer can complete the transactions themselves with debit card activation. Previous teller line space has been converted to work stations at which personal relationship bankers may assist customers with transactions, open a deposit account, add a service or grant a consumer loan. The strategic initiative provides a better customer experience upon entering the office. A personal relationship banker will greet the customer and personally assist them with their banking needs. The physical office transformations will continue with existing offices over multiple years and any additional new offices will be designed accordingly.</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offices will have some type of personnel transformation in the coming quarter as the banking experience of our communities is also more personalized. Bankers will be spending more time out of the office, focused on small business relationships and home loan originations. Along with the new office, the Company plans for growth in 2018 to be more focused within its newer markets – both in loans and deposits. This has been evident already in the first quarter of this year.</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the local economies continue to grow. The loan pipeline remains strong and has yet to be negatively impacted by the prime rate increases of the last 12 months. Public road work is slowing while private demand is picking up. More companies are turning to automation as finding employees has become more difficult. The labor shortage is a concern for many industrial sectors. The company has also experienced difficulty in finding quality employees with the low unemployment rates throughout our markets.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OVERVIEW (Continued)</w:t>
      </w:r>
    </w:p>
    <w:p>
      <w:pPr>
        <w:spacing w:after="0" w:line="14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Government policies have created volatility in the agricultural sector. Wet land and cold temperatures throughout the market area have also kept farmers out of the fields. However, there is time for both situations to improve before it will permanently affect the agricultural community. Land values continue to hold on sales of marginal soil types showing a slight deterioration in prices.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Federal rate increases have resulted in a widening of the net interest margin. The sustainability of a widening of the margin with future rate hikes is questionable. Pressure on the cost of funds continues to mount with each rate increase. The flattening of the yield curve, which is being driven by the increase in the short end of the curve puts the most pressure on the most liquid funds.</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Lastly, a very bright spot in 2018 has been the change in tax rates. The Company has chosen to invest a portion of those tax savings dollars to increase the base pay of our lowest paid employees. We continue to evaluate how best to utilize those funds to impact our shareholders, customers, communities and employees. Additional investment in capital assets is also likely as mentioned in the strategic initiatives previously.</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dividend declared for the first quarter represented a 13% increase over the declaration of the same period last year. Strong earnings for the first quarter exceeded the prior quarter and first quarter last year. The focus remains on loan and deposit growth for 2018 along with a widening of our footprint from the additional offices. As mentioned previously, improved profitability through long term sustainable growth is the overall goal of the organization.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twenty-five full service banking offices throughout Northwest Ohio and Northeast Indiana.</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Bank opened an additional office during February of 2018 in Findlay, Ohio and the office is located in Hancock County. The Bank purchased the building in 2017 was subsequently remodeled. The Bank has continued its expansion strategy and the new office is expected to provide new growth opportunities.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NATURE OF ACTIVITIES (Continued)</w:t>
      </w:r>
    </w:p>
    <w:p>
      <w:pPr>
        <w:spacing w:after="0" w:line="14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and additional officer approval is required.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Loans above 100% are generally due to additional charges for extended warranties and/or insurance coverage periods for wage or death.</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Livestock and grain up to 80% LTV, crops (insured) up to 75% and Warehouse Receipts up to 87%.</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Maximum LTV of 50% on raw and finished goods.</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Floor plan:</w:t>
      </w:r>
    </w:p>
    <w:p>
      <w:pPr>
        <w:spacing w:after="0" w:line="23" w:lineRule="exact"/>
        <w:rPr>
          <w:sz w:val="20"/>
          <w:szCs w:val="20"/>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9"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NATURE OF ACTIVITIES (Continued)</w:t>
      </w:r>
    </w:p>
    <w:p>
      <w:pPr>
        <w:spacing w:after="0" w:line="1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Bank’s primary market includes communities located in the Ohio counties of Defiance, Fulton, Hancock, Henry, Lucas, Williams, Wood and in the Indiana counties of Allen, DeKalb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2018, we had 274 full time equivalent employees. The employees are not represented by a collective bargaining unit. We provide our employees with a comprehensive benefit program, some of which are contributory. We consider our employee relations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DEVELOPMENTS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Bank remains attentive to the current regulatory environment in light of the risk-based approach regulatory agencies use to conduct examinations. The degree of regulatory changes and the complexity of the recent new rules, which lack clarity or guidance on various provisions, and have resulted in uncertainties regarding liability, pose an increased overall risk of noncompliance. Various significant mortgage rules require ongoing monitoring by means of testing, validation of results, additional training, and further research or consultation to assist with ensuring compliance.</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Bank is subject to numerous laws, rules, regulations and guidance which include, but are not limited to, the following significant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17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Bank is near completion of implementation of the U.S. Department of the Treasury’s final rules on Customer Due Diligence (CDD) and Beneficial Ownership. The mandatory effective date is May 11, 2018. Prior to these new rules, the ability for individuals to hide financial activity through anonymous ownership of business entities was a weakness in the fight against financial crime. The CDD Final Rule is a significant step toward greater financial transparency. By gaining a more complete profile of entity customers, financial institutions can help further reduce the flow of illicit funds through the US banking system. The CDD and Beneficial Ownership final rules added a fifth core element to the original core elements necessary for an effective Bank Secrecy Act and Anti-Money Laundering compliance program.</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CRITICAL ACCOUNTING POLICIES AND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recognition of revenue,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 In certain circumstances, noninterest income is reported net of associated expenses.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March 31, 2018 OREO property holdings were $651 thousand. OREO totaled $674 thousand and $774 thousand as of December 31, 2017 and March 31, 2017 respectively.</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CRITICAL ACCOUNTING POLICIES AND ESTIMATES (Continued)</w:t>
      </w:r>
    </w:p>
    <w:p>
      <w:pPr>
        <w:spacing w:after="0" w:line="14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4 to the consolidated financial statements provided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plans to continue in its growth mode in 2018 led by loan growth from within our newer markets. The Bank is focused on funding the loan growth with the least expensive source. Growing deposits will also be a focus especially in our newer business checking product lines. These products bundle services and enable customers to choose their desired levels services and offer pricing based on a full relationship and not on just the single account. The Bank was able to grow deposits in the last quarter of 2017 and continued to do so through the first three months of 2018. The Bank also decreased the level of pledged securities by offering the Insured Cash Sweep, “ICS” product accessed through the Promontory network of financial institutions. This has provided more availability for sales of securities by the Bank if warranted to fund loan growth.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FINANCIAL CONDITION, LIQUIDITY AND CAPITAL RESOURCES (Continued)</w:t>
      </w:r>
    </w:p>
    <w:p>
      <w:pPr>
        <w:spacing w:after="0" w:line="14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Liquidity in terms of cash and cash equivalents ended $5.4 million higher as of March 31, 2018 than it was at yearend December 31, 2017. A decrease in securities held along with increased deposits funded the $11.8 million increase in net loans since yearend 2017. The largest loan growth occurred in commercial real estate and agricultural portfolios.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Agricultural real estate, consumer real estate and consumer portfolios also experienced increases. The largest decline was in the commercial and industrial portfolios.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comparing to the same prior year period, the March 31, 2018 (net of deferred fees and cost) loan balances of $834.7 million accounted for a $63.5 million or 8.2% increase when compared to 2017’s $771.2 million. The year over year improvement was made up of a 7.2% increase in commercial and industrial loans, an 8.5% increase in commercial real estate loans, a 14.0% increase in consumer loans and lastly a combined increase in agricultural related loans (comprised of a 7.6% increase in agricultural real estate loans and 14.8% increase in non-real estate agricultural loans). Consumer real estate loans slightly decreased while Industrial Development Bonds (“IDB’s”) increased 12.1%. The Company credits the growth to a strong team of lenders focused on providing customers valuable localized services and thereby increasing our market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breakdown of the loan portfolio by category as of March 31 for the last three years, net of deferred fees and costs.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108"/>
              <w:spacing w:after="0"/>
              <w:rPr>
                <w:sz w:val="20"/>
                <w:szCs w:val="20"/>
                <w:color w:val="auto"/>
              </w:rPr>
            </w:pPr>
            <w:r>
              <w:rPr>
                <w:rFonts w:ascii="Arial" w:cs="Arial" w:eastAsia="Arial" w:hAnsi="Arial"/>
                <w:sz w:val="14"/>
                <w:szCs w:val="14"/>
                <w:color w:val="auto"/>
                <w:w w:val="93"/>
              </w:rPr>
              <w:t>(In Thousands)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spacing w:after="0" w:line="123" w:lineRule="exact"/>
              <w:rPr>
                <w:sz w:val="20"/>
                <w:szCs w:val="20"/>
                <w:color w:val="auto"/>
              </w:rPr>
            </w:pPr>
            <w:r>
              <w:rPr>
                <w:rFonts w:ascii="Arial" w:cs="Arial" w:eastAsia="Arial" w:hAnsi="Arial"/>
                <w:sz w:val="14"/>
                <w:szCs w:val="14"/>
                <w:color w:val="auto"/>
                <w:w w:val="89"/>
              </w:rPr>
              <w:t>March 2018</w:t>
            </w:r>
          </w:p>
        </w:tc>
        <w:tc>
          <w:tcPr>
            <w:tcW w:w="1420" w:type="dxa"/>
            <w:vAlign w:val="bottom"/>
            <w:gridSpan w:val="4"/>
          </w:tcPr>
          <w:p>
            <w:pPr>
              <w:ind w:left="460"/>
              <w:spacing w:after="0" w:line="123" w:lineRule="exact"/>
              <w:rPr>
                <w:sz w:val="20"/>
                <w:szCs w:val="20"/>
                <w:color w:val="auto"/>
              </w:rPr>
            </w:pPr>
            <w:r>
              <w:rPr>
                <w:rFonts w:ascii="Arial" w:cs="Arial" w:eastAsia="Arial" w:hAnsi="Arial"/>
                <w:sz w:val="14"/>
                <w:szCs w:val="14"/>
                <w:color w:val="auto"/>
              </w:rPr>
              <w:t>March 2017</w:t>
            </w:r>
          </w:p>
        </w:tc>
        <w:tc>
          <w:tcPr>
            <w:tcW w:w="900" w:type="dxa"/>
            <w:vAlign w:val="bottom"/>
            <w:gridSpan w:val="3"/>
          </w:tcPr>
          <w:p>
            <w:pPr>
              <w:ind w:left="200"/>
              <w:spacing w:after="0" w:line="123" w:lineRule="exact"/>
              <w:rPr>
                <w:sz w:val="20"/>
                <w:szCs w:val="20"/>
                <w:color w:val="auto"/>
              </w:rPr>
            </w:pPr>
            <w:r>
              <w:rPr>
                <w:rFonts w:ascii="Arial" w:cs="Arial" w:eastAsia="Arial" w:hAnsi="Arial"/>
                <w:sz w:val="14"/>
                <w:szCs w:val="14"/>
                <w:color w:val="auto"/>
                <w:w w:val="91"/>
              </w:rPr>
              <w:t>March 2016</w:t>
            </w:r>
          </w:p>
        </w:tc>
        <w:tc>
          <w:tcPr>
            <w:tcW w:w="60" w:type="dxa"/>
            <w:vAlign w:val="bottom"/>
          </w:tcPr>
          <w:p>
            <w:pPr>
              <w:spacing w:after="0"/>
              <w:rPr>
                <w:sz w:val="10"/>
                <w:szCs w:val="10"/>
                <w:color w:val="auto"/>
              </w:rPr>
            </w:pPr>
          </w:p>
        </w:tc>
      </w:tr>
      <w:tr>
        <w:trPr>
          <w:trHeight w:val="167"/>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5"/>
              </w:rPr>
              <w:t>Amount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Amount</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58,919</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78,021</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414,666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382,183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344,661</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123,515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102,966</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28,016</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60" w:type="dxa"/>
            <w:vAlign w:val="bottom"/>
            <w:shd w:val="clear" w:color="auto" w:fill="CCEEFF"/>
          </w:tcPr>
          <w:p>
            <w:pPr>
              <w:spacing w:after="0"/>
              <w:rPr>
                <w:sz w:val="18"/>
                <w:szCs w:val="18"/>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Total Loans, net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834,737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771,206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706,517</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the security portfolio has been utilized to fund loan growth for the last three years, additional sources have been cultivated during 2016, 2017, and 2018. The security portfolio decreased $3.5 million in the first three months 2018 from yearend 2017. The amount of pledged investment securities decreased by $774 thousand as compared to yearend and $5.6 million as compared to March 31, 2017. This was accomplished by utilizing Promontory’s Insured Cash Sweep, “ICS”, product to protect Ohio public fund depositors and commercial sweep customers with FDIC coverage rather than pledge securities. This in turn improves liquidity with the additional option of selling unpledged investment securities if needed to fund loan growth or other initiatives. As of March 31, 2018, pledged investment securities totaled $82.1 million. The current portfolio is in a net unrealized loss position of $5.2 million.</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With the exception of FHLB stock and Farmer Mac stock, carried at cost, which is shown as other securities, all of the Company’s security portfolio is categorized as “available-for-sale” and as such is recorded at fair value.</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Management feels confident that liquidity needs for future growth can be met through additional maturities and/or sales from the security portfolio, increased deposits and additional borrowings. For short term needs, the Bank has $120.8 million of unsecured borrowing capacity through its correspondent banks.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Overall total assets grew 1.5% since yearend 2017 and 5.3% since March 31, 2017. The largest growth in both periods was in the loan portfolios followed by cash and cash equivalents since yearend and time deposits since March 31,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FINANCIAL CONDITION, LIQUIDITY AND CAPITAL RESOURCES (Continued)</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Deposits accounted for the largest growth within liabilities, up 3.7% or $34 million since yearend and 6.6% or $58.6 million over March 31, 2017 balances. Core deposits continue to drive the increase which provided the greatest benefit for both lower cost of funds and the opportunity to generate additional noninterest income. Compared to previous year, a movement of funds from securities sold under agreement to repurchase into interest bearing NOW accounts occurred due to utilization of the ICS product previously mentioned. This growth aided the increased liquidity position and funded the loan growth for the periods along with usage of purchased Federal Funds for daily borrowings.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equity increased by $740 thousand as of the first quarter of 2018 compared to yearend 2017, as earnings exceeded dividend declarations. Accumulated other comprehensive loss increased in loss position by $2.3 million from December 2017. Dividends paid and dividends declared for the quarter equaled the previous quarter. Compared to March 31, 2017, shareholders’ equity increased 5.6% or $7.2 million. Record profits during 2017 were offset by a change in accumulated other comprehensive loss related to the available-for-sale securities portfolio from a loss position of $1.7 million to a loss position of $4.1 million as of March 31, 2017 and 2018, respectively. Profits are higher in March 2018 than March 2017 by $928 thousand and from last quarter by $331 thousand.</w:t>
      </w:r>
    </w:p>
    <w:p>
      <w:pPr>
        <w:spacing w:after="0" w:line="193"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increases to 1.875%. The total buffer requirement will increase to 2.5% for calendar year 2019. As of March 31, 2018, the Company and the Bank are both positioned well above the 2019 requirement.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be well-capitalized in accordance with Federal regulatory capital requirements as the capital ratios below show:</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96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96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Results of Interest Earnings and Expenses for three month periods ended March 31, 2018, 2017 and December 31, 2017.</w:t>
      </w:r>
    </w:p>
    <w:p>
      <w:pPr>
        <w:spacing w:after="0" w:line="13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When comparing first quarter 2018 to first quarter 2017, average loan balances grew $63 million. This represented a strong 8.3% increase in a one year time period. Interest income on loan balances also experienced an increase of $1.4 million as compared to the quarter ended March 31, 2017.</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terms of comparison to fourth quarter 2017, loan interest income was $274 thousand higher in first quarter 2018. The three months of fourth quarter 2017 had more days at 92 than 2018’s first quarter had with 90.</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higher levels of loan interest income helped to offset the available-for-sale securities portfolio, which increased in average balances when comparing to last quarter but decreased in average balances from the previous year. The decreased balances were expected as available-for-sale securities were used as a source of funds for loan growth. The income associated with the security portfolio increased by $9 thousand in comparison to fourth quarter 2017 and decreased $40 thousand in comparison to the same first quarter 2017. The benefit of the increase in interest income from loans was well above the loss of interest income from the smaller security portfolio.</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Overall, interest income for the quarter comparisons was higher for first quarter 2018 by 14.6% or $1.4 million as to first quarter 2017 and higher by 2.5% or $268 thousand as to last quarter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terms of annualized yield, for the quarter ended March 31, 2018, it was 4.28% which compares to last quarter’s 4.24% and a year ago first quarter ended March 31, 2017 of 3.98%. The following chart demonstrates the value of increased loan balances in the balance sheet mix, even if offset by lower balances in other interest bearing assets. The yields on tax-exempt securities and the portion of the tax-exempt IDB loans included in loans have been tax adjusted based on a 34% tax rate for 2017 and a 21% tax rate for 2018 in the charts to follow.</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gridSpan w:val="10"/>
          </w:tcPr>
          <w:p>
            <w:pPr>
              <w:jc w:val="center"/>
              <w:ind w:right="520"/>
              <w:spacing w:after="0"/>
              <w:rPr>
                <w:sz w:val="20"/>
                <w:szCs w:val="20"/>
                <w:color w:val="auto"/>
              </w:rPr>
            </w:pPr>
            <w:r>
              <w:rPr>
                <w:rFonts w:ascii="Arial" w:cs="Arial" w:eastAsia="Arial" w:hAnsi="Arial"/>
                <w:sz w:val="14"/>
                <w:szCs w:val="14"/>
                <w:color w:val="auto"/>
                <w:w w:val="91"/>
              </w:rPr>
              <w:t>(In Thousands)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940" w:type="dxa"/>
            <w:vAlign w:val="bottom"/>
            <w:tcBorders>
              <w:top w:val="single" w:sz="8" w:color="auto"/>
            </w:tcBorders>
            <w:gridSpan w:val="8"/>
          </w:tcPr>
          <w:p>
            <w:pPr>
              <w:jc w:val="center"/>
              <w:spacing w:after="0" w:line="123" w:lineRule="exact"/>
              <w:rPr>
                <w:sz w:val="20"/>
                <w:szCs w:val="20"/>
                <w:color w:val="auto"/>
              </w:rPr>
            </w:pPr>
            <w:r>
              <w:rPr>
                <w:rFonts w:ascii="Arial" w:cs="Arial" w:eastAsia="Arial" w:hAnsi="Arial"/>
                <w:sz w:val="14"/>
                <w:szCs w:val="14"/>
                <w:color w:val="auto"/>
                <w:w w:val="92"/>
              </w:rPr>
              <w:t>Quarter to Date Ended</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gridSpan w:val="10"/>
          </w:tcPr>
          <w:p>
            <w:pPr>
              <w:jc w:val="center"/>
              <w:ind w:right="520"/>
              <w:spacing w:after="0"/>
              <w:rPr>
                <w:sz w:val="20"/>
                <w:szCs w:val="20"/>
                <w:color w:val="auto"/>
              </w:rPr>
            </w:pPr>
            <w:r>
              <w:rPr>
                <w:rFonts w:ascii="Arial" w:cs="Arial" w:eastAsia="Arial" w:hAnsi="Arial"/>
                <w:sz w:val="14"/>
                <w:szCs w:val="14"/>
                <w:color w:val="auto"/>
                <w:w w:val="92"/>
              </w:rPr>
              <w:t>March 31, 2018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right"/>
              <w:ind w:right="820"/>
              <w:spacing w:after="0"/>
              <w:rPr>
                <w:sz w:val="20"/>
                <w:szCs w:val="20"/>
                <w:color w:val="auto"/>
              </w:rPr>
            </w:pPr>
            <w:r>
              <w:rPr>
                <w:rFonts w:ascii="Arial" w:cs="Arial" w:eastAsia="Arial" w:hAnsi="Arial"/>
                <w:sz w:val="14"/>
                <w:szCs w:val="14"/>
                <w:color w:val="auto"/>
                <w:w w:val="95"/>
              </w:rPr>
              <w:t>Yield/Rate</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320" w:type="dxa"/>
            <w:vAlign w:val="bottom"/>
            <w:tcBorders>
              <w:top w:val="single" w:sz="8" w:color="auto"/>
            </w:tcBorders>
            <w:gridSpan w:val="5"/>
          </w:tcPr>
          <w:p>
            <w:pPr>
              <w:jc w:val="right"/>
              <w:ind w:right="680"/>
              <w:spacing w:after="0" w:line="123" w:lineRule="exact"/>
              <w:rPr>
                <w:sz w:val="20"/>
                <w:szCs w:val="20"/>
                <w:color w:val="auto"/>
              </w:rPr>
            </w:pPr>
            <w:r>
              <w:rPr>
                <w:rFonts w:ascii="Arial" w:cs="Arial" w:eastAsia="Arial" w:hAnsi="Arial"/>
                <w:sz w:val="14"/>
                <w:szCs w:val="14"/>
                <w:color w:val="auto"/>
              </w:rPr>
              <w:t>Average</w:t>
            </w: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88"/>
              <w:spacing w:after="0" w:line="123" w:lineRule="exact"/>
              <w:rPr>
                <w:sz w:val="20"/>
                <w:szCs w:val="20"/>
                <w:color w:val="auto"/>
              </w:rPr>
            </w:pPr>
            <w:r>
              <w:rPr>
                <w:rFonts w:ascii="Arial" w:cs="Arial" w:eastAsia="Arial" w:hAnsi="Arial"/>
                <w:sz w:val="14"/>
                <w:szCs w:val="14"/>
                <w:color w:val="auto"/>
                <w:w w:val="93"/>
              </w:rPr>
              <w:t>March 31,</w:t>
            </w: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20" w:type="dxa"/>
            <w:vAlign w:val="bottom"/>
            <w:gridSpan w:val="5"/>
          </w:tcPr>
          <w:p>
            <w:pPr>
              <w:jc w:val="right"/>
              <w:ind w:right="680"/>
              <w:spacing w:after="0"/>
              <w:rPr>
                <w:sz w:val="20"/>
                <w:szCs w:val="20"/>
                <w:color w:val="auto"/>
              </w:rPr>
            </w:pPr>
            <w:r>
              <w:rPr>
                <w:rFonts w:ascii="Arial" w:cs="Arial" w:eastAsia="Arial" w:hAnsi="Arial"/>
                <w:sz w:val="14"/>
                <w:szCs w:val="14"/>
                <w:color w:val="auto"/>
              </w:rPr>
              <w:t>Balance</w:t>
            </w:r>
          </w:p>
        </w:tc>
        <w:tc>
          <w:tcPr>
            <w:tcW w:w="20" w:type="dxa"/>
            <w:vAlign w:val="bottom"/>
          </w:tcPr>
          <w:p>
            <w:pPr>
              <w:spacing w:after="0"/>
              <w:rPr>
                <w:sz w:val="14"/>
                <w:szCs w:val="14"/>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4"/>
                <w:szCs w:val="14"/>
                <w:color w:val="auto"/>
                <w:w w:val="94"/>
              </w:rPr>
              <w:t>Dividends</w:t>
            </w:r>
          </w:p>
        </w:tc>
        <w:tc>
          <w:tcPr>
            <w:tcW w:w="600" w:type="dxa"/>
            <w:vAlign w:val="bottom"/>
            <w:gridSpan w:val="2"/>
          </w:tcPr>
          <w:p>
            <w:pPr>
              <w:jc w:val="right"/>
              <w:ind w:right="85"/>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4"/>
                <w:szCs w:val="14"/>
                <w:color w:val="auto"/>
              </w:rPr>
            </w:pPr>
          </w:p>
        </w:tc>
        <w:tc>
          <w:tcPr>
            <w:tcW w:w="1100" w:type="dxa"/>
            <w:vAlign w:val="bottom"/>
            <w:gridSpan w:val="4"/>
          </w:tcPr>
          <w:p>
            <w:pPr>
              <w:jc w:val="right"/>
              <w:ind w:right="79"/>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Earning Assets:</w:t>
            </w: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Loans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3"/>
              </w:rPr>
              <w:t>$  825,109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8"/>
                <w:szCs w:val="18"/>
                <w:color w:val="auto"/>
                <w:w w:val="92"/>
              </w:rPr>
              <w:t>$10,102</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4.90%</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151,644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Tax-exempt Investment Securities</w:t>
            </w: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49,828</w:t>
            </w:r>
          </w:p>
        </w:tc>
        <w:tc>
          <w:tcPr>
            <w:tcW w:w="80" w:type="dxa"/>
            <w:vAlign w:val="bottom"/>
          </w:tcPr>
          <w:p>
            <w:pPr>
              <w:spacing w:after="0"/>
              <w:rPr>
                <w:sz w:val="18"/>
                <w:szCs w:val="18"/>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19,666</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Total Interest Earning Assets</w:t>
            </w:r>
          </w:p>
        </w:tc>
        <w:tc>
          <w:tcPr>
            <w:tcW w:w="7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gridSpan w:val="2"/>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1,046,247</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11,136</w:t>
            </w:r>
          </w:p>
        </w:tc>
        <w:tc>
          <w:tcPr>
            <w:tcW w:w="3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4.28%</w:t>
            </w:r>
          </w:p>
        </w:tc>
        <w:tc>
          <w:tcPr>
            <w:tcW w:w="2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920" w:type="dxa"/>
            <w:vAlign w:val="bottom"/>
          </w:tcPr>
          <w:p>
            <w:pPr>
              <w:spacing w:after="0"/>
              <w:rPr>
                <w:sz w:val="24"/>
                <w:szCs w:val="24"/>
                <w:color w:val="auto"/>
              </w:rPr>
            </w:pPr>
          </w:p>
        </w:tc>
        <w:tc>
          <w:tcPr>
            <w:tcW w:w="6600" w:type="dxa"/>
            <w:vAlign w:val="bottom"/>
            <w:gridSpan w:val="11"/>
          </w:tcPr>
          <w:p>
            <w:pPr>
              <w:ind w:left="1080"/>
              <w:spacing w:after="0"/>
              <w:rPr>
                <w:sz w:val="20"/>
                <w:szCs w:val="20"/>
                <w:color w:val="auto"/>
              </w:rPr>
            </w:pPr>
            <w:r>
              <w:rPr>
                <w:rFonts w:ascii="Arial" w:cs="Arial" w:eastAsia="Arial" w:hAnsi="Arial"/>
                <w:sz w:val="14"/>
                <w:szCs w:val="14"/>
                <w:b w:val="1"/>
                <w:bCs w:val="1"/>
                <w:color w:val="auto"/>
                <w:w w:val="95"/>
              </w:rPr>
              <w:t>Change in Quarter to Date March 31, 2018 Interest Income Compared to March 31, 2017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7"/>
          </w:tcPr>
          <w:p>
            <w:pPr>
              <w:jc w:val="right"/>
              <w:ind w:right="588"/>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6"/>
              </w:rPr>
              <w:t>Due to</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center"/>
              <w:ind w:right="120"/>
              <w:spacing w:after="0"/>
              <w:rPr>
                <w:sz w:val="20"/>
                <w:szCs w:val="20"/>
                <w:color w:val="auto"/>
              </w:rPr>
            </w:pPr>
            <w:r>
              <w:rPr>
                <w:rFonts w:ascii="Arial" w:cs="Arial" w:eastAsia="Arial" w:hAnsi="Arial"/>
                <w:sz w:val="14"/>
                <w:szCs w:val="14"/>
                <w:color w:val="auto"/>
                <w:w w:val="77"/>
              </w:rPr>
              <w:t>Change</w:t>
            </w:r>
          </w:p>
        </w:tc>
        <w:tc>
          <w:tcPr>
            <w:tcW w:w="20" w:type="dxa"/>
            <w:vAlign w:val="bottom"/>
          </w:tcPr>
          <w:p>
            <w:pPr>
              <w:spacing w:after="0"/>
              <w:rPr>
                <w:sz w:val="14"/>
                <w:szCs w:val="14"/>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4"/>
                <w:szCs w:val="14"/>
                <w:color w:val="auto"/>
              </w:rPr>
              <w:t>Volume</w:t>
            </w:r>
          </w:p>
        </w:tc>
        <w:tc>
          <w:tcPr>
            <w:tcW w:w="2060" w:type="dxa"/>
            <w:vAlign w:val="bottom"/>
            <w:gridSpan w:val="8"/>
          </w:tcPr>
          <w:p>
            <w:pPr>
              <w:jc w:val="right"/>
              <w:ind w:right="1020"/>
              <w:spacing w:after="0"/>
              <w:rPr>
                <w:sz w:val="20"/>
                <w:szCs w:val="20"/>
                <w:color w:val="auto"/>
              </w:rPr>
            </w:pPr>
            <w:r>
              <w:rPr>
                <w:rFonts w:ascii="Arial" w:cs="Arial" w:eastAsia="Arial" w:hAnsi="Arial"/>
                <w:sz w:val="14"/>
                <w:szCs w:val="14"/>
                <w:color w:val="auto"/>
              </w:rPr>
              <w:t>Due to Rate</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Earning Assets: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Loans</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$ 771</w:t>
            </w:r>
          </w:p>
        </w:tc>
        <w:tc>
          <w:tcPr>
            <w:tcW w:w="20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(34)</w:t>
            </w: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920"/>
              <w:spacing w:after="0"/>
              <w:rPr>
                <w:sz w:val="20"/>
                <w:szCs w:val="20"/>
                <w:color w:val="auto"/>
              </w:rPr>
            </w:pPr>
            <w:r>
              <w:rPr>
                <w:rFonts w:ascii="Arial" w:cs="Arial" w:eastAsia="Arial" w:hAnsi="Arial"/>
                <w:sz w:val="18"/>
                <w:szCs w:val="18"/>
                <w:color w:val="auto"/>
              </w:rPr>
              <w:t>Total Interest Earning Assets</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1,415</w:t>
            </w:r>
          </w:p>
        </w:tc>
        <w:tc>
          <w:tcPr>
            <w:tcW w:w="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$ 715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Offsetting some of the increase in interest income for the quarter was the increase in cost of funds in 2018. First quarter 2018 was higher by $284 thousand than first quarter 2017. Since 2017, average interest-bearing deposit balances have increased $53.1 million and resulted in $289 thousand more in interest expense for the most recent quarter. Additionally, interest expense on Fed Funds Purchased, Securities Sold Under Agreement to Repurchase and FHLB borrowings was down $5 thousand in the first quarter 2018 over the same time frame in 2017.</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36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color w:val="auto"/>
                <w:w w:val="91"/>
              </w:rPr>
              <w:t>(In Thousands)</w:t>
            </w:r>
          </w:p>
        </w:tc>
        <w:tc>
          <w:tcPr>
            <w:tcW w:w="4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240" w:type="dxa"/>
            <w:vAlign w:val="bottom"/>
          </w:tcPr>
          <w:p>
            <w:pPr>
              <w:spacing w:after="0"/>
              <w:rPr>
                <w:sz w:val="10"/>
                <w:szCs w:val="10"/>
                <w:color w:val="auto"/>
              </w:rPr>
            </w:pPr>
          </w:p>
        </w:tc>
        <w:tc>
          <w:tcPr>
            <w:tcW w:w="1780" w:type="dxa"/>
            <w:vAlign w:val="bottom"/>
            <w:gridSpan w:val="5"/>
          </w:tcPr>
          <w:p>
            <w:pPr>
              <w:jc w:val="center"/>
              <w:spacing w:after="0" w:line="123" w:lineRule="exact"/>
              <w:rPr>
                <w:sz w:val="20"/>
                <w:szCs w:val="20"/>
                <w:color w:val="auto"/>
              </w:rPr>
            </w:pPr>
            <w:r>
              <w:rPr>
                <w:rFonts w:ascii="Arial" w:cs="Arial" w:eastAsia="Arial" w:hAnsi="Arial"/>
                <w:sz w:val="14"/>
                <w:szCs w:val="14"/>
                <w:color w:val="auto"/>
                <w:w w:val="92"/>
              </w:rPr>
              <w:t>Quarter to Date Ended</w:t>
            </w: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36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color w:val="auto"/>
                <w:w w:val="92"/>
              </w:rPr>
              <w:t>March 31, 2018</w:t>
            </w:r>
          </w:p>
        </w:tc>
        <w:tc>
          <w:tcPr>
            <w:tcW w:w="4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Yield/Rate</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240" w:type="dxa"/>
            <w:vAlign w:val="bottom"/>
          </w:tcPr>
          <w:p>
            <w:pPr>
              <w:spacing w:after="0"/>
              <w:rPr>
                <w:sz w:val="10"/>
                <w:szCs w:val="10"/>
                <w:color w:val="auto"/>
              </w:rPr>
            </w:pPr>
          </w:p>
        </w:tc>
        <w:tc>
          <w:tcPr>
            <w:tcW w:w="70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Average</w:t>
            </w:r>
          </w:p>
        </w:tc>
        <w:tc>
          <w:tcPr>
            <w:tcW w:w="500" w:type="dxa"/>
            <w:vAlign w:val="bottom"/>
          </w:tcPr>
          <w:p>
            <w:pPr>
              <w:spacing w:after="0"/>
              <w:rPr>
                <w:sz w:val="10"/>
                <w:szCs w:val="10"/>
                <w:color w:val="auto"/>
              </w:rPr>
            </w:pPr>
          </w:p>
        </w:tc>
        <w:tc>
          <w:tcPr>
            <w:tcW w:w="58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8"/>
              </w:rPr>
              <w:t>Interest/</w:t>
            </w:r>
          </w:p>
        </w:tc>
        <w:tc>
          <w:tcPr>
            <w:tcW w:w="520" w:type="dxa"/>
            <w:vAlign w:val="bottom"/>
          </w:tcPr>
          <w:p>
            <w:pPr>
              <w:spacing w:after="0"/>
              <w:rPr>
                <w:sz w:val="10"/>
                <w:szCs w:val="10"/>
                <w:color w:val="auto"/>
              </w:rPr>
            </w:pPr>
          </w:p>
        </w:tc>
        <w:tc>
          <w:tcPr>
            <w:tcW w:w="1240" w:type="dxa"/>
            <w:vAlign w:val="bottom"/>
            <w:gridSpan w:val="2"/>
          </w:tcPr>
          <w:p>
            <w:pPr>
              <w:jc w:val="center"/>
              <w:ind w:right="568"/>
              <w:spacing w:after="0" w:line="123" w:lineRule="exact"/>
              <w:rPr>
                <w:sz w:val="20"/>
                <w:szCs w:val="20"/>
                <w:color w:val="auto"/>
              </w:rPr>
            </w:pPr>
            <w:r>
              <w:rPr>
                <w:rFonts w:ascii="Arial" w:cs="Arial" w:eastAsia="Arial" w:hAnsi="Arial"/>
                <w:sz w:val="14"/>
                <w:szCs w:val="14"/>
                <w:color w:val="auto"/>
                <w:w w:val="96"/>
              </w:rPr>
              <w:t>March 31,</w:t>
            </w:r>
          </w:p>
        </w:tc>
        <w:tc>
          <w:tcPr>
            <w:tcW w:w="600" w:type="dxa"/>
            <w:vAlign w:val="bottom"/>
          </w:tcPr>
          <w:p>
            <w:pPr>
              <w:jc w:val="center"/>
              <w:spacing w:after="0" w:line="123" w:lineRule="exact"/>
              <w:rPr>
                <w:sz w:val="20"/>
                <w:szCs w:val="20"/>
                <w:color w:val="auto"/>
              </w:rPr>
            </w:pPr>
            <w:r>
              <w:rPr>
                <w:rFonts w:ascii="Arial" w:cs="Arial" w:eastAsia="Arial" w:hAnsi="Arial"/>
                <w:sz w:val="14"/>
                <w:szCs w:val="14"/>
                <w:color w:val="auto"/>
                <w:w w:val="96"/>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Balance</w:t>
            </w:r>
          </w:p>
        </w:tc>
        <w:tc>
          <w:tcPr>
            <w:tcW w:w="5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600" w:type="dxa"/>
            <w:vAlign w:val="bottom"/>
          </w:tcPr>
          <w:p>
            <w:pPr>
              <w:jc w:val="right"/>
              <w:ind w:right="75"/>
              <w:spacing w:after="0"/>
              <w:rPr>
                <w:sz w:val="20"/>
                <w:szCs w:val="20"/>
                <w:color w:val="auto"/>
              </w:rPr>
            </w:pPr>
            <w:r>
              <w:rPr>
                <w:rFonts w:ascii="Arial" w:cs="Arial" w:eastAsia="Arial" w:hAnsi="Arial"/>
                <w:sz w:val="14"/>
                <w:szCs w:val="14"/>
                <w:color w:val="auto"/>
              </w:rPr>
              <w:t>2018</w:t>
            </w:r>
          </w:p>
        </w:tc>
        <w:tc>
          <w:tcPr>
            <w:tcW w:w="64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Savings Deposits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$556,616</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741</w:t>
            </w:r>
          </w:p>
        </w:tc>
        <w:tc>
          <w:tcPr>
            <w:tcW w:w="1240" w:type="dxa"/>
            <w:vAlign w:val="bottom"/>
            <w:gridSpan w:val="2"/>
          </w:tcPr>
          <w:p>
            <w:pPr>
              <w:jc w:val="right"/>
              <w:ind w:right="428"/>
              <w:spacing w:after="0"/>
              <w:rPr>
                <w:sz w:val="20"/>
                <w:szCs w:val="20"/>
                <w:color w:val="auto"/>
              </w:rPr>
            </w:pPr>
            <w:r>
              <w:rPr>
                <w:rFonts w:ascii="Arial" w:cs="Arial" w:eastAsia="Arial" w:hAnsi="Arial"/>
                <w:sz w:val="18"/>
                <w:szCs w:val="18"/>
                <w:color w:val="auto"/>
              </w:rPr>
              <w:t>0.53%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185,867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578</w:t>
            </w:r>
          </w:p>
        </w:tc>
        <w:tc>
          <w:tcPr>
            <w:tcW w:w="12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Borrowed Money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428"/>
              <w:spacing w:after="0"/>
              <w:rPr>
                <w:sz w:val="20"/>
                <w:szCs w:val="20"/>
                <w:color w:val="auto"/>
              </w:rPr>
            </w:pPr>
            <w:r>
              <w:rPr>
                <w:rFonts w:ascii="Arial" w:cs="Arial" w:eastAsia="Arial" w:hAnsi="Arial"/>
                <w:sz w:val="18"/>
                <w:szCs w:val="18"/>
                <w:color w:val="auto"/>
              </w:rPr>
              <w:t>1.60%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 Funds Purchased &amp; Securities Sold under Agreement to</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w:t>
            </w:r>
          </w:p>
        </w:tc>
        <w:tc>
          <w:tcPr>
            <w:tcW w:w="12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1.83%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774,570</w:t>
            </w:r>
          </w:p>
        </w:tc>
        <w:tc>
          <w:tcPr>
            <w:tcW w:w="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1,463</w:t>
            </w:r>
          </w:p>
        </w:tc>
        <w:tc>
          <w:tcPr>
            <w:tcW w:w="520" w:type="dxa"/>
            <w:vAlign w:val="bottom"/>
            <w:vMerge w:val="continue"/>
          </w:tcPr>
          <w:p>
            <w:pPr>
              <w:spacing w:after="0"/>
              <w:rPr>
                <w:sz w:val="19"/>
                <w:szCs w:val="19"/>
                <w:color w:val="auto"/>
              </w:rPr>
            </w:pPr>
          </w:p>
        </w:tc>
        <w:tc>
          <w:tcPr>
            <w:tcW w:w="1240" w:type="dxa"/>
            <w:vAlign w:val="bottom"/>
            <w:gridSpan w:val="2"/>
          </w:tcPr>
          <w:p>
            <w:pPr>
              <w:jc w:val="right"/>
              <w:ind w:right="428"/>
              <w:spacing w:after="0"/>
              <w:rPr>
                <w:sz w:val="20"/>
                <w:szCs w:val="20"/>
                <w:color w:val="auto"/>
              </w:rPr>
            </w:pPr>
            <w:r>
              <w:rPr>
                <w:rFonts w:ascii="Arial" w:cs="Arial" w:eastAsia="Arial" w:hAnsi="Arial"/>
                <w:sz w:val="18"/>
                <w:szCs w:val="18"/>
                <w:color w:val="auto"/>
              </w:rPr>
              <w:t>0.75%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43" w:name="page44"/>
    <w:bookmarkEnd w:id="43"/>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860" w:type="dxa"/>
            <w:vAlign w:val="bottom"/>
            <w:gridSpan w:val="9"/>
          </w:tcPr>
          <w:p>
            <w:pPr>
              <w:ind w:left="1080"/>
              <w:spacing w:after="0"/>
              <w:rPr>
                <w:sz w:val="20"/>
                <w:szCs w:val="20"/>
                <w:color w:val="auto"/>
              </w:rPr>
            </w:pPr>
            <w:r>
              <w:rPr>
                <w:rFonts w:ascii="Arial" w:cs="Arial" w:eastAsia="Arial" w:hAnsi="Arial"/>
                <w:sz w:val="14"/>
                <w:szCs w:val="14"/>
                <w:b w:val="1"/>
                <w:bCs w:val="1"/>
                <w:color w:val="auto"/>
                <w:w w:val="98"/>
              </w:rPr>
              <w:t>Change in Quarter to Date March 31, 2018 Interest Expense Compared to March 31, 2017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4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3"/>
          </w:tcPr>
          <w:p>
            <w:pPr>
              <w:jc w:val="right"/>
              <w:ind w:right="500"/>
              <w:spacing w:after="0" w:line="123" w:lineRule="exact"/>
              <w:rPr>
                <w:sz w:val="20"/>
                <w:szCs w:val="20"/>
                <w:color w:val="auto"/>
              </w:rPr>
            </w:pPr>
            <w:r>
              <w:rPr>
                <w:rFonts w:ascii="Arial" w:cs="Arial" w:eastAsia="Arial" w:hAnsi="Arial"/>
                <w:sz w:val="14"/>
                <w:szCs w:val="14"/>
                <w:color w:val="auto"/>
                <w:w w:val="96"/>
              </w:rPr>
              <w:t>Due to</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4"/>
                <w:szCs w:val="14"/>
                <w:color w:val="auto"/>
              </w:rPr>
              <w:t>Change</w:t>
            </w:r>
          </w:p>
        </w:tc>
        <w:tc>
          <w:tcPr>
            <w:tcW w:w="1240" w:type="dxa"/>
            <w:vAlign w:val="bottom"/>
            <w:gridSpan w:val="4"/>
          </w:tcPr>
          <w:p>
            <w:pPr>
              <w:ind w:left="320"/>
              <w:spacing w:after="0"/>
              <w:rPr>
                <w:sz w:val="20"/>
                <w:szCs w:val="20"/>
                <w:color w:val="auto"/>
              </w:rPr>
            </w:pPr>
            <w:r>
              <w:rPr>
                <w:rFonts w:ascii="Arial" w:cs="Arial" w:eastAsia="Arial" w:hAnsi="Arial"/>
                <w:sz w:val="14"/>
                <w:szCs w:val="14"/>
                <w:color w:val="auto"/>
              </w:rPr>
              <w:t>Volume</w:t>
            </w:r>
          </w:p>
        </w:tc>
        <w:tc>
          <w:tcPr>
            <w:tcW w:w="900" w:type="dxa"/>
            <w:vAlign w:val="bottom"/>
            <w:gridSpan w:val="4"/>
          </w:tcPr>
          <w:p>
            <w:pPr>
              <w:ind w:left="140"/>
              <w:spacing w:after="0"/>
              <w:rPr>
                <w:sz w:val="20"/>
                <w:szCs w:val="20"/>
                <w:color w:val="auto"/>
              </w:rPr>
            </w:pPr>
            <w:r>
              <w:rPr>
                <w:rFonts w:ascii="Arial" w:cs="Arial" w:eastAsia="Arial" w:hAnsi="Arial"/>
                <w:sz w:val="14"/>
                <w:szCs w:val="14"/>
                <w:color w:val="auto"/>
                <w:w w:val="98"/>
              </w:rPr>
              <w:t>Due to Rate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Savings Deposits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28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Borrowed Money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Fed Funds Purchased &amp; Securities Sold under Agreement to</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37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60"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Overall, net interest spread for the first quarter 2018 is higher than last year and the same as last quarter. As the following chart illustrates, higher yields on interest and dividend income did offset the higher interest expense in the most recent quarter when comparing to the same period a year ago or to the previous quarter. Interest expense for the quarter as compared to last quarter increased by $101 thousand.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Fourth quarter 2017 recorded an asset yield of 4.24% for the quarter with cost of funds at 0.71%. Net interest spread and margin for fourth quarter 2017 were identical at 3.53% and 3.72% to current quarter shown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3/31/2018</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3/31/2017</w:t>
            </w:r>
          </w:p>
        </w:tc>
        <w:tc>
          <w:tcPr>
            <w:tcW w:w="4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12/31/2017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0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2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2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0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0.75%</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0.65%</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interest income was up $1.1 million for the first quarter 2018 over the same time frame in 2017 due to the increase in loan interest income and partially offset by higher interest expense, as previously mentioned. There has also been a $167 thousand increase in net interest income over fourth quarter 2017. As the new loans added in 2017 and 2018 generate more income, management expects the benefits of the Company’s strategy of repositioning the balance sheet to continue to widen this margin as measured in dollars.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discussion will now be separated into two distinct quarter discussions –first quarter comparisons and the two most recent quarter comparisons.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Noninterest Results of Operations – First Quarter 2018 to First Quarter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Provision Expense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and consumer real estate loan portfolio accounted for the largest component of charge-offs and recoveries for first quarter of 2018 and 2017. As was mentioned in previous discussion, the commercial real estate portfolio is currently creating a large impact on the ALLL due to the loan growth.</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Total provision for loan losses was $33 thousand lower for the first quarter 2018 as compared to the same quarter 2017. Management continues to monitor asset quality, making adjustments to the provision as necessary. Loan charge-offs were $101 thousand higher in first quarter 2018 than the same quarter 2017, recoveries were $37 thousand in both periods. Combined net charge-offs were $101 thousand higher in first quarter 2018 than the same time period 2017. Past due loans decreased $1.7 million from March 31, 2017 as compared to March 31, 2018. The majority of the change is attributed to the decrease of past due balances in the consumer real estate, agricultural real estate and commercial real estate portfolios while the commercial and industrial increased.</w:t>
      </w:r>
    </w:p>
    <w:p>
      <w:pPr>
        <w:spacing w:after="0" w:line="1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March 31, 2018, 2017, and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2"/>
              </w:rPr>
              <w:t>Three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620"/>
              <w:spacing w:after="0" w:line="123" w:lineRule="exact"/>
              <w:rPr>
                <w:sz w:val="20"/>
                <w:szCs w:val="20"/>
                <w:color w:val="auto"/>
              </w:rPr>
            </w:pPr>
            <w:r>
              <w:rPr>
                <w:rFonts w:ascii="Arial" w:cs="Arial" w:eastAsia="Arial" w:hAnsi="Arial"/>
                <w:sz w:val="14"/>
                <w:szCs w:val="14"/>
                <w:color w:val="auto"/>
                <w:w w:val="92"/>
              </w:rPr>
              <w:t>Three</w:t>
            </w:r>
          </w:p>
        </w:tc>
        <w:tc>
          <w:tcPr>
            <w:tcW w:w="100" w:type="dxa"/>
            <w:vAlign w:val="bottom"/>
          </w:tcPr>
          <w:p>
            <w:pPr>
              <w:spacing w:after="0"/>
              <w:rPr>
                <w:sz w:val="10"/>
                <w:szCs w:val="10"/>
                <w:color w:val="auto"/>
              </w:rPr>
            </w:pPr>
          </w:p>
        </w:tc>
        <w:tc>
          <w:tcPr>
            <w:tcW w:w="60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2"/>
              </w:rPr>
              <w:t>Three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Months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Months</w:t>
            </w: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8"/>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Ended</w:t>
            </w: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March 2018</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March 2017</w:t>
            </w:r>
          </w:p>
        </w:tc>
        <w:tc>
          <w:tcPr>
            <w:tcW w:w="900" w:type="dxa"/>
            <w:vAlign w:val="bottom"/>
            <w:gridSpan w:val="3"/>
          </w:tcPr>
          <w:p>
            <w:pPr>
              <w:spacing w:after="0"/>
              <w:rPr>
                <w:sz w:val="20"/>
                <w:szCs w:val="20"/>
                <w:color w:val="auto"/>
              </w:rPr>
            </w:pPr>
            <w:r>
              <w:rPr>
                <w:rFonts w:ascii="Arial" w:cs="Arial" w:eastAsia="Arial" w:hAnsi="Arial"/>
                <w:sz w:val="14"/>
                <w:szCs w:val="14"/>
                <w:color w:val="auto"/>
              </w:rPr>
              <w:t>March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834,737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771,206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706,517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825,109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762,126</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692,638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 Jan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Agriculture Real Estate</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Loan Recoveries: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Agriculture Real Estate</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Net Charge Offs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loan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Acquisition provision for loan loss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March 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Allowance for Unfunded Loan Commitments &amp; Letters of Credit - March 31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 - March 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478.96%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Loans classified as nonaccrual were lower as of March 31, 2018 at $900 thousand as compared to $1.4 million as of March 31, 2017.</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balances for allowance of loan losses by loan type for three months ended March 31, 2018 and March 31, 2017.</w:t>
      </w:r>
    </w:p>
    <w:p>
      <w:pPr>
        <w:spacing w:after="0" w:line="25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ind w:right="268"/>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ind w:left="240"/>
              <w:spacing w:after="0"/>
              <w:rPr>
                <w:sz w:val="20"/>
                <w:szCs w:val="20"/>
                <w:color w:val="auto"/>
              </w:rPr>
            </w:pPr>
            <w:r>
              <w:rPr>
                <w:rFonts w:ascii="Arial" w:cs="Arial" w:eastAsia="Arial" w:hAnsi="Arial"/>
                <w:sz w:val="14"/>
                <w:szCs w:val="14"/>
                <w:color w:val="auto"/>
              </w:rPr>
              <w:t>(In Thousands)</w:t>
            </w:r>
          </w:p>
        </w:tc>
      </w:tr>
      <w:tr>
        <w:trPr>
          <w:trHeight w:val="142"/>
        </w:trPr>
        <w:tc>
          <w:tcPr>
            <w:tcW w:w="4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368"/>
              <w:spacing w:after="0" w:line="142" w:lineRule="exact"/>
              <w:rPr>
                <w:sz w:val="20"/>
                <w:szCs w:val="20"/>
                <w:color w:val="auto"/>
              </w:rPr>
            </w:pPr>
            <w:r>
              <w:rPr>
                <w:rFonts w:ascii="Arial" w:cs="Arial" w:eastAsia="Arial" w:hAnsi="Arial"/>
                <w:sz w:val="14"/>
                <w:szCs w:val="14"/>
                <w:color w:val="auto"/>
              </w:rPr>
              <w:t>March 2018</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368"/>
              <w:spacing w:after="0" w:line="142" w:lineRule="exact"/>
              <w:rPr>
                <w:sz w:val="20"/>
                <w:szCs w:val="20"/>
                <w:color w:val="auto"/>
              </w:rPr>
            </w:pPr>
            <w:r>
              <w:rPr>
                <w:rFonts w:ascii="Arial" w:cs="Arial" w:eastAsia="Arial" w:hAnsi="Arial"/>
                <w:sz w:val="14"/>
                <w:szCs w:val="14"/>
                <w:color w:val="auto"/>
              </w:rPr>
              <w:t>March 2017</w:t>
            </w:r>
          </w:p>
        </w:tc>
        <w:tc>
          <w:tcPr>
            <w:tcW w:w="60" w:type="dxa"/>
            <w:vAlign w:val="bottom"/>
          </w:tcPr>
          <w:p>
            <w:pPr>
              <w:spacing w:after="0"/>
              <w:rPr>
                <w:sz w:val="12"/>
                <w:szCs w:val="12"/>
                <w:color w:val="auto"/>
              </w:rPr>
            </w:pPr>
          </w:p>
        </w:tc>
      </w:tr>
      <w:tr>
        <w:trPr>
          <w:trHeight w:val="123"/>
        </w:trPr>
        <w:tc>
          <w:tcPr>
            <w:tcW w:w="4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 of Loan</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jc w:val="center"/>
              <w:ind w:left="352"/>
              <w:spacing w:after="0" w:line="123" w:lineRule="exact"/>
              <w:rPr>
                <w:sz w:val="20"/>
                <w:szCs w:val="20"/>
                <w:color w:val="auto"/>
              </w:rPr>
            </w:pPr>
            <w:r>
              <w:rPr>
                <w:rFonts w:ascii="Arial" w:cs="Arial" w:eastAsia="Arial" w:hAnsi="Arial"/>
                <w:sz w:val="14"/>
                <w:szCs w:val="14"/>
                <w:color w:val="auto"/>
                <w:w w:val="98"/>
              </w:rPr>
              <w:t>% of Loan</w:t>
            </w:r>
          </w:p>
        </w:tc>
        <w:tc>
          <w:tcPr>
            <w:tcW w:w="60" w:type="dxa"/>
            <w:vAlign w:val="bottom"/>
          </w:tcPr>
          <w:p>
            <w:pPr>
              <w:spacing w:after="0"/>
              <w:rPr>
                <w:sz w:val="10"/>
                <w:szCs w:val="10"/>
                <w:color w:val="auto"/>
              </w:rPr>
            </w:pPr>
          </w:p>
        </w:tc>
      </w:tr>
      <w:tr>
        <w:trPr>
          <w:trHeight w:val="167"/>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w w:val="95"/>
              </w:rPr>
              <w:t>Amount</w:t>
            </w:r>
          </w:p>
        </w:tc>
        <w:tc>
          <w:tcPr>
            <w:tcW w:w="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4"/>
              </w:rPr>
              <w:t>Category</w:t>
            </w: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color w:val="auto"/>
                <w:w w:val="95"/>
              </w:rPr>
              <w:t>Amount</w:t>
            </w:r>
          </w:p>
        </w:tc>
        <w:tc>
          <w:tcPr>
            <w:tcW w:w="4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Category</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Period Applicable To:</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Consumer Real Estate</w:t>
            </w: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Agricultural</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Unallocated</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6,850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7,065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7,069</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Noninterest income was up $26 thousand for the first quarter 2018 over the same time frame in 2017. The Company has seen a decrease in its mortgage production volume and as a result the gain on the sale of these loans was $69 thousand lower for the first quarter 2018 over the same period in 2017. Loan originations on loans held for sale for the first quarter 2018 were $11.6 million with proceeds from sale at $10 million for 2018 which was less than 2017’s first quarter activity of $14.4 million in originations and $16.3 million in sales. The net result of the activity was 2018 had $69 thousand less revenue on gain of sale on the quarter. The Company was able to better take advantage of market fluctuations in its available-for-sale portfolio and sales on securities in first quarter 2017 than first quarter 2018. The gain was $31 thousand lower in the most recent quarter than the same quarter prior year. The next largest fluctuation in noninterest income was in the combined service fee lines, which was $126 thousand higher than the same quarter last year.</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quarter of 2018, mortgage servicing rights caused a net $14 thousand in income, in comparison to a net $17 thousand income for the first quarter of 2017. The slightly lower capitalized additions for 2018 are attributed to a lower loan origination level of 1-4 families combined with a higher mortgage servicing rights value being applied to originations of 1-4 families in 2018 as compared to 2017. For loans of 15 years and less, the value was .972% in the first quarter 2018 versus .647% in first quarter 2017. For loans over 15 years, the value was 1.168% versus .929% for the same periods respectively. The carrying value is well below the market value of $3.1 million which indicates any large expense to fund the valuation allowance to be unlikely in 2018.</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w w:val="93"/>
              </w:rPr>
              <w:t>(In Thousands)</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March 31,</w:t>
            </w:r>
          </w:p>
        </w:tc>
        <w:tc>
          <w:tcPr>
            <w:tcW w:w="860" w:type="dxa"/>
            <w:vAlign w:val="bottom"/>
            <w:gridSpan w:val="3"/>
          </w:tcPr>
          <w:p>
            <w:pPr>
              <w:ind w:left="260"/>
              <w:spacing w:after="0" w:line="123" w:lineRule="exact"/>
              <w:rPr>
                <w:sz w:val="20"/>
                <w:szCs w:val="20"/>
                <w:color w:val="auto"/>
              </w:rPr>
            </w:pPr>
            <w:r>
              <w:rPr>
                <w:rFonts w:ascii="Arial" w:cs="Arial" w:eastAsia="Arial" w:hAnsi="Arial"/>
                <w:sz w:val="14"/>
                <w:szCs w:val="14"/>
                <w:color w:val="auto"/>
                <w:w w:val="93"/>
              </w:rPr>
              <w:t>March 31,</w:t>
            </w:r>
          </w:p>
        </w:tc>
        <w:tc>
          <w:tcPr>
            <w:tcW w:w="120" w:type="dxa"/>
            <w:vAlign w:val="bottom"/>
          </w:tcPr>
          <w:p>
            <w:pPr>
              <w:spacing w:after="0"/>
              <w:rPr>
                <w:sz w:val="10"/>
                <w:szCs w:val="10"/>
                <w:color w:val="auto"/>
              </w:rPr>
            </w:pPr>
          </w:p>
        </w:tc>
      </w:tr>
      <w:tr>
        <w:trPr>
          <w:trHeight w:val="167"/>
        </w:trPr>
        <w:tc>
          <w:tcPr>
            <w:tcW w:w="5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6"/>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83"/>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2,192</w:t>
            </w: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Capitalized Additions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2,209</w:t>
            </w:r>
          </w:p>
        </w:tc>
        <w:tc>
          <w:tcPr>
            <w:tcW w:w="12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Mortgage Servicing Rights net, March 31</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2,209</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first quarter 2018, noninterest expenses were $569 thousand higher than for the same quarter in 2017. Salaries, wages, and employee benefits increased $523 thousand, with the addition of the Huntertown, Bowling Green and Findlay offices, along with normal merit increases. Furniture and equipment expenses increased $35 thousand from the prior year due to an increase in depreciation and maintenance contracts. Data processing charges increased just $20 thousand for first quarter 2018 compared to the first quarter 2017. General and administrative expenses were down $37 thousand compared to first quarter 2017 with no one item noteworthy.</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Results overall, net income in the first quarter of 2018 was up $928 thousand as compared to the same quarter last year. The Company has done an exceptional job of growing loans while keeping past dues low. The Company remains strong, stable, and well capitalized and has the capacity to continue to cover the increased costs of expansion and doing business in a less than robust economy.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Noninterest Results of Operations – First Quarter 2018 to Fourth Quarter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Provision Expense</w:t>
      </w:r>
    </w:p>
    <w:p>
      <w:pPr>
        <w:spacing w:after="0" w:line="11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Total provision for loan losses was $15 thousand higher for first quarter 2018 than for fourth quarter 2017. Loan growth continued in the first quarter, in addition to strong asset quality. The strong asset quality and low net charge-offs offset any need for additional provision above the $40 thousand that was expensed. Since the fourth quarter 2017, past due loans have decreased by $381 thousand. Though, net charge-offs were higher at $108 thousand for first quarter 2018 compared to fourth quarter 2017’s $28 thousand.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Noninterest income for the first quarter 2018 was lower than the fourth quarter by $133 thousand. The decrease is attributed to lower total service fees and charges of $54 thousand along with a decrease in net gain on sale of loans of $79 thousand.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2018, noninterest expenses were $435 thousand higher than in fourth quarter 2017. Mortgage servicing rights amortization was</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 thousand lower than last quarter. Salaries and wages increased by $71 thousand from the previous quarter. Employee benefits increased by $149 thousand over the previous quarter due largely to increased medical claims. Furniture and equipment expenditures increased by $105 thousand largely due to depreciation.</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occupancy expenses increased from the previous quarter by $119 thousand. The increase is primarily attributed to an increase in building depreciation of $101 thousand over fourth quarter 2017.</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General and administrative was down by $47 thousand over fourth quarter; however, the Company has seen increased cost resulting from Bancorp stock activity.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Overall, net income for the first quarter of 2018 was higher by $331 thousand as compared to the fourth quarter of 2017. The growth in loans has spurred the large increase in net interest income that has flowed through to the bottom line. The opening of the new offices may create a slight drag in the short run; however, the Company remains focused on the long term.</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 covering a twelve month period: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gridSpan w:val="5"/>
          </w:tcPr>
          <w:p>
            <w:pPr>
              <w:spacing w:after="0"/>
              <w:rPr>
                <w:sz w:val="20"/>
                <w:szCs w:val="20"/>
                <w:color w:val="auto"/>
              </w:rPr>
            </w:pPr>
            <w:r>
              <w:rPr>
                <w:rFonts w:ascii="Arial" w:cs="Arial" w:eastAsia="Arial" w:hAnsi="Arial"/>
                <w:sz w:val="14"/>
                <w:szCs w:val="14"/>
                <w:color w:val="auto"/>
              </w:rPr>
              <w:t>Interest Rate Shock on Net Interest Margin</w:t>
            </w: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color w:val="auto"/>
                <w:w w:val="94"/>
              </w:rPr>
              <w:t>Interest Rate Shock on Net Interest Income</w:t>
            </w:r>
          </w:p>
        </w:tc>
        <w:tc>
          <w:tcPr>
            <w:tcW w:w="136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Net Interest</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Rate</w:t>
            </w:r>
          </w:p>
        </w:tc>
        <w:tc>
          <w:tcPr>
            <w:tcW w:w="258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Cumulative</w:t>
            </w:r>
          </w:p>
        </w:tc>
        <w:tc>
          <w:tcPr>
            <w:tcW w:w="1360" w:type="dxa"/>
            <w:vAlign w:val="bottom"/>
          </w:tcPr>
          <w:p>
            <w:pPr>
              <w:jc w:val="center"/>
              <w:ind w:right="334"/>
              <w:spacing w:after="0"/>
              <w:rPr>
                <w:sz w:val="20"/>
                <w:szCs w:val="20"/>
                <w:color w:val="auto"/>
              </w:rPr>
            </w:pPr>
            <w:r>
              <w:rPr>
                <w:rFonts w:ascii="Arial" w:cs="Arial" w:eastAsia="Arial" w:hAnsi="Arial"/>
                <w:sz w:val="14"/>
                <w:szCs w:val="14"/>
                <w:color w:val="auto"/>
                <w:w w:val="91"/>
              </w:rPr>
              <w:t>% Change to</w:t>
            </w:r>
          </w:p>
        </w:tc>
      </w:tr>
      <w:tr>
        <w:trPr>
          <w:trHeight w:val="176"/>
        </w:trPr>
        <w:tc>
          <w:tcPr>
            <w:tcW w:w="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Margin (Ratio)</w:t>
            </w:r>
          </w:p>
        </w:tc>
        <w:tc>
          <w:tcPr>
            <w:tcW w:w="2200" w:type="dxa"/>
            <w:vAlign w:val="bottom"/>
            <w:gridSpan w:val="2"/>
          </w:tcPr>
          <w:p>
            <w:pPr>
              <w:ind w:left="280"/>
              <w:spacing w:after="0"/>
              <w:rPr>
                <w:sz w:val="20"/>
                <w:szCs w:val="20"/>
                <w:color w:val="auto"/>
              </w:rPr>
            </w:pPr>
            <w:r>
              <w:rPr>
                <w:rFonts w:ascii="Arial" w:cs="Arial" w:eastAsia="Arial" w:hAnsi="Arial"/>
                <w:sz w:val="14"/>
                <w:szCs w:val="14"/>
                <w:color w:val="auto"/>
              </w:rPr>
              <w:t>% Change to Flat Rate</w:t>
            </w:r>
          </w:p>
        </w:tc>
        <w:tc>
          <w:tcPr>
            <w:tcW w:w="21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Rate Direction</w:t>
            </w:r>
          </w:p>
        </w:tc>
        <w:tc>
          <w:tcPr>
            <w:tcW w:w="21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Changes by</w:t>
            </w:r>
          </w:p>
        </w:tc>
        <w:tc>
          <w:tcPr>
            <w:tcW w:w="2580" w:type="dxa"/>
            <w:vAlign w:val="bottom"/>
            <w:gridSpan w:val="3"/>
          </w:tcPr>
          <w:p>
            <w:pPr>
              <w:jc w:val="center"/>
              <w:ind w:right="760"/>
              <w:spacing w:after="0"/>
              <w:rPr>
                <w:sz w:val="20"/>
                <w:szCs w:val="20"/>
                <w:color w:val="auto"/>
              </w:rPr>
            </w:pPr>
            <w:r>
              <w:rPr>
                <w:rFonts w:ascii="Arial" w:cs="Arial" w:eastAsia="Arial" w:hAnsi="Arial"/>
                <w:sz w:val="14"/>
                <w:szCs w:val="14"/>
                <w:color w:val="auto"/>
                <w:w w:val="92"/>
              </w:rPr>
              <w:t>Total ($000)</w:t>
            </w:r>
          </w:p>
        </w:tc>
        <w:tc>
          <w:tcPr>
            <w:tcW w:w="1360" w:type="dxa"/>
            <w:vAlign w:val="bottom"/>
          </w:tcPr>
          <w:p>
            <w:pPr>
              <w:jc w:val="center"/>
              <w:ind w:right="354"/>
              <w:spacing w:after="0"/>
              <w:rPr>
                <w:sz w:val="20"/>
                <w:szCs w:val="20"/>
                <w:color w:val="auto"/>
              </w:rPr>
            </w:pPr>
            <w:r>
              <w:rPr>
                <w:rFonts w:ascii="Arial" w:cs="Arial" w:eastAsia="Arial" w:hAnsi="Arial"/>
                <w:sz w:val="14"/>
                <w:szCs w:val="14"/>
                <w:color w:val="auto"/>
                <w:w w:val="91"/>
              </w:rPr>
              <w:t>Flat Rate</w:t>
            </w:r>
          </w:p>
        </w:tc>
      </w:tr>
      <w:tr>
        <w:trPr>
          <w:trHeight w:val="195"/>
        </w:trPr>
        <w:tc>
          <w:tcPr>
            <w:tcW w:w="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4.30%</w:t>
            </w:r>
          </w:p>
        </w:tc>
        <w:tc>
          <w:tcPr>
            <w:tcW w:w="160" w:type="dxa"/>
            <w:vAlign w:val="bottom"/>
          </w:tcPr>
          <w:p>
            <w:pPr>
              <w:spacing w:after="0"/>
              <w:rPr>
                <w:sz w:val="16"/>
                <w:szCs w:val="16"/>
                <w:color w:val="auto"/>
              </w:rPr>
            </w:pPr>
          </w:p>
        </w:tc>
        <w:tc>
          <w:tcPr>
            <w:tcW w:w="1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14.64%</w:t>
            </w:r>
          </w:p>
        </w:tc>
        <w:tc>
          <w:tcPr>
            <w:tcW w:w="3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Rising</w:t>
            </w:r>
          </w:p>
        </w:tc>
        <w:tc>
          <w:tcPr>
            <w:tcW w:w="3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3.00%</w:t>
            </w:r>
          </w:p>
        </w:tc>
        <w:tc>
          <w:tcPr>
            <w:tcW w:w="3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46,260</w:t>
            </w: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54"/>
              <w:spacing w:after="0" w:line="195" w:lineRule="exact"/>
              <w:rPr>
                <w:sz w:val="20"/>
                <w:szCs w:val="20"/>
                <w:color w:val="auto"/>
              </w:rPr>
            </w:pPr>
            <w:r>
              <w:rPr>
                <w:rFonts w:ascii="Arial" w:cs="Arial" w:eastAsia="Arial" w:hAnsi="Arial"/>
                <w:sz w:val="18"/>
                <w:szCs w:val="18"/>
                <w:color w:val="auto"/>
                <w:w w:val="91"/>
              </w:rPr>
              <w:t>11.61%</w:t>
            </w:r>
          </w:p>
        </w:tc>
      </w:tr>
      <w:tr>
        <w:trPr>
          <w:trHeight w:val="216"/>
        </w:trPr>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4.06%</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Rising</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44,175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354"/>
              <w:spacing w:after="0"/>
              <w:rPr>
                <w:sz w:val="20"/>
                <w:szCs w:val="20"/>
                <w:color w:val="auto"/>
              </w:rPr>
            </w:pPr>
            <w:r>
              <w:rPr>
                <w:rFonts w:ascii="Arial" w:cs="Arial" w:eastAsia="Arial" w:hAnsi="Arial"/>
                <w:sz w:val="18"/>
                <w:szCs w:val="18"/>
                <w:color w:val="auto"/>
                <w:w w:val="93"/>
              </w:rPr>
              <w:t>6.58%</w:t>
            </w:r>
          </w:p>
        </w:tc>
      </w:tr>
      <w:tr>
        <w:trPr>
          <w:trHeight w:val="216"/>
        </w:trPr>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3.81%</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1.71%</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Rising</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42,136</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354"/>
              <w:spacing w:after="0"/>
              <w:rPr>
                <w:sz w:val="20"/>
                <w:szCs w:val="20"/>
                <w:color w:val="auto"/>
              </w:rPr>
            </w:pPr>
            <w:r>
              <w:rPr>
                <w:rFonts w:ascii="Arial" w:cs="Arial" w:eastAsia="Arial" w:hAnsi="Arial"/>
                <w:sz w:val="18"/>
                <w:szCs w:val="18"/>
                <w:color w:val="auto"/>
                <w:w w:val="93"/>
              </w:rPr>
              <w:t>1.66%</w:t>
            </w:r>
          </w:p>
        </w:tc>
      </w:tr>
      <w:tr>
        <w:trPr>
          <w:trHeight w:val="216"/>
        </w:trPr>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3.75%</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Flat</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41,447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354"/>
              <w:spacing w:after="0"/>
              <w:rPr>
                <w:sz w:val="20"/>
                <w:szCs w:val="20"/>
                <w:color w:val="auto"/>
              </w:rPr>
            </w:pPr>
            <w:r>
              <w:rPr>
                <w:rFonts w:ascii="Arial" w:cs="Arial" w:eastAsia="Arial" w:hAnsi="Arial"/>
                <w:sz w:val="18"/>
                <w:szCs w:val="18"/>
                <w:color w:val="auto"/>
                <w:w w:val="93"/>
              </w:rPr>
              <w:t>0.00%</w:t>
            </w:r>
          </w:p>
        </w:tc>
      </w:tr>
      <w:tr>
        <w:trPr>
          <w:trHeight w:val="216"/>
        </w:trPr>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3.45%</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-7.97%</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Falling</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38,963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354"/>
              <w:spacing w:after="0"/>
              <w:rPr>
                <w:sz w:val="20"/>
                <w:szCs w:val="20"/>
                <w:color w:val="auto"/>
              </w:rPr>
            </w:pPr>
            <w:r>
              <w:rPr>
                <w:rFonts w:ascii="Arial" w:cs="Arial" w:eastAsia="Arial" w:hAnsi="Arial"/>
                <w:sz w:val="18"/>
                <w:szCs w:val="18"/>
                <w:color w:val="auto"/>
                <w:w w:val="91"/>
              </w:rPr>
              <w:t>-5.99%</w:t>
            </w:r>
          </w:p>
        </w:tc>
      </w:tr>
      <w:tr>
        <w:trPr>
          <w:trHeight w:val="216"/>
        </w:trPr>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-14.08%</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Falling</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37,151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354"/>
              <w:spacing w:after="0"/>
              <w:rPr>
                <w:sz w:val="20"/>
                <w:szCs w:val="20"/>
                <w:color w:val="auto"/>
              </w:rPr>
            </w:pPr>
            <w:r>
              <w:rPr>
                <w:rFonts w:ascii="Arial" w:cs="Arial" w:eastAsia="Arial" w:hAnsi="Arial"/>
                <w:sz w:val="18"/>
                <w:szCs w:val="18"/>
                <w:color w:val="auto"/>
                <w:w w:val="89"/>
              </w:rPr>
              <w:t>-10.37%</w:t>
            </w:r>
          </w:p>
        </w:tc>
      </w:tr>
      <w:tr>
        <w:trPr>
          <w:trHeight w:val="230"/>
        </w:trPr>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2.99%</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-20.24%</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Falling</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3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35,403</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center"/>
              <w:ind w:right="354"/>
              <w:spacing w:after="0"/>
              <w:rPr>
                <w:sz w:val="20"/>
                <w:szCs w:val="20"/>
                <w:color w:val="auto"/>
              </w:rPr>
            </w:pPr>
            <w:r>
              <w:rPr>
                <w:rFonts w:ascii="Arial" w:cs="Arial" w:eastAsia="Arial" w:hAnsi="Arial"/>
                <w:sz w:val="18"/>
                <w:szCs w:val="18"/>
                <w:color w:val="auto"/>
                <w:w w:val="89"/>
              </w:rPr>
              <w:t>-14.58%</w:t>
            </w: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five year period, the Bank has experienced a decrease in the time balances of our deposit portfolio, and therefore, a loss of term funding. Over the past two years, the Bank has also paid off term borrowings with the last $5 million maturing this year.</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shock chart currently shows a widening net interest margin over the next twelve months in an increasing rate environment with a tightening in a falling rate environment. Cost of funds are below 0.75% so at even the lowest shock of 100 basis points, the Bank cannot take full advantage and reprice funds to match the level of shock. Since the average duration of the majority of the assets is outside the 12 month shock period, the rising rate environment only shows minor improvement.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must concentrate on increasing loan spreads on variable loans and extend the duration on cost of funds where possible.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31, 2018,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March 31, 2018. There have been no changes in the Company’s internal control over financial reporting that occurred during the quarter ended March 31, 2018 that have materially affected, or are reasonably likely to materially affect, the registrant’s internal control over financial reporting.</w:t>
      </w: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risk factors disclosed by Registrant in its Report on Form 10-K for the fiscal year ended December 31, 2017.</w:t>
      </w:r>
    </w:p>
    <w:p>
      <w:pPr>
        <w:spacing w:after="0" w:line="397" w:lineRule="exact"/>
        <w:rPr>
          <w:sz w:val="20"/>
          <w:szCs w:val="20"/>
          <w:color w:val="auto"/>
        </w:rPr>
      </w:pPr>
    </w:p>
    <w:p>
      <w:pPr>
        <w:ind w:right="4280"/>
        <w:spacing w:after="0" w:line="402" w:lineRule="auto"/>
        <w:rPr>
          <w:sz w:val="20"/>
          <w:szCs w:val="20"/>
          <w:color w:val="auto"/>
        </w:rPr>
      </w:pPr>
      <w:r>
        <w:rPr>
          <w:rFonts w:ascii="Arial" w:cs="Arial" w:eastAsia="Arial" w:hAnsi="Arial"/>
          <w:sz w:val="18"/>
          <w:szCs w:val="18"/>
          <w:color w:val="auto"/>
        </w:rPr>
        <w:t>ITEM 2 UNREGISTERED SALES OF EQUITY SECURITIES AND USE OF PROCEEDS Treasury stock repurchased the quarter ended March 31, 2018.</w:t>
      </w:r>
    </w:p>
    <w:p>
      <w:pPr>
        <w:sectPr>
          <w:pgSz w:w="11900" w:h="16838" w:orient="portrait"/>
          <w:cols w:equalWidth="0" w:num="1">
            <w:col w:w="11260"/>
          </w:cols>
          <w:pgMar w:left="240" w:top="459" w:right="399" w:bottom="1440" w:gutter="0" w:footer="0" w:header="0"/>
        </w:sectPr>
      </w:pP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w w:val="95"/>
              </w:rPr>
              <w:t>(c) Total Number of Shares</w:t>
            </w:r>
          </w:p>
        </w:tc>
      </w:tr>
      <w:tr>
        <w:trPr>
          <w:trHeight w:val="149"/>
        </w:trPr>
        <w:tc>
          <w:tcPr>
            <w:tcW w:w="2440" w:type="dxa"/>
            <w:vAlign w:val="bottom"/>
          </w:tcPr>
          <w:p>
            <w:pPr>
              <w:spacing w:after="0"/>
              <w:rPr>
                <w:sz w:val="12"/>
                <w:szCs w:val="12"/>
                <w:color w:val="auto"/>
              </w:rPr>
            </w:pPr>
          </w:p>
        </w:tc>
        <w:tc>
          <w:tcPr>
            <w:tcW w:w="11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 Total Number</w:t>
            </w:r>
          </w:p>
        </w:tc>
        <w:tc>
          <w:tcPr>
            <w:tcW w:w="7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w w:val="89"/>
              </w:rPr>
              <w:t>(b) Average Price</w:t>
            </w:r>
          </w:p>
        </w:tc>
        <w:tc>
          <w:tcPr>
            <w:tcW w:w="7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1"/>
              </w:rPr>
              <w:t>Purchased as Part of Publicly</w:t>
            </w:r>
          </w:p>
        </w:tc>
      </w:tr>
      <w:tr>
        <w:trPr>
          <w:trHeight w:val="167"/>
        </w:trPr>
        <w:tc>
          <w:tcPr>
            <w:tcW w:w="2440" w:type="dxa"/>
            <w:vAlign w:val="bottom"/>
          </w:tcPr>
          <w:p>
            <w:pPr>
              <w:ind w:left="700"/>
              <w:spacing w:after="0"/>
              <w:rPr>
                <w:sz w:val="20"/>
                <w:szCs w:val="20"/>
                <w:color w:val="auto"/>
              </w:rPr>
            </w:pPr>
            <w:r>
              <w:rPr>
                <w:rFonts w:ascii="Arial" w:cs="Arial" w:eastAsia="Arial" w:hAnsi="Arial"/>
                <w:sz w:val="14"/>
                <w:szCs w:val="14"/>
                <w:color w:val="auto"/>
              </w:rPr>
              <w:t>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of Shares Purchased</w:t>
            </w:r>
          </w:p>
        </w:tc>
        <w:tc>
          <w:tcPr>
            <w:tcW w:w="7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Paid per Share</w:t>
            </w:r>
          </w:p>
        </w:tc>
        <w:tc>
          <w:tcPr>
            <w:tcW w:w="760" w:type="dxa"/>
            <w:vAlign w:val="bottom"/>
          </w:tcPr>
          <w:p>
            <w:pPr>
              <w:spacing w:after="0"/>
              <w:rPr>
                <w:sz w:val="14"/>
                <w:szCs w:val="1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Announced Plan or Programs</w:t>
            </w:r>
          </w:p>
        </w:tc>
      </w:tr>
      <w:tr>
        <w:trPr>
          <w:trHeight w:val="182"/>
        </w:trPr>
        <w:tc>
          <w:tcPr>
            <w:tcW w:w="2440" w:type="dxa"/>
            <w:vAlign w:val="bottom"/>
          </w:tcPr>
          <w:p>
            <w:pPr>
              <w:spacing w:after="0" w:line="182" w:lineRule="exact"/>
              <w:rPr>
                <w:sz w:val="20"/>
                <w:szCs w:val="20"/>
                <w:color w:val="auto"/>
              </w:rPr>
            </w:pPr>
            <w:r>
              <w:rPr>
                <w:rFonts w:ascii="Arial" w:cs="Arial" w:eastAsia="Arial" w:hAnsi="Arial"/>
                <w:sz w:val="18"/>
                <w:szCs w:val="18"/>
                <w:color w:val="auto"/>
              </w:rPr>
              <w:t>1/1/2018</w:t>
            </w: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to</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1/31/2018</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2/1/2018</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to</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2/28/2018</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3/1/2018</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to</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2440" w:type="dxa"/>
            <w:vAlign w:val="bottom"/>
          </w:tcPr>
          <w:p>
            <w:pPr>
              <w:spacing w:after="0"/>
              <w:rPr>
                <w:sz w:val="20"/>
                <w:szCs w:val="20"/>
                <w:color w:val="auto"/>
              </w:rPr>
            </w:pPr>
            <w:r>
              <w:rPr>
                <w:rFonts w:ascii="Arial" w:cs="Arial" w:eastAsia="Arial" w:hAnsi="Arial"/>
                <w:sz w:val="18"/>
                <w:szCs w:val="18"/>
                <w:color w:val="auto"/>
              </w:rPr>
              <w:t>3/31/2018</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-582295</wp:posOffset>
            </wp:positionV>
            <wp:extent cx="666369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3690" cy="42037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-1423035</wp:posOffset>
            </wp:positionV>
            <wp:extent cx="6663690" cy="420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left="2" w:right="360" w:hanging="2"/>
        <w:spacing w:after="0" w:line="268" w:lineRule="auto"/>
        <w:tabs>
          <w:tab w:leader="none" w:pos="196"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Maximum Number of Shares that may yet be purchased under</w:t>
      </w:r>
    </w:p>
    <w:p>
      <w:pPr>
        <w:ind w:left="302"/>
        <w:spacing w:after="0"/>
        <w:rPr>
          <w:rFonts w:ascii="Arial" w:cs="Arial" w:eastAsia="Arial" w:hAnsi="Arial"/>
          <w:sz w:val="12"/>
          <w:szCs w:val="12"/>
          <w:color w:val="auto"/>
        </w:rPr>
      </w:pPr>
      <w:r>
        <w:rPr>
          <w:rFonts w:ascii="Arial" w:cs="Arial" w:eastAsia="Arial" w:hAnsi="Arial"/>
          <w:sz w:val="14"/>
          <w:szCs w:val="14"/>
          <w:color w:val="auto"/>
        </w:rPr>
        <w:t>the Plans or Programs</w:t>
      </w:r>
    </w:p>
    <w:p>
      <w:pPr>
        <w:spacing w:after="0" w:line="200" w:lineRule="exact"/>
        <w:rPr>
          <w:sz w:val="20"/>
          <w:szCs w:val="20"/>
          <w:color w:val="auto"/>
        </w:rPr>
      </w:pPr>
    </w:p>
    <w:p>
      <w:pPr>
        <w:spacing w:after="0" w:line="22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400,000</w:t>
      </w:r>
    </w:p>
    <w:p>
      <w:pPr>
        <w:spacing w:after="0" w:line="200" w:lineRule="exact"/>
        <w:rPr>
          <w:sz w:val="20"/>
          <w:szCs w:val="20"/>
          <w:color w:val="auto"/>
        </w:rPr>
      </w:pPr>
    </w:p>
    <w:p>
      <w:pPr>
        <w:spacing w:after="0" w:line="255"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400,000</w:t>
      </w:r>
    </w:p>
    <w:p>
      <w:pPr>
        <w:spacing w:after="0" w:line="200" w:lineRule="exact"/>
        <w:rPr>
          <w:sz w:val="20"/>
          <w:szCs w:val="20"/>
          <w:color w:val="auto"/>
        </w:rPr>
      </w:pPr>
    </w:p>
    <w:p>
      <w:pPr>
        <w:spacing w:after="0" w:line="255"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00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007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8298" w:space="720"/>
            <w:col w:w="2242"/>
          </w:cols>
          <w:pgMar w:left="240" w:top="459" w:right="399" w:bottom="1440" w:gutter="0" w:footer="0" w:header="0"/>
          <w:type w:val="continuous"/>
        </w:sectPr>
      </w:pPr>
    </w:p>
    <w:p>
      <w:pPr>
        <w:ind w:left="460" w:right="4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time to time, the Company purchases shares in the market pursuant to a stock repurchase program publicly announced on January 19, 2018. On that date, the Board of Directors authorized the repurchase of 400,000 common shares between January 19, 2018 and December 31, 2018.</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459" w:right="3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10460" w:type="dxa"/>
            <w:vAlign w:val="bottom"/>
            <w:gridSpan w:val="9"/>
          </w:tcPr>
          <w:p>
            <w:pPr>
              <w:ind w:left="120"/>
              <w:spacing w:after="0"/>
              <w:rPr>
                <w:sz w:val="20"/>
                <w:szCs w:val="20"/>
                <w:color w:val="auto"/>
              </w:rPr>
            </w:pPr>
            <w:r>
              <w:rPr>
                <w:rFonts w:ascii="Arial" w:cs="Arial" w:eastAsia="Arial" w:hAnsi="Arial"/>
                <w:sz w:val="18"/>
                <w:szCs w:val="18"/>
                <w:color w:val="auto"/>
              </w:rPr>
              <w:t>OTHER INFORMATION</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10460" w:type="dxa"/>
            <w:vAlign w:val="bottom"/>
            <w:gridSpan w:val="9"/>
          </w:tcPr>
          <w:p>
            <w:pPr>
              <w:ind w:left="120"/>
              <w:spacing w:after="0"/>
              <w:rPr>
                <w:sz w:val="20"/>
                <w:szCs w:val="20"/>
                <w:color w:val="auto"/>
              </w:rPr>
            </w:pPr>
            <w:r>
              <w:rPr>
                <w:rFonts w:ascii="Arial" w:cs="Arial" w:eastAsia="Arial" w:hAnsi="Arial"/>
                <w:sz w:val="18"/>
                <w:szCs w:val="18"/>
                <w:color w:val="auto"/>
              </w:rPr>
              <w:t>EXHIBITS</w:t>
            </w:r>
          </w:p>
        </w:tc>
      </w:tr>
      <w:tr>
        <w:trPr>
          <w:trHeight w:val="405"/>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100" w:type="dxa"/>
            <w:vAlign w:val="bottom"/>
            <w:tcBorders>
              <w:bottom w:val="single" w:sz="8" w:color="0000EE"/>
            </w:tcBorders>
            <w:gridSpan w:val="8"/>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Amended Articles of Incorporation of the Registrant (incorporated by reference to Exhibit 3.1 to Registrant’s Report on Form 8-K filed with</w:t>
              </w:r>
            </w:hyperlink>
          </w:p>
        </w:tc>
      </w:tr>
      <w:tr>
        <w:trPr>
          <w:trHeight w:val="196"/>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the Commission on August 25, 2017).</w:t>
              </w:r>
            </w:hyperlink>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r>
      <w:tr>
        <w:trPr>
          <w:trHeight w:val="196"/>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Form 10-Q filed with the Commission on July 26, 2017).</w:t>
              </w:r>
            </w:hyperlink>
          </w:p>
        </w:tc>
        <w:tc>
          <w:tcPr>
            <w:tcW w:w="58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Rule 13-a-14(a) Certification - CEO</w:t>
              </w:r>
            </w:hyperlink>
          </w:p>
        </w:tc>
        <w:tc>
          <w:tcPr>
            <w:tcW w:w="7480" w:type="dxa"/>
            <w:vAlign w:val="bottom"/>
            <w:gridSpan w:val="4"/>
          </w:tcPr>
          <w:p>
            <w:pPr>
              <w:spacing w:after="0"/>
              <w:rPr>
                <w:sz w:val="24"/>
                <w:szCs w:val="24"/>
                <w:color w:val="auto"/>
              </w:rPr>
            </w:pPr>
          </w:p>
        </w:tc>
      </w:tr>
      <w:tr>
        <w:trPr>
          <w:trHeight w:val="304"/>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6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Rule 13-a-14(a) Certification - CFO</w:t>
              </w:r>
            </w:hyperlink>
          </w:p>
        </w:tc>
        <w:tc>
          <w:tcPr>
            <w:tcW w:w="7500" w:type="dxa"/>
            <w:vAlign w:val="bottom"/>
            <w:gridSpan w:val="5"/>
          </w:tcPr>
          <w:p>
            <w:pPr>
              <w:spacing w:after="0"/>
              <w:rPr>
                <w:sz w:val="24"/>
                <w:szCs w:val="24"/>
                <w:color w:val="auto"/>
              </w:rPr>
            </w:pPr>
          </w:p>
        </w:tc>
      </w:tr>
      <w:tr>
        <w:trPr>
          <w:trHeight w:val="304"/>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4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Section 1350 Certification - CEO</w:t>
              </w:r>
            </w:hyperlink>
          </w:p>
        </w:tc>
        <w:tc>
          <w:tcPr>
            <w:tcW w:w="7680" w:type="dxa"/>
            <w:vAlign w:val="bottom"/>
            <w:gridSpan w:val="6"/>
          </w:tcPr>
          <w:p>
            <w:pPr>
              <w:spacing w:after="0"/>
              <w:rPr>
                <w:sz w:val="24"/>
                <w:szCs w:val="24"/>
                <w:color w:val="auto"/>
              </w:rPr>
            </w:pPr>
          </w:p>
        </w:tc>
      </w:tr>
      <w:tr>
        <w:trPr>
          <w:trHeight w:val="304"/>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400" w:type="dxa"/>
            <w:vAlign w:val="bottom"/>
            <w:tcBorders>
              <w:bottom w:val="single" w:sz="8" w:color="0000EE"/>
            </w:tcBorders>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Section 1350 Certification - CFO</w:t>
              </w:r>
            </w:hyperlink>
          </w:p>
        </w:tc>
        <w:tc>
          <w:tcPr>
            <w:tcW w:w="7700" w:type="dxa"/>
            <w:vAlign w:val="bottom"/>
            <w:gridSpan w:val="7"/>
          </w:tcPr>
          <w:p>
            <w:pPr>
              <w:spacing w:after="0"/>
              <w:rPr>
                <w:sz w:val="24"/>
                <w:szCs w:val="24"/>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XBRL Instance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Schem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60" w:type="dxa"/>
            <w:vAlign w:val="bottom"/>
            <w:gridSpan w:val="3"/>
          </w:tcPr>
          <w:p>
            <w:pPr>
              <w:jc w:val="center"/>
              <w:ind w:right="3720"/>
              <w:spacing w:after="0"/>
              <w:rPr>
                <w:sz w:val="20"/>
                <w:szCs w:val="20"/>
                <w:color w:val="auto"/>
              </w:rPr>
            </w:pPr>
            <w:r>
              <w:rPr>
                <w:rFonts w:ascii="Arial" w:cs="Arial" w:eastAsia="Arial" w:hAnsi="Arial"/>
                <w:sz w:val="18"/>
                <w:szCs w:val="18"/>
                <w:color w:val="auto"/>
                <w:w w:val="93"/>
              </w:rPr>
              <w:t>[Remainder of this page intentionally left blank]</w:t>
            </w:r>
          </w:p>
        </w:tc>
      </w:tr>
      <w:tr>
        <w:trPr>
          <w:trHeight w:val="365"/>
        </w:trPr>
        <w:tc>
          <w:tcPr>
            <w:tcW w:w="800" w:type="dxa"/>
            <w:vAlign w:val="bottom"/>
          </w:tcPr>
          <w:p>
            <w:pPr>
              <w:spacing w:after="0"/>
              <w:rPr>
                <w:sz w:val="24"/>
                <w:szCs w:val="24"/>
                <w:color w:val="auto"/>
              </w:rPr>
            </w:pPr>
          </w:p>
        </w:tc>
        <w:tc>
          <w:tcPr>
            <w:tcW w:w="10360" w:type="dxa"/>
            <w:vAlign w:val="bottom"/>
            <w:gridSpan w:val="8"/>
          </w:tcPr>
          <w:p>
            <w:pPr>
              <w:jc w:val="right"/>
              <w:ind w:right="5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800" w:type="dxa"/>
            <w:vAlign w:val="bottom"/>
            <w:gridSpan w:val="2"/>
          </w:tcPr>
          <w:p>
            <w:pPr>
              <w:ind w:left="2280"/>
              <w:spacing w:after="0"/>
              <w:rPr>
                <w:sz w:val="20"/>
                <w:szCs w:val="20"/>
                <w:color w:val="auto"/>
              </w:rPr>
            </w:pPr>
            <w:r>
              <w:rPr>
                <w:rFonts w:ascii="Arial" w:cs="Arial" w:eastAsia="Arial" w:hAnsi="Arial"/>
                <w:sz w:val="18"/>
                <w:szCs w:val="18"/>
                <w:color w:val="auto"/>
              </w:rPr>
              <w:t>Farmers &amp; Merchants Bancorp, Inc.,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80"/>
              <w:spacing w:after="0"/>
              <w:rPr>
                <w:sz w:val="20"/>
                <w:szCs w:val="20"/>
                <w:color w:val="auto"/>
              </w:rPr>
            </w:pPr>
            <w:r>
              <w:rPr>
                <w:rFonts w:ascii="Arial" w:cs="Arial" w:eastAsia="Arial" w:hAnsi="Arial"/>
                <w:sz w:val="18"/>
                <w:szCs w:val="18"/>
                <w:color w:val="auto"/>
              </w:rPr>
              <w:t>April 25, 2018</w:t>
            </w:r>
          </w:p>
        </w:tc>
        <w:tc>
          <w:tcPr>
            <w:tcW w:w="7800" w:type="dxa"/>
            <w:vAlign w:val="bottom"/>
            <w:gridSpan w:val="2"/>
          </w:tcPr>
          <w:p>
            <w:pPr>
              <w:ind w:left="2280"/>
              <w:spacing w:after="0"/>
              <w:rPr>
                <w:sz w:val="20"/>
                <w:szCs w:val="20"/>
                <w:color w:val="auto"/>
              </w:rPr>
            </w:pPr>
            <w:r>
              <w:rPr>
                <w:rFonts w:ascii="Arial" w:cs="Arial" w:eastAsia="Arial" w:hAnsi="Arial"/>
                <w:sz w:val="18"/>
                <w:szCs w:val="18"/>
                <w:color w:val="auto"/>
              </w:rPr>
              <w:t>By:  /s/ Paul S. Siebenmorgen</w:t>
            </w:r>
          </w:p>
        </w:tc>
      </w:tr>
      <w:tr>
        <w:trPr>
          <w:trHeight w:val="195"/>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Paul S. Siebenmorgen</w:t>
            </w:r>
          </w:p>
        </w:tc>
      </w:tr>
      <w:tr>
        <w:trPr>
          <w:trHeight w:val="230"/>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CEO</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80"/>
              <w:spacing w:after="0"/>
              <w:rPr>
                <w:sz w:val="20"/>
                <w:szCs w:val="20"/>
                <w:color w:val="auto"/>
              </w:rPr>
            </w:pPr>
            <w:r>
              <w:rPr>
                <w:rFonts w:ascii="Arial" w:cs="Arial" w:eastAsia="Arial" w:hAnsi="Arial"/>
                <w:sz w:val="18"/>
                <w:szCs w:val="18"/>
                <w:color w:val="auto"/>
              </w:rPr>
              <w:t>April 25, 2018</w:t>
            </w:r>
          </w:p>
        </w:tc>
        <w:tc>
          <w:tcPr>
            <w:tcW w:w="7800" w:type="dxa"/>
            <w:vAlign w:val="bottom"/>
            <w:gridSpan w:val="2"/>
          </w:tcPr>
          <w:p>
            <w:pPr>
              <w:ind w:left="2280"/>
              <w:spacing w:after="0"/>
              <w:rPr>
                <w:sz w:val="20"/>
                <w:szCs w:val="20"/>
                <w:color w:val="auto"/>
              </w:rPr>
            </w:pPr>
            <w:r>
              <w:rPr>
                <w:rFonts w:ascii="Arial" w:cs="Arial" w:eastAsia="Arial" w:hAnsi="Arial"/>
                <w:sz w:val="18"/>
                <w:szCs w:val="18"/>
                <w:color w:val="auto"/>
              </w:rPr>
              <w:t>By:  /s/ Barbara J. Britenriker</w:t>
            </w:r>
          </w:p>
        </w:tc>
      </w:tr>
      <w:tr>
        <w:trPr>
          <w:trHeight w:val="195"/>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Barbara J. Britenriker</w:t>
            </w:r>
          </w:p>
        </w:tc>
      </w:tr>
      <w:tr>
        <w:trPr>
          <w:trHeight w:val="230"/>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 Vice-President and CFO</w:t>
            </w:r>
          </w:p>
        </w:tc>
      </w:tr>
      <w:tr>
        <w:trPr>
          <w:trHeight w:val="365"/>
        </w:trPr>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6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rPr>
              <w:t>Date: April 25, 2018</w:t>
            </w:r>
          </w:p>
        </w:tc>
        <w:tc>
          <w:tcPr>
            <w:tcW w:w="2740" w:type="dxa"/>
            <w:vAlign w:val="bottom"/>
            <w:gridSpan w:val="2"/>
          </w:tcPr>
          <w:p>
            <w:pPr>
              <w:spacing w:after="0"/>
              <w:rPr>
                <w:sz w:val="20"/>
                <w:szCs w:val="20"/>
                <w:color w:val="auto"/>
              </w:rPr>
            </w:pPr>
            <w:r>
              <w:rPr>
                <w:rFonts w:ascii="Arial" w:cs="Arial" w:eastAsia="Arial" w:hAnsi="Arial"/>
                <w:sz w:val="18"/>
                <w:szCs w:val="18"/>
                <w:color w:val="auto"/>
              </w:rPr>
              <w:t>/s/ Paul S. Siebenmorgen</w:t>
            </w:r>
          </w:p>
        </w:tc>
      </w:tr>
      <w:tr>
        <w:trPr>
          <w:trHeight w:val="222"/>
        </w:trPr>
        <w:tc>
          <w:tcPr>
            <w:tcW w:w="618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Paul S. Siebenmorgen</w:t>
            </w:r>
          </w:p>
        </w:tc>
        <w:tc>
          <w:tcPr>
            <w:tcW w:w="940" w:type="dxa"/>
            <w:vAlign w:val="bottom"/>
          </w:tcPr>
          <w:p>
            <w:pPr>
              <w:spacing w:after="0"/>
              <w:rPr>
                <w:sz w:val="19"/>
                <w:szCs w:val="19"/>
                <w:color w:val="auto"/>
              </w:rPr>
            </w:pPr>
          </w:p>
        </w:tc>
      </w:tr>
      <w:tr>
        <w:trPr>
          <w:trHeight w:val="230"/>
        </w:trPr>
        <w:tc>
          <w:tcPr>
            <w:tcW w:w="61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rPr>
              <w:t>Date: April 25, 2018</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Barbara J. Britenriker</w:t>
            </w:r>
          </w:p>
        </w:tc>
        <w:tc>
          <w:tcPr>
            <w:tcW w:w="340" w:type="dxa"/>
            <w:vAlign w:val="bottom"/>
          </w:tcPr>
          <w:p>
            <w:pPr>
              <w:spacing w:after="0"/>
              <w:rPr>
                <w:sz w:val="18"/>
                <w:szCs w:val="18"/>
                <w:color w:val="auto"/>
              </w:rPr>
            </w:pPr>
          </w:p>
        </w:tc>
      </w:tr>
      <w:tr>
        <w:trPr>
          <w:trHeight w:val="222"/>
        </w:trPr>
        <w:tc>
          <w:tcPr>
            <w:tcW w:w="618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Barbara J. Britenriker</w:t>
            </w:r>
          </w:p>
        </w:tc>
      </w:tr>
      <w:tr>
        <w:trPr>
          <w:trHeight w:val="216"/>
        </w:trPr>
        <w:tc>
          <w:tcPr>
            <w:tcW w:w="61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w:t>
            </w:r>
          </w:p>
        </w:tc>
      </w:tr>
      <w:tr>
        <w:trPr>
          <w:trHeight w:val="230"/>
        </w:trPr>
        <w:tc>
          <w:tcPr>
            <w:tcW w:w="61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12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2018 as filed with the Securities and Exchange Commission (“the report”), I, Paul S. Siebenmorgen, President and Chief Executive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rPr>
              <w:t>Date: April 25, 2018</w:t>
            </w:r>
          </w:p>
        </w:tc>
        <w:tc>
          <w:tcPr>
            <w:tcW w:w="2660" w:type="dxa"/>
            <w:vAlign w:val="bottom"/>
            <w:gridSpan w:val="2"/>
          </w:tcPr>
          <w:p>
            <w:pPr>
              <w:spacing w:after="0"/>
              <w:rPr>
                <w:sz w:val="20"/>
                <w:szCs w:val="20"/>
                <w:color w:val="auto"/>
              </w:rPr>
            </w:pPr>
            <w:r>
              <w:rPr>
                <w:rFonts w:ascii="Arial" w:cs="Arial" w:eastAsia="Arial" w:hAnsi="Arial"/>
                <w:sz w:val="18"/>
                <w:szCs w:val="18"/>
                <w:color w:val="auto"/>
              </w:rPr>
              <w:t>/s/ Paul S. Siebenmorgen</w:t>
            </w:r>
          </w:p>
        </w:tc>
      </w:tr>
      <w:tr>
        <w:trPr>
          <w:trHeight w:val="20"/>
        </w:trPr>
        <w:tc>
          <w:tcPr>
            <w:tcW w:w="61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618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87"/>
              </w:rPr>
              <w:t>Paul S. Siebenmorgen, President and</w:t>
            </w:r>
          </w:p>
        </w:tc>
      </w:tr>
      <w:tr>
        <w:trPr>
          <w:trHeight w:val="230"/>
        </w:trPr>
        <w:tc>
          <w:tcPr>
            <w:tcW w:w="61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120"/>
          </w:cols>
          <w:pgMar w:left="240" w:top="125" w:right="5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2018,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rPr>
              <w:t>Date: April 25, 2018</w:t>
            </w: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Barbara J. Britenriker</w:t>
            </w:r>
          </w:p>
        </w:tc>
        <w:tc>
          <w:tcPr>
            <w:tcW w:w="1360" w:type="dxa"/>
            <w:vAlign w:val="bottom"/>
          </w:tcPr>
          <w:p>
            <w:pPr>
              <w:spacing w:after="0"/>
              <w:rPr>
                <w:sz w:val="17"/>
                <w:szCs w:val="17"/>
                <w:color w:val="auto"/>
              </w:rPr>
            </w:pPr>
          </w:p>
        </w:tc>
      </w:tr>
      <w:tr>
        <w:trPr>
          <w:trHeight w:val="222"/>
        </w:trPr>
        <w:tc>
          <w:tcPr>
            <w:tcW w:w="618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w w:val="90"/>
              </w:rPr>
              <w:t>Barbara J. Britenriker, Exec. Vice President</w:t>
            </w:r>
          </w:p>
        </w:tc>
      </w:tr>
      <w:tr>
        <w:trPr>
          <w:trHeight w:val="230"/>
        </w:trPr>
        <w:tc>
          <w:tcPr>
            <w:tcW w:w="618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and Chief Financial Officer</w:t>
            </w:r>
          </w:p>
        </w:tc>
      </w:tr>
    </w:tbl>
    <w:p>
      <w:pPr>
        <w:spacing w:after="0" w:line="20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lvl w:ilvl="1">
      <w:lvlJc w:val="left"/>
      <w:lvlText w:val="%2."/>
      <w:numFmt w:val="lowerLetter"/>
      <w:start w:val="1"/>
    </w:lvl>
  </w:abstractNum>
  <w:abstractNum w:abstractNumId="8">
    <w:nsid w:val="25E45D32"/>
    <w:multiLevelType w:val="hybridMultilevel"/>
    <w:lvl w:ilvl="0">
      <w:lvlJc w:val="left"/>
      <w:lvlText w:val="%1."/>
      <w:numFmt w:val="decimal"/>
      <w:start w:val="5"/>
    </w:lvl>
    <w:lvl w:ilvl="1">
      <w:lvlJc w:val="left"/>
      <w:lvlText w:val="%2."/>
      <w:numFmt w:val="lowerLetter"/>
      <w:start w:val="1"/>
    </w:lvl>
  </w:abstractNum>
  <w:abstractNum w:abstractNumId="9">
    <w:nsid w:val="519B500D"/>
    <w:multiLevelType w:val="hybridMultilevel"/>
    <w:lvl w:ilvl="0">
      <w:lvlJc w:val="left"/>
      <w:lvlText w:val="%1"/>
      <w:numFmt w:val="decimal"/>
      <w:start w:val="1"/>
    </w:lvl>
    <w:lvl w:ilvl="1">
      <w:lvlJc w:val="left"/>
      <w:lvlText w:val="%2."/>
      <w:numFmt w:val="lowerLetter"/>
      <w:start w:val="3"/>
    </w:lvl>
  </w:abstractNum>
  <w:abstractNum w:abstractNumId="10">
    <w:nsid w:val="431BD7B7"/>
    <w:multiLevelType w:val="hybridMultilevel"/>
    <w:lvl w:ilvl="0">
      <w:lvlJc w:val="left"/>
      <w:lvlText w:val="%1."/>
      <w:numFmt w:val="decimal"/>
      <w:start w:val="8"/>
    </w:lvl>
    <w:lvl w:ilvl="1">
      <w:lvlJc w:val="left"/>
      <w:lvlText w:val="%2."/>
      <w:numFmt w:val="lowerLetter"/>
      <w:start w:val="1"/>
    </w:lvl>
  </w:abstractNum>
  <w:abstractNum w:abstractNumId="11">
    <w:nsid w:val="3F2DBA31"/>
    <w:multiLevelType w:val="hybridMultilevel"/>
    <w:lvl w:ilvl="0">
      <w:lvlJc w:val="left"/>
      <w:lvlText w:val="%1"/>
      <w:numFmt w:val="decimal"/>
      <w:start w:val="508"/>
    </w:lvl>
  </w:abstractNum>
  <w:abstractNum w:abstractNumId="12">
    <w:nsid w:val="7C83E458"/>
    <w:multiLevelType w:val="hybridMultilevel"/>
    <w:lvl w:ilvl="0">
      <w:lvlJc w:val="left"/>
      <w:lvlText w:val="%1"/>
      <w:numFmt w:val="decimal"/>
      <w:start w:val="22"/>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o"/>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4"/>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5" Type="http://schemas.openxmlformats.org/officeDocument/2006/relationships/hyperlink" Target="http://www.sec.gov/Archives/edgar/data/792966/000119312517267640/d427465dex31.htm" TargetMode="External"/><Relationship Id="rId76" Type="http://schemas.openxmlformats.org/officeDocument/2006/relationships/hyperlink" Target="http://www.sec.gov/Archives/edgar/data/792966/000119312517235925/d42299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2020-01-15T03:52:09Z</dcterms:created>
  <dcterms:modified xsi:type="dcterms:W3CDTF">2020-01-15T03:52:09Z</dcterms:modified>
</cp:coreProperties>
</file>