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fmao-20230331.htm"/>
      <w:bookmarkStart w:id="1" w:name="ksfmao20230331"/>
      <w:bookmarkEnd w:id="0"/>
      <w:bookmarkEnd w:id="1"/>
      <w:r>
        <w:rPr/>
        <w:t> </w:t>
      </w:r>
    </w:p>
    <w:p>
      <w:pPr>
        <w:pStyle w:val="TextBody"/>
        <w:spacing w:before="0" w:after="0"/>
        <w:jc w:val="center"/>
        <w:rPr>
          <w:rFonts w:ascii="Times New Roman;serif" w:hAnsi="Times New Roman;serif"/>
          <w:b/>
          <w:sz w:val="32"/>
        </w:rPr>
      </w:pPr>
      <w:r>
        <w:rPr>
          <w:rFonts w:ascii="Times New Roman;serif" w:hAnsi="Times New Roman;serif"/>
          <w:b/>
          <w:sz w:val="32"/>
        </w:rPr>
        <w:t>UNITED STATES</w:t>
      </w:r>
    </w:p>
    <w:p>
      <w:pPr>
        <w:pStyle w:val="TextBody"/>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4" w:space="1" w:color="000000"/>
        </w:pBdr>
        <w:spacing w:before="0" w:after="0"/>
        <w:jc w:val="center"/>
        <w:rPr/>
      </w:pPr>
      <w:r>
        <w:rPr/>
        <w:t> </w:t>
      </w:r>
    </w:p>
    <w:p>
      <w:pPr>
        <w:pStyle w:val="TextBody"/>
        <w:spacing w:before="120" w:after="0"/>
        <w:jc w:val="left"/>
        <w:rPr/>
      </w:pPr>
      <w:r>
        <w:rPr/>
        <w:t xml:space="preserve">☒ </w:t>
      </w:r>
      <w:r>
        <w:rPr>
          <w:rFonts w:ascii="Times New Roman;serif" w:hAnsi="Times New Roman;serif"/>
          <w:b/>
          <w:sz w:val="24"/>
        </w:rPr>
        <w:t>Quarterly Report Pursuant to Section 13 or 15(d) of the Securities Exchange Act of 1934</w:t>
      </w:r>
    </w:p>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p>
      <w:pPr>
        <w:pStyle w:val="TextBody"/>
        <w:spacing w:before="120" w:after="0"/>
        <w:jc w:val="left"/>
        <w:rPr/>
      </w:pPr>
      <w:r>
        <w:rPr/>
        <w:t xml:space="preserve">☐ </w:t>
      </w:r>
      <w:r>
        <w:rPr>
          <w:rFonts w:ascii="Times New Roman;serif" w:hAnsi="Times New Roman;serif"/>
          <w:b/>
          <w:sz w:val="24"/>
        </w:rPr>
        <w:t>Transition Report Pursuant to Section 13 or 15(d) of the Securities Exchange Act of 1934</w:t>
      </w:r>
    </w:p>
    <w:p>
      <w:pPr>
        <w:pStyle w:val="TextBody"/>
        <w:spacing w:before="120" w:after="0"/>
        <w:jc w:val="center"/>
        <w:rPr>
          <w:rFonts w:ascii="Times New Roman;serif" w:hAnsi="Times New Roman;serif"/>
          <w:b/>
          <w:sz w:val="20"/>
        </w:rPr>
      </w:pPr>
      <w:r>
        <w:rPr>
          <w:rFonts w:ascii="Times New Roman;serif" w:hAnsi="Times New Roman;serif"/>
          <w:b/>
          <w:sz w:val="20"/>
        </w:rPr>
        <w:t>For the transition period from to</w:t>
      </w:r>
    </w:p>
    <w:p>
      <w:pPr>
        <w:pStyle w:val="TextBody"/>
        <w:spacing w:before="0" w:after="0"/>
        <w:jc w:val="center"/>
        <w:rPr>
          <w:rFonts w:ascii="Times New Roman;serif" w:hAnsi="Times New Roman;serif"/>
          <w:b/>
          <w:sz w:val="20"/>
        </w:rPr>
      </w:pPr>
      <w:r>
        <w:rPr>
          <w:rFonts w:ascii="Times New Roman;serif" w:hAnsi="Times New Roman;serif"/>
          <w:b/>
          <w:sz w:val="20"/>
        </w:rPr>
        <w:t>Commission File Number 001-38084</w:t>
      </w:r>
    </w:p>
    <w:p>
      <w:pPr>
        <w:pStyle w:val="TextBody"/>
        <w:pBdr>
          <w:bottom w:val="single" w:sz="4" w:space="1" w:color="000000"/>
        </w:pBdr>
        <w:spacing w:before="0" w:after="120"/>
        <w:jc w:val="center"/>
        <w:rPr/>
      </w:pPr>
      <w:r>
        <w:rPr/>
        <w:t> </w:t>
      </w:r>
    </w:p>
    <w:p>
      <w:pPr>
        <w:pStyle w:val="TextBody"/>
        <w:spacing w:before="0" w:after="0"/>
        <w:jc w:val="center"/>
        <w:rPr>
          <w:rFonts w:ascii="Times New Roman;serif" w:hAnsi="Times New Roman;serif"/>
          <w:b/>
          <w:sz w:val="44"/>
        </w:rPr>
      </w:pPr>
      <w:r>
        <w:rPr>
          <w:rFonts w:ascii="Times New Roman;serif" w:hAnsi="Times New Roman;serif"/>
          <w:b/>
          <w:sz w:val="44"/>
        </w:rPr>
        <w:t>FARMERS &amp; MERCHANTS BANCORP,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both"/>
        <w:rPr/>
      </w:pPr>
      <w:r>
        <w:rPr/>
        <w:t> </w:t>
      </w:r>
    </w:p>
    <w:tbl>
      <w:tblPr>
        <w:tblW w:w="3857" w:type="dxa"/>
        <w:jc w:val="left"/>
        <w:tblInd w:w="0" w:type="dxa"/>
        <w:tblCellMar>
          <w:top w:w="28" w:type="dxa"/>
          <w:left w:w="28" w:type="dxa"/>
          <w:bottom w:w="28" w:type="dxa"/>
          <w:right w:w="28" w:type="dxa"/>
        </w:tblCellMar>
      </w:tblPr>
      <w:tblGrid>
        <w:gridCol w:w="2371"/>
        <w:gridCol w:w="1486"/>
      </w:tblGrid>
      <w:tr>
        <w:trPr/>
        <w:tc>
          <w:tcPr>
            <w:tcW w:w="237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caps/>
                <w:sz w:val="20"/>
              </w:rPr>
            </w:pPr>
            <w:r>
              <w:rPr>
                <w:rFonts w:ascii="Times New Roman;serif" w:hAnsi="Times New Roman;serif"/>
                <w:b/>
                <w:caps/>
                <w:sz w:val="20"/>
              </w:rPr>
              <w:t>Ohio</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34-1469491</w:t>
            </w:r>
          </w:p>
        </w:tc>
      </w:tr>
      <w:tr>
        <w:trPr/>
        <w:tc>
          <w:tcPr>
            <w:tcW w:w="23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0" w:after="0"/>
        <w:jc w:val="both"/>
        <w:rPr/>
      </w:pPr>
      <w:r>
        <w:rPr/>
        <w:t> </w:t>
      </w:r>
    </w:p>
    <w:tbl>
      <w:tblPr>
        <w:tblW w:w="4622" w:type="dxa"/>
        <w:jc w:val="left"/>
        <w:tblInd w:w="0" w:type="dxa"/>
        <w:tblCellMar>
          <w:top w:w="28" w:type="dxa"/>
          <w:left w:w="28" w:type="dxa"/>
          <w:bottom w:w="28" w:type="dxa"/>
          <w:right w:w="28" w:type="dxa"/>
        </w:tblCellMar>
      </w:tblPr>
      <w:tblGrid>
        <w:gridCol w:w="3691"/>
        <w:gridCol w:w="931"/>
      </w:tblGrid>
      <w:tr>
        <w:trPr/>
        <w:tc>
          <w:tcPr>
            <w:tcW w:w="369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307 North Defiance Street, Archbold, Ohio</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43502</w:t>
            </w:r>
          </w:p>
        </w:tc>
      </w:tr>
      <w:tr>
        <w:trPr/>
        <w:tc>
          <w:tcPr>
            <w:tcW w:w="36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(419) 446-2501</w:t>
      </w:r>
    </w:p>
    <w:p>
      <w:pPr>
        <w:pStyle w:val="TextBody"/>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spacing w:before="0" w:after="0"/>
        <w:jc w:val="center"/>
        <w:rPr>
          <w:rFonts w:ascii="Times New Roman;serif" w:hAnsi="Times New Roman;serif"/>
          <w:b/>
          <w:sz w:val="16"/>
        </w:rPr>
      </w:pPr>
      <w:r>
        <w:rPr>
          <w:rFonts w:ascii="Times New Roman;serif" w:hAnsi="Times New Roman;serif"/>
          <w:b/>
          <w:sz w:val="16"/>
        </w:rPr>
        <w:t>(Former name, former address and former fiscal year, if changed since last report.)</w:t>
      </w:r>
    </w:p>
    <w:p>
      <w:pPr>
        <w:pStyle w:val="TextBody"/>
        <w:pBdr>
          <w:bottom w:val="single" w:sz="4" w:space="1" w:color="000000"/>
        </w:pBdr>
        <w:spacing w:before="0" w:after="100"/>
        <w:jc w:val="center"/>
        <w:rPr/>
      </w:pPr>
      <w:r>
        <w:rPr/>
        <w:t> </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5778" w:type="dxa"/>
        <w:jc w:val="left"/>
        <w:tblInd w:w="0" w:type="dxa"/>
        <w:tblCellMar>
          <w:top w:w="28" w:type="dxa"/>
          <w:left w:w="28" w:type="dxa"/>
          <w:bottom w:w="28" w:type="dxa"/>
          <w:right w:w="28" w:type="dxa"/>
        </w:tblCellMar>
      </w:tblPr>
      <w:tblGrid>
        <w:gridCol w:w="2296"/>
        <w:gridCol w:w="1456"/>
        <w:gridCol w:w="2026"/>
      </w:tblGrid>
      <w:tr>
        <w:trPr/>
        <w:tc>
          <w:tcPr>
            <w:tcW w:w="229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45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Trading Symbol(s)</w:t>
            </w:r>
          </w:p>
        </w:tc>
        <w:tc>
          <w:tcPr>
            <w:tcW w:w="202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Name of Each Exchange</w:t>
            </w:r>
          </w:p>
        </w:tc>
      </w:tr>
      <w:tr>
        <w:trPr/>
        <w:tc>
          <w:tcPr>
            <w:tcW w:w="229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No Par Value</w:t>
            </w:r>
          </w:p>
        </w:tc>
        <w:tc>
          <w:tcPr>
            <w:tcW w:w="145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FMAO</w:t>
            </w:r>
          </w:p>
        </w:tc>
        <w:tc>
          <w:tcPr>
            <w:tcW w:w="20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18"/>
              </w:rPr>
              <w:t>NASDAQ</w:t>
            </w:r>
            <w:r>
              <w:rPr>
                <w:rFonts w:ascii="Times New Roman" w:hAnsi="Times New Roman"/>
                <w:sz w:val="20"/>
              </w:rPr>
              <w:t> </w:t>
            </w:r>
            <w:r>
              <w:rPr>
                <w:rFonts w:ascii="Times New Roman;serif" w:hAnsi="Times New Roman;serif"/>
                <w:b w:val="false"/>
                <w:sz w:val="18"/>
              </w:rPr>
              <w:t>Capital Market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120" w:after="0"/>
        <w:jc w:val="both"/>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120" w:after="0"/>
        <w:jc w:val="both"/>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both"/>
        <w:rPr/>
      </w:pPr>
      <w:r>
        <w:rPr/>
        <w:t> </w:t>
      </w:r>
    </w:p>
    <w:tbl>
      <w:tblPr>
        <w:tblW w:w="5257" w:type="dxa"/>
        <w:jc w:val="left"/>
        <w:tblInd w:w="0" w:type="dxa"/>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bl>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both"/>
        <w:rPr>
          <w:rFonts w:ascii="Times New Roman;serif" w:hAnsi="Times New Roman;serif"/>
          <w:b w:val="false"/>
          <w:sz w:val="18"/>
        </w:rPr>
      </w:pPr>
      <w:r>
        <w:rPr>
          <w:rFonts w:ascii="Times New Roman;serif" w:hAnsi="Times New Roman;serif"/>
          <w:b w:val="false"/>
          <w:sz w:val="18"/>
        </w:rPr>
        <w:t>Indicate by check mark whether the registrant is a shell company (as defined in Rule 12b-2 of the Exchange Act).</w:t>
      </w:r>
    </w:p>
    <w:p>
      <w:pPr>
        <w:pStyle w:val="TextBody"/>
        <w:spacing w:before="80" w:after="0"/>
        <w:jc w:val="both"/>
        <w:rPr>
          <w:rFonts w:ascii="Times New Roman" w:hAnsi="Times New Roman"/>
          <w:sz w:val="20"/>
        </w:rPr>
      </w:pPr>
      <w:r>
        <w:rPr>
          <w:rFonts w:ascii="Times New Roman;serif" w:hAnsi="Times New Roman;serif"/>
          <w:b w:val="false"/>
          <w:sz w:val="18"/>
        </w:rPr>
        <w:t xml:space="preserve">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the number of shares of each of the issuers’ classes of common stock, as of the latest practicable date:</w:t>
      </w:r>
    </w:p>
    <w:p>
      <w:pPr>
        <w:pStyle w:val="TextBody"/>
        <w:spacing w:before="0" w:after="0"/>
        <w:jc w:val="left"/>
        <w:rPr/>
      </w:pPr>
      <w:r>
        <w:rPr/>
        <w:t> </w:t>
      </w:r>
    </w:p>
    <w:tbl>
      <w:tblPr>
        <w:tblW w:w="4802" w:type="dxa"/>
        <w:jc w:val="left"/>
        <w:tblInd w:w="0" w:type="dxa"/>
        <w:tblCellMar>
          <w:top w:w="28" w:type="dxa"/>
          <w:left w:w="28" w:type="dxa"/>
          <w:bottom w:w="28" w:type="dxa"/>
          <w:right w:w="28" w:type="dxa"/>
        </w:tblCellMar>
      </w:tblPr>
      <w:tblGrid>
        <w:gridCol w:w="2296"/>
        <w:gridCol w:w="2506"/>
      </w:tblGrid>
      <w:tr>
        <w:trPr/>
        <w:tc>
          <w:tcPr>
            <w:tcW w:w="229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before="0" w:after="0"/>
              <w:ind w:left="0" w:right="0" w:hanging="0"/>
              <w:jc w:val="center"/>
              <w:rPr>
                <w:rFonts w:ascii="Times New Roman;serif" w:hAnsi="Times New Roman;serif"/>
                <w:b w:val="false"/>
                <w:sz w:val="18"/>
                <w:u w:val="single"/>
              </w:rPr>
            </w:pPr>
            <w:r>
              <w:rPr>
                <w:rFonts w:ascii="Times New Roman;serif" w:hAnsi="Times New Roman;serif"/>
                <w:b w:val="false"/>
                <w:sz w:val="18"/>
                <w:u w:val="single"/>
              </w:rPr>
              <w:t>Common Stock, No Par Value</w:t>
            </w:r>
          </w:p>
        </w:tc>
        <w:tc>
          <w:tcPr>
            <w:tcW w:w="2506" w:type="dxa"/>
            <w:tcBorders/>
            <w:shd w:fill="auto" w:val="clear"/>
            <w:vAlign w:val="center"/>
          </w:tcPr>
          <w:p>
            <w:pPr>
              <w:pStyle w:val="TableContents"/>
              <w:spacing w:before="0" w:after="0"/>
              <w:ind w:left="0" w:right="0" w:hanging="0"/>
              <w:jc w:val="center"/>
              <w:rPr>
                <w:rFonts w:ascii="Times New Roman;serif" w:hAnsi="Times New Roman;serif"/>
                <w:b w:val="false"/>
                <w:sz w:val="18"/>
                <w:u w:val="single"/>
              </w:rPr>
            </w:pPr>
            <w:r>
              <w:rPr>
                <w:rFonts w:ascii="Times New Roman;serif" w:hAnsi="Times New Roman;serif"/>
                <w:b w:val="false"/>
                <w:sz w:val="18"/>
                <w:u w:val="single"/>
              </w:rPr>
              <w:t>13,630,122</w:t>
            </w:r>
          </w:p>
        </w:tc>
      </w:tr>
      <w:tr>
        <w:trPr/>
        <w:tc>
          <w:tcPr>
            <w:tcW w:w="22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Class</w:t>
            </w:r>
          </w:p>
        </w:tc>
        <w:tc>
          <w:tcPr>
            <w:tcW w:w="25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Outstanding as of April 28, 2023</w:t>
            </w:r>
          </w:p>
        </w:tc>
      </w:tr>
    </w:tbl>
    <w:p>
      <w:pPr>
        <w:pStyle w:val="TextBody"/>
        <w:pBdr>
          <w:bottom w:val="double" w:sz="6" w:space="1" w:color="000000"/>
        </w:pBdr>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SECURITIES AND EXCHANGE COMMISSION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Washington, D.C. 20549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FORM 10Q</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FARMERS &amp; MERCHANTS BANCORP, INC.</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INDEX</w:t>
      </w:r>
    </w:p>
    <w:tbl>
      <w:tblPr>
        <w:tblW w:w="10205" w:type="dxa"/>
        <w:jc w:val="left"/>
        <w:tblInd w:w="0" w:type="dxa"/>
        <w:tblCellMar>
          <w:top w:w="28" w:type="dxa"/>
          <w:left w:w="28" w:type="dxa"/>
          <w:bottom w:w="28" w:type="dxa"/>
          <w:right w:w="28" w:type="dxa"/>
        </w:tblCellMar>
      </w:tblPr>
      <w:tblGrid>
        <w:gridCol w:w="161"/>
        <w:gridCol w:w="1219"/>
        <w:gridCol w:w="8236"/>
        <w:gridCol w:w="589"/>
      </w:tblGrid>
      <w:tr>
        <w:trPr/>
        <w:tc>
          <w:tcPr>
            <w:tcW w:w="16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823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u w:val="single"/>
              </w:rPr>
            </w:pPr>
            <w:r>
              <w:rPr>
                <w:rFonts w:ascii="Times New Roman;serif" w:hAnsi="Times New Roman;serif"/>
                <w:b w:val="false"/>
                <w:sz w:val="20"/>
                <w:u w:val="single"/>
              </w:rPr>
              <w:t>Form 10-Q Items</w:t>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Page</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PART I.</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part1_financial_information">
              <w:r>
                <w:rPr>
                  <w:rStyle w:val="InternetLink"/>
                  <w:rFonts w:ascii="Times New Roman;serif" w:hAnsi="Times New Roman;serif"/>
                  <w:b w:val="false"/>
                  <w:sz w:val="20"/>
                  <w:u w:val="single"/>
                </w:rPr>
                <w:t>FINANCIAL INFORMATION</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1.</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1_financial_statements">
              <w:r>
                <w:rPr>
                  <w:rStyle w:val="InternetLink"/>
                  <w:rFonts w:ascii="Times New Roman;serif" w:hAnsi="Times New Roman;serif"/>
                  <w:b w:val="false"/>
                  <w:sz w:val="20"/>
                  <w:u w:val="single"/>
                </w:rPr>
                <w:t>Financial Statements (Unaudited)</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condensed_consolidated_balance_sheets">
              <w:r>
                <w:rPr>
                  <w:rStyle w:val="InternetLink"/>
                  <w:rFonts w:ascii="Times New Roman;serif" w:hAnsi="Times New Roman;serif"/>
                  <w:b w:val="false"/>
                  <w:sz w:val="20"/>
                  <w:u w:val="single"/>
                </w:rPr>
                <w:t>Condensed Consolidated Balance Sheets -</w:t>
                <w:br/>
                <w:t>March 31, 2023 and December 31, 2022</w:t>
              </w:r>
            </w:hyperlink>
            <w:r>
              <w:rPr>
                <w:rFonts w:ascii="Times New Roman" w:hAnsi="Times New Roman"/>
                <w:sz w:val="20"/>
              </w:rPr>
              <w:t xml:space="preserve"> </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condensed_consolidated_statements_income">
              <w:r>
                <w:rPr>
                  <w:rStyle w:val="InternetLink"/>
                  <w:rFonts w:ascii="Times New Roman;serif" w:hAnsi="Times New Roman;serif"/>
                  <w:b w:val="false"/>
                  <w:sz w:val="20"/>
                  <w:u w:val="single"/>
                </w:rPr>
                <w:t xml:space="preserve">Condensed Consolidated Statements of Income - </w:t>
                <w:br/>
                <w:t>Three Months Ended March 31, 2023 and March 31, 2022</w:t>
              </w:r>
            </w:hyperlink>
            <w:r>
              <w:rPr>
                <w:rFonts w:ascii="Times New Roman" w:hAnsi="Times New Roman"/>
                <w:sz w:val="20"/>
              </w:rPr>
              <w:t xml:space="preserve"> </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condensed_consolidated_statements_compre">
              <w:r>
                <w:rPr>
                  <w:rStyle w:val="InternetLink"/>
                  <w:rFonts w:ascii="Times New Roman;serif" w:hAnsi="Times New Roman;serif"/>
                  <w:b w:val="false"/>
                  <w:sz w:val="20"/>
                  <w:u w:val="single"/>
                </w:rPr>
                <w:t xml:space="preserve">Condensed Consolidated Statements of Comprehensive Income (Loss) - </w:t>
                <w:br/>
                <w:t>Three Months Ended March 31, 2023 and March 31, 2022</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p>
            <w:pPr>
              <w:pStyle w:val="TableContents"/>
              <w:spacing w:before="0" w:after="0"/>
              <w:ind w:left="0" w:right="0" w:hanging="0"/>
              <w:jc w:val="both"/>
              <w:rPr/>
            </w:pPr>
            <w:r>
              <w:rPr/>
              <w:t> </w:t>
            </w:r>
          </w:p>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consolidated_stockholders_equity">
              <w:r>
                <w:rPr>
                  <w:rStyle w:val="InternetLink"/>
                  <w:rFonts w:ascii="Times New Roman;serif" w:hAnsi="Times New Roman;serif"/>
                  <w:b w:val="false"/>
                  <w:sz w:val="20"/>
                  <w:u w:val="single"/>
                </w:rPr>
                <w:t xml:space="preserve">Condensed Consolidated Statements of Changes to Stockholders’ Equity - </w:t>
                <w:br/>
                <w:t>Three Months Ended March 31, 2023 and March 31, 2022</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6-7</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condensed_consolidated_statements_cash_f">
              <w:r>
                <w:rPr>
                  <w:rStyle w:val="InternetLink"/>
                  <w:rFonts w:ascii="Times New Roman;serif" w:hAnsi="Times New Roman;serif"/>
                  <w:b w:val="false"/>
                  <w:sz w:val="20"/>
                  <w:u w:val="single"/>
                </w:rPr>
                <w:t xml:space="preserve">Condensed Consolidated Statements of Cash Flows - </w:t>
                <w:br/>
                <w:t>Three Months Ended March 31, 2023 and March 31, 2022</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8-9</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notes_to_consolidated_financial_statemen">
              <w:r>
                <w:rPr>
                  <w:rStyle w:val="InternetLink"/>
                  <w:rFonts w:ascii="Times New Roman;serif" w:hAnsi="Times New Roman;serif"/>
                  <w:b w:val="false"/>
                  <w:sz w:val="20"/>
                  <w:u w:val="single"/>
                </w:rPr>
                <w:t>Notes to Condensed Consolidated Financial Statements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10</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2.</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2_managements_discussion_and_analy">
              <w:r>
                <w:rPr>
                  <w:rStyle w:val="InternetLink"/>
                  <w:rFonts w:ascii="Times New Roman;serif" w:hAnsi="Times New Roman;serif"/>
                  <w:b w:val="false"/>
                  <w:sz w:val="20"/>
                  <w:u w:val="single"/>
                </w:rPr>
                <w:t xml:space="preserve">Management's Discussion and Analysis of Financial Condition </w:t>
                <w:br/>
                <w:t>and Results of Operations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49-69</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3.</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3_qualitative_quantitative_disclosu">
              <w:r>
                <w:rPr>
                  <w:rStyle w:val="InternetLink"/>
                  <w:rFonts w:ascii="Times New Roman;serif" w:hAnsi="Times New Roman;serif"/>
                  <w:b w:val="false"/>
                  <w:sz w:val="20"/>
                  <w:u w:val="single"/>
                </w:rPr>
                <w:t>Qualitative and Quantitative Disclosures About Market Risk</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70</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4.</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4_controls_procedures">
              <w:r>
                <w:rPr>
                  <w:rStyle w:val="InternetLink"/>
                  <w:rFonts w:ascii="Times New Roman;serif" w:hAnsi="Times New Roman;serif"/>
                  <w:b w:val="false"/>
                  <w:sz w:val="20"/>
                  <w:u w:val="single"/>
                </w:rPr>
                <w:t>Controls and Procedures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71</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PART II.</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part_ii_or_information">
              <w:r>
                <w:rPr>
                  <w:rStyle w:val="InternetLink"/>
                  <w:rFonts w:ascii="Times New Roman;serif" w:hAnsi="Times New Roman;serif"/>
                  <w:b w:val="false"/>
                  <w:sz w:val="20"/>
                  <w:u w:val="single"/>
                </w:rPr>
                <w:t>OTHER INFORMATION</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71</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1.</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1_legal_proceedings">
              <w:r>
                <w:rPr>
                  <w:rStyle w:val="InternetLink"/>
                  <w:rFonts w:ascii="Times New Roman;serif" w:hAnsi="Times New Roman;serif"/>
                  <w:b w:val="false"/>
                  <w:sz w:val="20"/>
                  <w:u w:val="single"/>
                </w:rPr>
                <w:t>Legal Proceedings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71</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1A.</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1a_risk_factors">
              <w:r>
                <w:rPr>
                  <w:rStyle w:val="InternetLink"/>
                  <w:rFonts w:ascii="Times New Roman;serif" w:hAnsi="Times New Roman;serif"/>
                  <w:b w:val="false"/>
                  <w:sz w:val="20"/>
                  <w:u w:val="single"/>
                </w:rPr>
                <w:t>Risk Factors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71</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2.</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72</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3.</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72</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4.</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4_mine_safety_disclosures">
              <w:r>
                <w:rPr>
                  <w:rStyle w:val="InternetLink"/>
                  <w:rFonts w:ascii="Times New Roman;serif" w:hAnsi="Times New Roman;serif"/>
                  <w:b w:val="false"/>
                  <w:sz w:val="20"/>
                  <w:u w:val="single"/>
                </w:rPr>
                <w:t>Mine Safety Disclosures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72</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5.</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5_or_information">
              <w:r>
                <w:rPr>
                  <w:rStyle w:val="InternetLink"/>
                  <w:rFonts w:ascii="Times New Roman;serif" w:hAnsi="Times New Roman;serif"/>
                  <w:b w:val="false"/>
                  <w:sz w:val="20"/>
                  <w:u w:val="single"/>
                </w:rPr>
                <w:t>Other Information</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72</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Item 6.</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item_6_exhibits">
              <w:r>
                <w:rPr>
                  <w:rStyle w:val="InternetLink"/>
                  <w:rFonts w:ascii="Times New Roman;serif" w:hAnsi="Times New Roman;serif"/>
                  <w:b w:val="false"/>
                  <w:sz w:val="20"/>
                  <w:u w:val="single"/>
                </w:rPr>
                <w:t>Exhibits</w:t>
              </w:r>
            </w:hyperlink>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73</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pPr>
            <w:hyperlink w:anchor="signatures">
              <w:r>
                <w:rPr>
                  <w:rStyle w:val="InternetLink"/>
                  <w:rFonts w:ascii="Times New Roman;serif" w:hAnsi="Times New Roman;serif"/>
                  <w:b w:val="false"/>
                  <w:sz w:val="20"/>
                  <w:u w:val="single"/>
                </w:rPr>
                <w:t>Signatures</w:t>
              </w:r>
            </w:hyperlink>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74</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101.INS</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r>
              <w:rPr>
                <w:rFonts w:ascii="Times New Roman" w:hAnsi="Times New Roman"/>
                <w:sz w:val="20"/>
              </w:rPr>
              <w:t> </w:t>
            </w:r>
            <w:r>
              <w:rPr>
                <w:rFonts w:ascii="Times New Roman;serif" w:hAnsi="Times New Roman;serif"/>
                <w:b w:val="false"/>
                <w:sz w:val="13"/>
              </w:rPr>
              <w:t>(1)</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101.SCH</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Schema Document </w:t>
            </w:r>
            <w:r>
              <w:rPr>
                <w:rFonts w:ascii="Times New Roman;serif" w:hAnsi="Times New Roman;serif"/>
                <w:b w:val="false"/>
                <w:sz w:val="13"/>
              </w:rPr>
              <w:t>(1)</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101.CAL</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Calculation Linkbase Document </w:t>
            </w:r>
            <w:r>
              <w:rPr>
                <w:rFonts w:ascii="Times New Roman;serif" w:hAnsi="Times New Roman;serif"/>
                <w:b w:val="false"/>
                <w:sz w:val="13"/>
              </w:rPr>
              <w:t>(1)</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101.DEF</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Definition Linkbase Document </w:t>
            </w:r>
            <w:r>
              <w:rPr>
                <w:rFonts w:ascii="Times New Roman;serif" w:hAnsi="Times New Roman;serif"/>
                <w:b w:val="false"/>
                <w:sz w:val="13"/>
              </w:rPr>
              <w:t>(1)</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101.LAB</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Label Linkbase Document </w:t>
            </w:r>
            <w:r>
              <w:rPr>
                <w:rFonts w:ascii="Times New Roman;serif" w:hAnsi="Times New Roman;serif"/>
                <w:b w:val="false"/>
                <w:sz w:val="13"/>
              </w:rPr>
              <w:t>(1)</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19"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101.PRE</w:t>
            </w:r>
          </w:p>
        </w:tc>
        <w:tc>
          <w:tcPr>
            <w:tcW w:w="8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Presentation Linkbase Document </w:t>
            </w:r>
            <w:r>
              <w:rPr>
                <w:rFonts w:ascii="Times New Roman;serif" w:hAnsi="Times New Roman;serif"/>
                <w:b w:val="false"/>
                <w:sz w:val="13"/>
              </w:rPr>
              <w:t>(1)</w:t>
            </w:r>
          </w:p>
        </w:tc>
        <w:tc>
          <w:tcPr>
            <w:tcW w:w="5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jc w:val="both"/>
        <w:rPr>
          <w:rFonts w:ascii="Times New Roman;serif" w:hAnsi="Times New Roman;serif"/>
          <w:b w:val="false"/>
          <w:sz w:val="20"/>
        </w:rPr>
      </w:pPr>
      <w:r>
        <w:rPr>
          <w:rFonts w:ascii="Times New Roman;serif" w:hAnsi="Times New Roman;serif"/>
          <w:b w:val="false"/>
          <w:sz w:val="20"/>
        </w:rPr>
        <w:t xml:space="preserve">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bookmarkStart w:id="2" w:name="part1_financial_information"/>
      <w:bookmarkEnd w:id="2"/>
      <w:r>
        <w:rPr>
          <w:rFonts w:ascii="Times New Roman;serif" w:hAnsi="Times New Roman;serif"/>
          <w:b w:val="false"/>
          <w:sz w:val="20"/>
        </w:rPr>
        <w:t>PART 1 - FINANCIAL 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bookmarkStart w:id="3" w:name="item1_financial_statements"/>
      <w:bookmarkEnd w:id="3"/>
      <w:r>
        <w:rPr>
          <w:rFonts w:ascii="Times New Roman;serif" w:hAnsi="Times New Roman;serif"/>
          <w:b w:val="false"/>
          <w:sz w:val="20"/>
        </w:rPr>
        <w:t>ITEM 1 FINANCIAL STATEMENTS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FARMERS &amp; MERCHANTS BANCORP, INC. AND SUBSIDIARIES</w:t>
      </w:r>
    </w:p>
    <w:p>
      <w:pPr>
        <w:pStyle w:val="TextBody"/>
        <w:spacing w:before="0" w:after="0"/>
        <w:jc w:val="both"/>
        <w:rPr>
          <w:rFonts w:ascii="Times New Roman;serif" w:hAnsi="Times New Roman;serif"/>
          <w:b w:val="false"/>
          <w:sz w:val="20"/>
        </w:rPr>
      </w:pPr>
      <w:bookmarkStart w:id="4" w:name="condensed_consolidated_balance_sheets"/>
      <w:bookmarkEnd w:id="4"/>
      <w:r>
        <w:rPr>
          <w:rFonts w:ascii="Times New Roman;serif" w:hAnsi="Times New Roman;serif"/>
          <w:b w:val="false"/>
          <w:sz w:val="20"/>
        </w:rPr>
        <w:t>CONDENSED CONSOLIDATED BALANCE SHEETS</w:t>
      </w:r>
    </w:p>
    <w:tbl>
      <w:tblPr>
        <w:tblW w:w="10205" w:type="dxa"/>
        <w:jc w:val="left"/>
        <w:tblInd w:w="0" w:type="dxa"/>
        <w:tblCellMar>
          <w:top w:w="28" w:type="dxa"/>
          <w:left w:w="28" w:type="dxa"/>
          <w:bottom w:w="28" w:type="dxa"/>
          <w:right w:w="28" w:type="dxa"/>
        </w:tblCellMar>
      </w:tblPr>
      <w:tblGrid>
        <w:gridCol w:w="5366"/>
        <w:gridCol w:w="146"/>
        <w:gridCol w:w="250"/>
        <w:gridCol w:w="1110"/>
        <w:gridCol w:w="166"/>
        <w:gridCol w:w="146"/>
        <w:gridCol w:w="296"/>
        <w:gridCol w:w="1311"/>
        <w:gridCol w:w="1414"/>
      </w:tblGrid>
      <w:tr>
        <w:trPr/>
        <w:tc>
          <w:tcPr>
            <w:tcW w:w="5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5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79"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w:t>
            </w:r>
          </w:p>
        </w:tc>
        <w:tc>
          <w:tcPr>
            <w:tcW w:w="1414" w:type="dxa"/>
            <w:tcBorders/>
            <w:shd w:fill="auto" w:val="clear"/>
            <w:vAlign w:val="center"/>
          </w:tcPr>
          <w:p>
            <w:pPr>
              <w:pStyle w:val="TableContents"/>
              <w:spacing w:before="0" w:after="0"/>
              <w:ind w:left="0" w:right="0" w:hanging="0"/>
              <w:jc w:val="center"/>
              <w:rPr/>
            </w:pPr>
            <w:r>
              <w:rPr/>
              <w:t> </w:t>
            </w:r>
          </w:p>
        </w:tc>
      </w:tr>
      <w:tr>
        <w:trPr/>
        <w:tc>
          <w:tcPr>
            <w:tcW w:w="5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6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7" w:type="dxa"/>
            <w:gridSpan w:val="2"/>
            <w:tcBorders/>
            <w:shd w:fill="auto" w:val="clear"/>
            <w:vAlign w:val="center"/>
          </w:tcPr>
          <w:p>
            <w:pPr>
              <w:pStyle w:val="TableContents"/>
              <w:spacing w:before="0" w:after="0"/>
              <w:ind w:left="0" w:right="0" w:hanging="0"/>
              <w:jc w:val="center"/>
              <w:rPr/>
            </w:pPr>
            <w:r>
              <w:rPr/>
              <w:t> </w:t>
            </w:r>
          </w:p>
        </w:tc>
        <w:tc>
          <w:tcPr>
            <w:tcW w:w="1414" w:type="dxa"/>
            <w:tcBorders/>
            <w:shd w:fill="auto" w:val="clear"/>
            <w:vAlign w:val="center"/>
          </w:tcPr>
          <w:p>
            <w:pPr>
              <w:pStyle w:val="TableContents"/>
              <w:spacing w:before="0" w:after="0"/>
              <w:ind w:left="0" w:right="0" w:hanging="0"/>
              <w:jc w:val="center"/>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firstLine="400"/>
              <w:jc w:val="righ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Cash and due from banks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83,085</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Federal funds sold</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3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84,409</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Interest-bearing time deposits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4,442</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Securities - available-for-sale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372,975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390,789</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securities, at cost</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9,799</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Loans held for sale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Loans, net</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2,422,018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2,336,074</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Premises and equipment</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28,381</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86,358</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Loan servicing rights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3,549</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Bank owned life insurance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33,073</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37,372</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3,070,075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3,015,351</w:t>
            </w:r>
          </w:p>
        </w:tc>
        <w:tc>
          <w:tcPr>
            <w:tcW w:w="1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firstLine="400"/>
              <w:jc w:val="righ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firstLine="600"/>
              <w:jc w:val="right"/>
              <w:rPr/>
            </w:pPr>
            <w:r>
              <w:rPr/>
              <w:t> </w:t>
            </w:r>
          </w:p>
        </w:tc>
      </w:tr>
      <w:tr>
        <w:trPr/>
        <w:tc>
          <w:tcPr>
            <w:tcW w:w="53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Noninterest-bearing</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532,794</w:t>
            </w:r>
          </w:p>
        </w:tc>
        <w:tc>
          <w:tcPr>
            <w:tcW w:w="1414" w:type="dxa"/>
            <w:tcBorders/>
            <w:shd w:fill="auto" w:val="clear"/>
            <w:vAlign w:val="center"/>
          </w:tcPr>
          <w:p>
            <w:pPr>
              <w:pStyle w:val="TableContents"/>
              <w:spacing w:before="0" w:after="0"/>
              <w:ind w:left="0" w:right="0" w:firstLine="600"/>
              <w:jc w:val="left"/>
              <w:rPr/>
            </w:pPr>
            <w:r>
              <w:rPr/>
              <w:t> </w:t>
            </w:r>
          </w:p>
        </w:tc>
      </w:tr>
      <w:tr>
        <w:trPr/>
        <w:tc>
          <w:tcPr>
            <w:tcW w:w="53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Interest-bearing</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firstLine="800"/>
              <w:jc w:val="right"/>
              <w:rPr/>
            </w:pPr>
            <w:r>
              <w:rPr/>
              <w:t> </w:t>
            </w:r>
          </w:p>
        </w:tc>
      </w:tr>
      <w:tr>
        <w:trPr/>
        <w:tc>
          <w:tcPr>
            <w:tcW w:w="5366"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NOW accounts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800,230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750,887</w:t>
            </w:r>
          </w:p>
        </w:tc>
        <w:tc>
          <w:tcPr>
            <w:tcW w:w="1414" w:type="dxa"/>
            <w:tcBorders/>
            <w:shd w:fill="auto" w:val="clear"/>
            <w:vAlign w:val="center"/>
          </w:tcPr>
          <w:p>
            <w:pPr>
              <w:pStyle w:val="TableContents"/>
              <w:spacing w:before="0" w:after="0"/>
              <w:ind w:left="0" w:right="0" w:firstLine="800"/>
              <w:jc w:val="left"/>
              <w:rPr/>
            </w:pPr>
            <w:r>
              <w:rPr/>
              <w:t> </w:t>
            </w:r>
          </w:p>
        </w:tc>
      </w:tr>
      <w:tr>
        <w:trPr/>
        <w:tc>
          <w:tcPr>
            <w:tcW w:w="5366"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Savings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590,854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627,203</w:t>
            </w:r>
          </w:p>
        </w:tc>
        <w:tc>
          <w:tcPr>
            <w:tcW w:w="1414" w:type="dxa"/>
            <w:tcBorders/>
            <w:shd w:fill="auto" w:val="clear"/>
            <w:vAlign w:val="center"/>
          </w:tcPr>
          <w:p>
            <w:pPr>
              <w:pStyle w:val="TableContents"/>
              <w:spacing w:before="0" w:after="0"/>
              <w:ind w:left="0" w:right="0" w:firstLine="800"/>
              <w:jc w:val="left"/>
              <w:rPr/>
            </w:pPr>
            <w:r>
              <w:rPr/>
              <w:t> </w:t>
            </w:r>
          </w:p>
        </w:tc>
      </w:tr>
      <w:tr>
        <w:trPr/>
        <w:tc>
          <w:tcPr>
            <w:tcW w:w="5366"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Time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601,939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557,980</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200"/>
              <w:jc w:val="left"/>
              <w:rPr/>
            </w:pPr>
            <w:r>
              <w:rPr/>
              <w:t> </w:t>
            </w:r>
          </w:p>
        </w:tc>
      </w:tr>
      <w:tr>
        <w:trPr/>
        <w:tc>
          <w:tcPr>
            <w:tcW w:w="5366" w:type="dxa"/>
            <w:tcBorders/>
            <w:shd w:fill="auto" w:val="clear"/>
            <w:vAlign w:val="center"/>
          </w:tcPr>
          <w:p>
            <w:pPr>
              <w:pStyle w:val="TableContents"/>
              <w:spacing w:before="0" w:after="0"/>
              <w:ind w:left="1200" w:right="0" w:hanging="0"/>
              <w:jc w:val="left"/>
              <w:rPr>
                <w:rFonts w:ascii="Times New Roman;serif" w:hAnsi="Times New Roman;serif"/>
                <w:b w:val="false"/>
                <w:sz w:val="20"/>
              </w:rPr>
            </w:pPr>
            <w:r>
              <w:rPr>
                <w:rFonts w:ascii="Times New Roman;serif" w:hAnsi="Times New Roman;serif"/>
                <w:b w:val="false"/>
                <w:sz w:val="20"/>
              </w:rPr>
              <w:t>Total deposits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2,513,168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2,468,864</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Federal funds purchased and securities sold under agreements to</w:t>
              <w:br/>
              <w:t>   repurchase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54,206</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Federal Home Loan Bank (FHLB) advances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164,327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127,485</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borrowings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Subordinated notes, net of unamortized issuance costs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34,586</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Dividend payable</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2,832</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19,238</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200"/>
              <w:jc w:val="left"/>
              <w:rPr/>
            </w:pPr>
            <w:r>
              <w:rPr/>
              <w:t> </w:t>
            </w:r>
          </w:p>
        </w:tc>
      </w:tr>
      <w:tr>
        <w:trPr/>
        <w:tc>
          <w:tcPr>
            <w:tcW w:w="5366" w:type="dxa"/>
            <w:tcBorders/>
            <w:shd w:fill="auto" w:val="clear"/>
            <w:vAlign w:val="center"/>
          </w:tcPr>
          <w:p>
            <w:pPr>
              <w:pStyle w:val="TableContents"/>
              <w:spacing w:before="0" w:after="0"/>
              <w:ind w:left="1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2,764,318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2,717,211</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200"/>
              <w:jc w:val="left"/>
              <w:rPr/>
            </w:pPr>
            <w:r>
              <w:rPr/>
              <w:t> </w:t>
            </w:r>
          </w:p>
        </w:tc>
      </w:tr>
      <w:tr>
        <w:trPr/>
        <w:tc>
          <w:tcPr>
            <w:tcW w:w="5366" w:type="dxa"/>
            <w:tcBorders/>
            <w:shd w:fill="auto" w:val="clear"/>
            <w:vAlign w:val="center"/>
          </w:tcPr>
          <w:p>
            <w:pPr>
              <w:pStyle w:val="TableContents"/>
              <w:spacing w:before="0" w:after="0"/>
              <w:ind w:left="1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3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7" w:type="dxa"/>
            <w:gridSpan w:val="2"/>
            <w:tcBorders/>
            <w:shd w:fill="auto" w:val="clear"/>
            <w:vAlign w:val="center"/>
          </w:tcPr>
          <w:p>
            <w:pPr>
              <w:pStyle w:val="TableContents"/>
              <w:spacing w:before="0" w:after="0"/>
              <w:ind w:left="0" w:right="0" w:hanging="0"/>
              <w:jc w:val="right"/>
              <w:rPr/>
            </w:pPr>
            <w:r>
              <w:rPr/>
              <w:t> </w:t>
            </w:r>
          </w:p>
        </w:tc>
        <w:tc>
          <w:tcPr>
            <w:tcW w:w="1414" w:type="dxa"/>
            <w:tcBorders/>
            <w:shd w:fill="auto" w:val="clear"/>
            <w:vAlign w:val="center"/>
          </w:tcPr>
          <w:p>
            <w:pPr>
              <w:pStyle w:val="TableContents"/>
              <w:spacing w:before="0" w:after="0"/>
              <w:ind w:left="0" w:right="0" w:firstLine="400"/>
              <w:jc w:val="righ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Common stock - No</w:t>
            </w:r>
            <w:r>
              <w:rPr>
                <w:rFonts w:ascii="Times New Roman" w:hAnsi="Times New Roman"/>
                <w:sz w:val="20"/>
              </w:rPr>
              <w:t> </w:t>
            </w:r>
            <w:r>
              <w:rPr>
                <w:rFonts w:ascii="Times New Roman;serif" w:hAnsi="Times New Roman;serif"/>
                <w:b w:val="false"/>
                <w:sz w:val="20"/>
              </w:rPr>
              <w:t>par value 20,000,000</w:t>
            </w:r>
            <w:r>
              <w:rPr>
                <w:rFonts w:ascii="Times New Roman" w:hAnsi="Times New Roman"/>
                <w:sz w:val="20"/>
              </w:rPr>
              <w:t> </w:t>
            </w:r>
            <w:r>
              <w:rPr>
                <w:rFonts w:ascii="Times New Roman;serif" w:hAnsi="Times New Roman;serif"/>
                <w:b w:val="false"/>
                <w:sz w:val="20"/>
              </w:rPr>
              <w:t>shares authorized; issued and</w:t>
              <w:br/>
              <w:t>   outstanding 14,564,425</w:t>
            </w:r>
            <w:r>
              <w:rPr>
                <w:rFonts w:ascii="Times New Roman" w:hAnsi="Times New Roman"/>
                <w:sz w:val="20"/>
              </w:rPr>
              <w:t> </w:t>
            </w:r>
            <w:r>
              <w:rPr>
                <w:rFonts w:ascii="Times New Roman;serif" w:hAnsi="Times New Roman;serif"/>
                <w:b w:val="false"/>
                <w:sz w:val="20"/>
              </w:rPr>
              <w:t>shares 3/31/23 and 12/31/22</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135,497</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Treasury stock - 934,303</w:t>
            </w:r>
            <w:r>
              <w:rPr>
                <w:rFonts w:ascii="Times New Roman" w:hAnsi="Times New Roman"/>
                <w:sz w:val="20"/>
              </w:rPr>
              <w:t> </w:t>
            </w:r>
            <w:r>
              <w:rPr>
                <w:rFonts w:ascii="Times New Roman;serif" w:hAnsi="Times New Roman;serif"/>
                <w:b w:val="false"/>
                <w:sz w:val="20"/>
              </w:rPr>
              <w:t>shares 3/31/23, 956,003</w:t>
            </w:r>
            <w:r>
              <w:rPr>
                <w:rFonts w:ascii="Times New Roman" w:hAnsi="Times New Roman"/>
                <w:sz w:val="20"/>
              </w:rPr>
              <w:t> </w:t>
            </w:r>
            <w:r>
              <w:rPr>
                <w:rFonts w:ascii="Times New Roman;serif" w:hAnsi="Times New Roman;serif"/>
                <w:b w:val="false"/>
                <w:sz w:val="20"/>
              </w:rPr>
              <w:t>shares 12/31/22</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(11,573</w:t>
            </w:r>
          </w:p>
        </w:tc>
        <w:tc>
          <w:tcPr>
            <w:tcW w:w="14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11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3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212,449</w:t>
            </w:r>
          </w:p>
        </w:tc>
        <w:tc>
          <w:tcPr>
            <w:tcW w:w="1414" w:type="dxa"/>
            <w:tcBorders/>
            <w:shd w:fill="auto" w:val="clear"/>
            <w:vAlign w:val="center"/>
          </w:tcPr>
          <w:p>
            <w:pPr>
              <w:pStyle w:val="TableContents"/>
              <w:spacing w:before="0" w:after="0"/>
              <w:ind w:left="0" w:right="0" w:firstLine="400"/>
              <w:jc w:val="left"/>
              <w:rPr/>
            </w:pPr>
            <w:r>
              <w:rPr/>
              <w:t> </w:t>
            </w:r>
          </w:p>
        </w:tc>
      </w:tr>
      <w:tr>
        <w:trPr/>
        <w:tc>
          <w:tcPr>
            <w:tcW w:w="53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(38,233</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w:t>
            </w:r>
          </w:p>
        </w:tc>
      </w:tr>
      <w:tr>
        <w:trPr/>
        <w:tc>
          <w:tcPr>
            <w:tcW w:w="5366" w:type="dxa"/>
            <w:tcBorders/>
            <w:shd w:fill="auto" w:val="clear"/>
            <w:vAlign w:val="center"/>
          </w:tcPr>
          <w:p>
            <w:pPr>
              <w:pStyle w:val="TableContents"/>
              <w:spacing w:before="0" w:after="0"/>
              <w:ind w:left="12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305,757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298,140</w:t>
            </w:r>
          </w:p>
        </w:tc>
        <w:tc>
          <w:tcPr>
            <w:tcW w:w="1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3,070,075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3,015,351</w:t>
            </w:r>
          </w:p>
        </w:tc>
        <w:tc>
          <w:tcPr>
            <w:tcW w:w="1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See Notes to Condensed Consolidated Unaudited Financial Statements.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bookmarkStart w:id="5" w:name="end_of_balance_sheet"/>
      <w:bookmarkEnd w:id="5"/>
      <w:r>
        <w:rPr>
          <w:rFonts w:ascii="Times New Roman;serif" w:hAnsi="Times New Roman;serif"/>
          <w:b w:val="false"/>
          <w:sz w:val="20"/>
        </w:rPr>
        <w:t>Note: The December 31, 2022, Condensed Consolidated Balance Sheets have been derived from the audited Condensed Consolidated Balance Sheets as of that date.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FARMERS &amp; MERCHANTS BANCORP, INC. AND SUBSIDIARIES</w:t>
      </w:r>
    </w:p>
    <w:p>
      <w:pPr>
        <w:pStyle w:val="TextBody"/>
        <w:spacing w:before="0" w:after="0"/>
        <w:jc w:val="both"/>
        <w:rPr>
          <w:rFonts w:ascii="Times New Roman;serif" w:hAnsi="Times New Roman;serif"/>
          <w:b w:val="false"/>
          <w:sz w:val="20"/>
        </w:rPr>
      </w:pPr>
      <w:bookmarkStart w:id="6" w:name="condensed_consolidated_statements_income"/>
      <w:bookmarkEnd w:id="6"/>
      <w:r>
        <w:rPr>
          <w:rFonts w:ascii="Times New Roman;serif" w:hAnsi="Times New Roman;serif"/>
          <w:b w:val="false"/>
          <w:sz w:val="20"/>
        </w:rPr>
        <w:t>CONDENSED CONSOLIDATED STATEMENTS OF INCOME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640"/>
        <w:gridCol w:w="146"/>
        <w:gridCol w:w="387"/>
        <w:gridCol w:w="1240"/>
        <w:gridCol w:w="303"/>
        <w:gridCol w:w="267"/>
        <w:gridCol w:w="387"/>
        <w:gridCol w:w="1240"/>
        <w:gridCol w:w="595"/>
      </w:tblGrid>
      <w:tr>
        <w:trPr/>
        <w:tc>
          <w:tcPr>
            <w:tcW w:w="56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24"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 except per share data)</w:t>
            </w:r>
          </w:p>
        </w:tc>
        <w:tc>
          <w:tcPr>
            <w:tcW w:w="595" w:type="dxa"/>
            <w:tcBorders/>
            <w:shd w:fill="auto" w:val="clear"/>
            <w:vAlign w:val="center"/>
          </w:tcPr>
          <w:p>
            <w:pPr>
              <w:pStyle w:val="TableContents"/>
              <w:spacing w:before="0" w:after="0"/>
              <w:ind w:left="0" w:right="0" w:hanging="0"/>
              <w:jc w:val="center"/>
              <w:rPr/>
            </w:pPr>
            <w:r>
              <w:rPr/>
              <w:t> </w:t>
            </w:r>
          </w:p>
        </w:tc>
      </w:tr>
      <w:tr>
        <w:trPr/>
        <w:tc>
          <w:tcPr>
            <w:tcW w:w="56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2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7" w:type="dxa"/>
            <w:tcBorders/>
            <w:shd w:fill="auto" w:val="clear"/>
            <w:vAlign w:val="center"/>
          </w:tcPr>
          <w:p>
            <w:pPr>
              <w:pStyle w:val="TableContents"/>
              <w:spacing w:before="0" w:after="0"/>
              <w:ind w:left="0" w:right="0" w:hanging="0"/>
              <w:jc w:val="center"/>
              <w:rPr/>
            </w:pPr>
            <w:r>
              <w:rPr/>
              <w:t> </w:t>
            </w:r>
          </w:p>
        </w:tc>
        <w:tc>
          <w:tcPr>
            <w:tcW w:w="1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303"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200"/>
              <w:jc w:val="righ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including fees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29,703</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20,455</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Debt securities:</w:t>
            </w:r>
          </w:p>
        </w:tc>
        <w:tc>
          <w:tcPr>
            <w:tcW w:w="146"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303"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400"/>
              <w:jc w:val="right"/>
              <w:rPr/>
            </w:pPr>
            <w:r>
              <w:rPr/>
              <w:t> </w:t>
            </w:r>
          </w:p>
        </w:tc>
      </w:tr>
      <w:tr>
        <w:trPr/>
        <w:tc>
          <w:tcPr>
            <w:tcW w:w="56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U.S. Treasury and government agencies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1,068</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w:t>
            </w:r>
          </w:p>
        </w:tc>
        <w:tc>
          <w:tcPr>
            <w:tcW w:w="595" w:type="dxa"/>
            <w:tcBorders/>
            <w:shd w:fill="auto" w:val="clear"/>
            <w:vAlign w:val="center"/>
          </w:tcPr>
          <w:p>
            <w:pPr>
              <w:pStyle w:val="TableContents"/>
              <w:spacing w:before="0" w:after="0"/>
              <w:ind w:left="0" w:right="0" w:firstLine="400"/>
              <w:jc w:val="left"/>
              <w:rPr/>
            </w:pPr>
            <w:r>
              <w:rPr/>
              <w:t> </w:t>
            </w:r>
          </w:p>
        </w:tc>
      </w:tr>
      <w:tr>
        <w:trPr/>
        <w:tc>
          <w:tcPr>
            <w:tcW w:w="56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Municipalities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funds sold</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interest income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31,802</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21,899</w:t>
            </w:r>
          </w:p>
        </w:tc>
        <w:tc>
          <w:tcPr>
            <w:tcW w:w="595" w:type="dxa"/>
            <w:tcBorders/>
            <w:shd w:fill="auto" w:val="cle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303"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200"/>
              <w:jc w:val="righ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8,151</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funds purchased and securities sold under</w:t>
              <w:br/>
              <w:t>   agreements to repurchase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Borrowed funds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1,280</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Subordinated notes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interest expense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10,120</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2,116</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Interest Income - Before 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21,682</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19,783</w:t>
            </w:r>
          </w:p>
        </w:tc>
        <w:tc>
          <w:tcPr>
            <w:tcW w:w="595" w:type="dxa"/>
            <w:tcBorders/>
            <w:shd w:fill="auto" w:val="cle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Provision for Credit Losses - Loans*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595" w:type="dxa"/>
            <w:tcBorders/>
            <w:shd w:fill="auto" w:val="cle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Provision for Credit Losses - Off Balance Sheet Credit Exposures*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Interest Income After 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20,803</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19,203</w:t>
            </w:r>
          </w:p>
        </w:tc>
        <w:tc>
          <w:tcPr>
            <w:tcW w:w="595" w:type="dxa"/>
            <w:tcBorders/>
            <w:shd w:fill="auto" w:val="cle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Noninterest Income</w:t>
            </w:r>
          </w:p>
        </w:tc>
        <w:tc>
          <w:tcPr>
            <w:tcW w:w="146"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303"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200"/>
              <w:jc w:val="righ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service fees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2,447</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2,648</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service charges and fees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2,554</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gain on sale of loans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on sale of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noninterest income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4,177</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4,343</w:t>
            </w:r>
          </w:p>
        </w:tc>
        <w:tc>
          <w:tcPr>
            <w:tcW w:w="595" w:type="dxa"/>
            <w:tcBorders/>
            <w:shd w:fill="auto" w:val="cle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Noninterest Expense</w:t>
            </w:r>
          </w:p>
        </w:tc>
        <w:tc>
          <w:tcPr>
            <w:tcW w:w="146"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303"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627"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200"/>
              <w:jc w:val="righ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Salaries and wages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6,657</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5,502</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Employee benefits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occupancy expense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1,056</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Data processing</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Franchise taxes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ATM expense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Advertising</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on sale of other assets owned</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59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FDIC assessment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Mortgage servicing rights amortization - net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Consulting fees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595" w:type="dxa"/>
            <w:tcBorders/>
            <w:shd w:fill="auto" w:val="clear"/>
            <w:vAlign w:val="center"/>
          </w:tcPr>
          <w:p>
            <w:pPr>
              <w:pStyle w:val="TableContents"/>
              <w:spacing w:before="0" w:after="0"/>
              <w:ind w:left="0" w:right="0" w:firstLine="200"/>
              <w:jc w:val="left"/>
              <w:rPr/>
            </w:pPr>
            <w:r>
              <w:rPr/>
              <w:t> </w:t>
            </w:r>
          </w:p>
        </w:tc>
      </w:tr>
      <w:tr>
        <w:trPr/>
        <w:tc>
          <w:tcPr>
            <w:tcW w:w="56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3,077</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noninterest expense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16,931</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13,493</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8,049</w:t>
            </w:r>
          </w:p>
        </w:tc>
        <w:tc>
          <w:tcPr>
            <w:tcW w:w="303"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2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10,053</w:t>
            </w:r>
          </w:p>
        </w:tc>
        <w:tc>
          <w:tcPr>
            <w:tcW w:w="595" w:type="dxa"/>
            <w:tcBorders/>
            <w:shd w:fill="auto" w:val="cle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Taxes</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1,583</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1,951</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6,466</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Basic Earnings Per Share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Dividends Declared</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See Notes to Condensed Consolidated Unaudited Financial Statements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*ASU 2016-13 adopted during the first quarter of 2023; therefore, March 31, 2022 provision amount reflects the incurred loss method.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FARMERS &amp; MERCHANTS BANCORP, INC. AND SUBSIDIARIES</w:t>
      </w:r>
    </w:p>
    <w:p>
      <w:pPr>
        <w:pStyle w:val="TextBody"/>
        <w:spacing w:before="0" w:after="0"/>
        <w:jc w:val="both"/>
        <w:rPr>
          <w:rFonts w:ascii="Times New Roman;serif" w:hAnsi="Times New Roman;serif"/>
          <w:b w:val="false"/>
          <w:sz w:val="20"/>
        </w:rPr>
      </w:pPr>
      <w:bookmarkStart w:id="7" w:name="condensed_consolidated_statements_compre"/>
      <w:bookmarkEnd w:id="7"/>
      <w:r>
        <w:rPr>
          <w:rFonts w:ascii="Times New Roman;serif" w:hAnsi="Times New Roman;serif"/>
          <w:b w:val="false"/>
          <w:sz w:val="20"/>
        </w:rPr>
        <w:t>CONDENSED CONSOLIDATED STATEMENTS OF COMPREHENSIVE INCOME (LOSS)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both"/>
        <w:rPr/>
      </w:pPr>
      <w:r>
        <w:rPr/>
        <w:t> </w:t>
      </w:r>
    </w:p>
    <w:tbl>
      <w:tblPr>
        <w:tblW w:w="7960" w:type="dxa"/>
        <w:jc w:val="left"/>
        <w:tblInd w:w="0" w:type="dxa"/>
        <w:tblCellMar>
          <w:top w:w="28" w:type="dxa"/>
          <w:left w:w="28" w:type="dxa"/>
          <w:bottom w:w="28" w:type="dxa"/>
          <w:right w:w="28" w:type="dxa"/>
        </w:tblCellMar>
      </w:tblPr>
      <w:tblGrid>
        <w:gridCol w:w="4321"/>
        <w:gridCol w:w="146"/>
        <w:gridCol w:w="332"/>
        <w:gridCol w:w="1063"/>
        <w:gridCol w:w="146"/>
        <w:gridCol w:w="146"/>
        <w:gridCol w:w="311"/>
        <w:gridCol w:w="1084"/>
        <w:gridCol w:w="41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2"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w:t>
            </w:r>
          </w:p>
        </w:tc>
        <w:tc>
          <w:tcPr>
            <w:tcW w:w="411" w:type="dxa"/>
            <w:tcBorders/>
            <w:shd w:fill="auto" w:val="cle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w:t>
            </w:r>
          </w:p>
        </w:tc>
        <w:tc>
          <w:tcPr>
            <w:tcW w:w="4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unrealized gain (loss) on available-for-sale</w:t>
              <w:br/>
              <w:t>   securities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(20,939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adjustment for realized loss on sale</w:t>
              <w:br/>
              <w:t>   of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unrealized gain (loss) on available-for-sale</w:t>
              <w:br/>
              <w:t>   securities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0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(20,939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expense (benefit)</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(16,542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See Notes to Condensed Consolidated Unaudited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caps/>
          <w:sz w:val="20"/>
        </w:rPr>
      </w:pPr>
      <w:r>
        <w:rPr>
          <w:rFonts w:ascii="Times New Roman;serif" w:hAnsi="Times New Roman;serif"/>
          <w:b w:val="false"/>
          <w:caps/>
          <w:sz w:val="20"/>
        </w:rPr>
        <w:t>Farmers &amp; Merchants Bancorp, Inc. and Subsidiaries</w:t>
      </w:r>
    </w:p>
    <w:p>
      <w:pPr>
        <w:pStyle w:val="TextBody"/>
        <w:spacing w:before="0" w:after="0"/>
        <w:jc w:val="left"/>
        <w:rPr>
          <w:rFonts w:ascii="Times New Roman;serif" w:hAnsi="Times New Roman;serif"/>
          <w:b w:val="false"/>
          <w:caps/>
          <w:sz w:val="20"/>
        </w:rPr>
      </w:pPr>
      <w:bookmarkStart w:id="8" w:name="consolidated_stockholders_equity"/>
      <w:bookmarkEnd w:id="8"/>
      <w:r>
        <w:rPr>
          <w:rFonts w:ascii="Times New Roman;serif" w:hAnsi="Times New Roman;serif"/>
          <w:b w:val="false"/>
          <w:caps/>
          <w:sz w:val="20"/>
        </w:rPr>
        <w:t>CONDENSED Consolidated StatementS of Changes TO Stockholders’ Equity</w:t>
      </w:r>
    </w:p>
    <w:p>
      <w:pPr>
        <w:pStyle w:val="TextBody"/>
        <w:spacing w:before="0" w:after="0"/>
        <w:jc w:val="left"/>
        <w:rPr>
          <w:rFonts w:ascii="Times New Roman;serif" w:hAnsi="Times New Roman;serif"/>
          <w:b w:val="false"/>
          <w:caps/>
          <w:sz w:val="20"/>
        </w:rPr>
      </w:pPr>
      <w:r>
        <w:rPr>
          <w:rFonts w:ascii="Times New Roman;serif" w:hAnsi="Times New Roman;serif"/>
          <w:b w:val="false"/>
          <w:caps/>
          <w:sz w:val="20"/>
        </w:rPr>
        <w:t>For the THREE Months Ended March 31, 2023</w:t>
      </w:r>
    </w:p>
    <w:p>
      <w:pPr>
        <w:pStyle w:val="TextBody"/>
        <w:spacing w:before="0" w:after="0"/>
        <w:jc w:val="left"/>
        <w:rPr>
          <w:rFonts w:ascii="Times New Roman;serif" w:hAnsi="Times New Roman;serif"/>
          <w:b w:val="false"/>
          <w:caps/>
          <w:sz w:val="20"/>
        </w:rPr>
      </w:pPr>
      <w:r>
        <w:rPr>
          <w:rFonts w:ascii="Times New Roman;serif" w:hAnsi="Times New Roman;serif"/>
          <w:b w:val="false"/>
          <w:caps/>
          <w:sz w:val="20"/>
        </w:rPr>
        <w:t>(000’s Omitted, Except Per Share Data)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462"/>
        <w:gridCol w:w="146"/>
        <w:gridCol w:w="146"/>
        <w:gridCol w:w="1036"/>
        <w:gridCol w:w="146"/>
        <w:gridCol w:w="146"/>
        <w:gridCol w:w="211"/>
        <w:gridCol w:w="781"/>
        <w:gridCol w:w="166"/>
        <w:gridCol w:w="146"/>
        <w:gridCol w:w="211"/>
        <w:gridCol w:w="736"/>
        <w:gridCol w:w="166"/>
        <w:gridCol w:w="146"/>
        <w:gridCol w:w="211"/>
        <w:gridCol w:w="781"/>
        <w:gridCol w:w="166"/>
        <w:gridCol w:w="146"/>
        <w:gridCol w:w="307"/>
        <w:gridCol w:w="1074"/>
        <w:gridCol w:w="166"/>
        <w:gridCol w:w="146"/>
        <w:gridCol w:w="249"/>
        <w:gridCol w:w="922"/>
        <w:gridCol w:w="392"/>
      </w:tblGrid>
      <w:tr>
        <w:trPr/>
        <w:tc>
          <w:tcPr>
            <w:tcW w:w="14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146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pPr>
            <w:r>
              <w:rPr/>
              <w:t> </w:t>
            </w:r>
          </w:p>
        </w:tc>
        <w:tc>
          <w:tcPr>
            <w:tcW w:w="392" w:type="dxa"/>
            <w:tcBorders/>
            <w:shd w:fill="auto" w:val="clear"/>
            <w:vAlign w:val="center"/>
          </w:tcPr>
          <w:p>
            <w:pPr>
              <w:pStyle w:val="TableContents"/>
              <w:spacing w:before="0" w:after="0"/>
              <w:ind w:left="0" w:right="0" w:hanging="0"/>
              <w:jc w:val="center"/>
              <w:rPr/>
            </w:pPr>
            <w:r>
              <w:rPr/>
              <w:t> </w:t>
            </w:r>
          </w:p>
        </w:tc>
      </w:tr>
      <w:tr>
        <w:trPr/>
        <w:tc>
          <w:tcPr>
            <w:tcW w:w="146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Shares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392" w:type="dxa"/>
            <w:tcBorders/>
            <w:shd w:fill="auto" w:val="clear"/>
            <w:vAlign w:val="center"/>
          </w:tcPr>
          <w:p>
            <w:pPr>
              <w:pStyle w:val="TableContents"/>
              <w:spacing w:before="0" w:after="0"/>
              <w:ind w:left="0" w:right="0" w:hanging="0"/>
              <w:jc w:val="center"/>
              <w:rPr/>
            </w:pPr>
            <w:r>
              <w:rPr/>
              <w:t> </w:t>
            </w:r>
          </w:p>
        </w:tc>
      </w:tr>
      <w:tr>
        <w:trPr/>
        <w:tc>
          <w:tcPr>
            <w:tcW w:w="146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Treasury</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Stockholders'</w:t>
            </w:r>
          </w:p>
        </w:tc>
        <w:tc>
          <w:tcPr>
            <w:tcW w:w="392" w:type="dxa"/>
            <w:tcBorders/>
            <w:shd w:fill="auto" w:val="clear"/>
            <w:vAlign w:val="center"/>
          </w:tcPr>
          <w:p>
            <w:pPr>
              <w:pStyle w:val="TableContents"/>
              <w:spacing w:before="0" w:after="0"/>
              <w:ind w:left="0" w:right="0" w:hanging="0"/>
              <w:jc w:val="center"/>
              <w:rPr/>
            </w:pPr>
            <w:r>
              <w:rPr/>
              <w:t> </w:t>
            </w:r>
          </w:p>
        </w:tc>
      </w:tr>
      <w:tr>
        <w:trPr/>
        <w:tc>
          <w:tcPr>
            <w:tcW w:w="146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Equity</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13,608,422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212,449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298,140</w:t>
            </w:r>
          </w:p>
        </w:tc>
        <w:tc>
          <w:tcPr>
            <w:tcW w:w="392" w:type="dxa"/>
            <w:tcBorders/>
            <w:shd w:fill="auto" w:val="clear"/>
            <w:vAlign w:val="center"/>
          </w:tcPr>
          <w:p>
            <w:pPr>
              <w:pStyle w:val="TableContents"/>
              <w:spacing w:before="0" w:after="0"/>
              <w:ind w:left="0" w:right="0" w:hanging="0"/>
              <w:jc w:val="left"/>
              <w:rPr/>
            </w:pPr>
            <w:r>
              <w:rPr/>
              <w:t> </w:t>
            </w:r>
          </w:p>
        </w:tc>
      </w:tr>
      <w:tr>
        <w:trPr/>
        <w:tc>
          <w:tcPr>
            <w:tcW w:w="14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Cumulative effect of change in accounting principle (ASU 2016-13)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(3,371</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January 1, 2023 as adjusted for change in accounting principle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13,608,422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209,078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294,769</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6,466</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7,047</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treasury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Issuance of 21,700</w:t>
            </w:r>
            <w:r>
              <w:rPr>
                <w:rFonts w:ascii="Times New Roman" w:hAnsi="Times New Roman"/>
                <w:sz w:val="20"/>
              </w:rPr>
              <w:t> </w:t>
            </w:r>
            <w:r>
              <w:rPr>
                <w:rFonts w:ascii="Times New Roman;serif" w:hAnsi="Times New Roman;serif"/>
                <w:b w:val="false"/>
                <w:sz w:val="20"/>
              </w:rPr>
              <w:t>shares of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392" w:type="dxa"/>
            <w:tcBorders/>
            <w:shd w:fill="auto" w:val="clear"/>
            <w:vAlign w:val="center"/>
          </w:tcPr>
          <w:p>
            <w:pPr>
              <w:pStyle w:val="TableContents"/>
              <w:spacing w:before="0" w:after="0"/>
              <w:ind w:left="0" w:right="0" w:firstLine="200"/>
              <w:jc w:val="left"/>
              <w:rPr/>
            </w:pPr>
            <w:r>
              <w:rPr/>
              <w:t> </w:t>
            </w:r>
          </w:p>
        </w:tc>
      </w:tr>
      <w:tr>
        <w:trPr/>
        <w:tc>
          <w:tcPr>
            <w:tcW w:w="146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Cash dividends declared - $0.21</w:t>
            </w:r>
            <w:r>
              <w:rPr>
                <w:rFonts w:ascii="Times New Roman" w:hAnsi="Times New Roman"/>
                <w:sz w:val="20"/>
              </w:rPr>
              <w:t> </w:t>
            </w:r>
            <w:r>
              <w:rPr>
                <w:rFonts w:ascii="Times New Roman;serif" w:hAnsi="Times New Roman;serif"/>
                <w:b w:val="false"/>
                <w:sz w:val="20"/>
              </w:rPr>
              <w:t>per share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6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13,630,122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213,012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305,757</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rFonts w:ascii="Times New Roman;serif" w:hAnsi="Times New Roman;serif"/>
          <w:b w:val="false"/>
          <w:sz w:val="20"/>
        </w:rPr>
      </w:pPr>
      <w:r>
        <w:rPr>
          <w:rFonts w:ascii="Times New Roman;serif" w:hAnsi="Times New Roman;serif"/>
          <w:b w:val="false"/>
          <w:sz w:val="20"/>
        </w:rPr>
        <w:t>See Notes to Condensed Consolidated Unaudited Financial Statements</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caps/>
          <w:sz w:val="20"/>
        </w:rPr>
      </w:pPr>
      <w:r>
        <w:rPr>
          <w:rFonts w:ascii="Times New Roman;serif" w:hAnsi="Times New Roman;serif"/>
          <w:b w:val="false"/>
          <w:caps/>
          <w:sz w:val="20"/>
        </w:rPr>
        <w:t>Farmers &amp; Merchants Bancorp, Inc. and Subsidiaries</w:t>
      </w:r>
    </w:p>
    <w:p>
      <w:pPr>
        <w:pStyle w:val="TextBody"/>
        <w:spacing w:before="0" w:after="0"/>
        <w:jc w:val="left"/>
        <w:rPr>
          <w:rFonts w:ascii="Times New Roman;serif" w:hAnsi="Times New Roman;serif"/>
          <w:b w:val="false"/>
          <w:caps/>
          <w:sz w:val="20"/>
        </w:rPr>
      </w:pPr>
      <w:r>
        <w:rPr>
          <w:rFonts w:ascii="Times New Roman;serif" w:hAnsi="Times New Roman;serif"/>
          <w:b w:val="false"/>
          <w:caps/>
          <w:sz w:val="20"/>
        </w:rPr>
        <w:t>CONDENSED Consolidated StatementS of Changes TO Stockholders’ Equity</w:t>
      </w:r>
    </w:p>
    <w:p>
      <w:pPr>
        <w:pStyle w:val="TextBody"/>
        <w:spacing w:before="0" w:after="0"/>
        <w:jc w:val="left"/>
        <w:rPr>
          <w:rFonts w:ascii="Times New Roman;serif" w:hAnsi="Times New Roman;serif"/>
          <w:b w:val="false"/>
          <w:caps/>
          <w:sz w:val="20"/>
        </w:rPr>
      </w:pPr>
      <w:r>
        <w:rPr>
          <w:rFonts w:ascii="Times New Roman;serif" w:hAnsi="Times New Roman;serif"/>
          <w:b w:val="false"/>
          <w:caps/>
          <w:sz w:val="20"/>
        </w:rPr>
        <w:t>For the THREE months Ended March 31, 2022</w:t>
      </w:r>
    </w:p>
    <w:p>
      <w:pPr>
        <w:pStyle w:val="TextBody"/>
        <w:spacing w:before="0" w:after="0"/>
        <w:jc w:val="left"/>
        <w:rPr>
          <w:rFonts w:ascii="Times New Roman;serif" w:hAnsi="Times New Roman;serif"/>
          <w:b w:val="false"/>
          <w:caps/>
          <w:sz w:val="20"/>
        </w:rPr>
      </w:pPr>
      <w:r>
        <w:rPr>
          <w:rFonts w:ascii="Times New Roman;serif" w:hAnsi="Times New Roman;serif"/>
          <w:b w:val="false"/>
          <w:caps/>
          <w:sz w:val="20"/>
        </w:rPr>
        <w:t>(000’s Omitted, Except Per Share Data)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422"/>
        <w:gridCol w:w="146"/>
        <w:gridCol w:w="146"/>
        <w:gridCol w:w="1036"/>
        <w:gridCol w:w="166"/>
        <w:gridCol w:w="146"/>
        <w:gridCol w:w="211"/>
        <w:gridCol w:w="781"/>
        <w:gridCol w:w="166"/>
        <w:gridCol w:w="146"/>
        <w:gridCol w:w="211"/>
        <w:gridCol w:w="736"/>
        <w:gridCol w:w="166"/>
        <w:gridCol w:w="146"/>
        <w:gridCol w:w="211"/>
        <w:gridCol w:w="781"/>
        <w:gridCol w:w="166"/>
        <w:gridCol w:w="146"/>
        <w:gridCol w:w="307"/>
        <w:gridCol w:w="1074"/>
        <w:gridCol w:w="166"/>
        <w:gridCol w:w="146"/>
        <w:gridCol w:w="249"/>
        <w:gridCol w:w="922"/>
        <w:gridCol w:w="412"/>
      </w:tblGrid>
      <w:tr>
        <w:trPr/>
        <w:tc>
          <w:tcPr>
            <w:tcW w:w="14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14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pPr>
            <w:r>
              <w:rPr/>
              <w:t> </w:t>
            </w:r>
          </w:p>
        </w:tc>
        <w:tc>
          <w:tcPr>
            <w:tcW w:w="412" w:type="dxa"/>
            <w:tcBorders/>
            <w:shd w:fill="auto" w:val="clear"/>
            <w:vAlign w:val="center"/>
          </w:tcPr>
          <w:p>
            <w:pPr>
              <w:pStyle w:val="TableContents"/>
              <w:spacing w:before="0" w:after="0"/>
              <w:ind w:left="0" w:right="0" w:hanging="0"/>
              <w:jc w:val="center"/>
              <w:rPr/>
            </w:pPr>
            <w:r>
              <w:rPr/>
              <w:t> </w:t>
            </w:r>
          </w:p>
        </w:tc>
      </w:tr>
      <w:tr>
        <w:trPr/>
        <w:tc>
          <w:tcPr>
            <w:tcW w:w="14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Shares of</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12" w:type="dxa"/>
            <w:tcBorders/>
            <w:shd w:fill="auto" w:val="clear"/>
            <w:vAlign w:val="center"/>
          </w:tcPr>
          <w:p>
            <w:pPr>
              <w:pStyle w:val="TableContents"/>
              <w:spacing w:before="0" w:after="0"/>
              <w:ind w:left="0" w:right="0" w:hanging="0"/>
              <w:jc w:val="center"/>
              <w:rPr/>
            </w:pPr>
            <w:r>
              <w:rPr/>
              <w:t> </w:t>
            </w:r>
          </w:p>
        </w:tc>
      </w:tr>
      <w:tr>
        <w:trPr/>
        <w:tc>
          <w:tcPr>
            <w:tcW w:w="14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Treasury</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Stockholders'</w:t>
            </w:r>
          </w:p>
        </w:tc>
        <w:tc>
          <w:tcPr>
            <w:tcW w:w="412" w:type="dxa"/>
            <w:tcBorders/>
            <w:shd w:fill="auto" w:val="clear"/>
            <w:vAlign w:val="center"/>
          </w:tcPr>
          <w:p>
            <w:pPr>
              <w:pStyle w:val="TableContents"/>
              <w:spacing w:before="0" w:after="0"/>
              <w:ind w:left="0" w:right="0" w:hanging="0"/>
              <w:jc w:val="center"/>
              <w:rPr/>
            </w:pPr>
            <w:r>
              <w:rPr/>
              <w:t> </w:t>
            </w:r>
          </w:p>
        </w:tc>
      </w:tr>
      <w:tr>
        <w:trPr/>
        <w:tc>
          <w:tcPr>
            <w:tcW w:w="14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Equity</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13,066,233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122,674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189,401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297,167</w:t>
            </w:r>
          </w:p>
        </w:tc>
        <w:tc>
          <w:tcPr>
            <w:tcW w:w="412" w:type="dxa"/>
            <w:tcBorders/>
            <w:shd w:fill="auto" w:val="clear"/>
            <w:vAlign w:val="center"/>
          </w:tcPr>
          <w:p>
            <w:pPr>
              <w:pStyle w:val="TableContents"/>
              <w:spacing w:before="0" w:after="0"/>
              <w:ind w:left="0" w:right="0" w:firstLine="200"/>
              <w:jc w:val="left"/>
              <w:rPr/>
            </w:pPr>
            <w:r>
              <w:rPr/>
              <w:t> </w:t>
            </w:r>
          </w:p>
        </w:tc>
      </w:tr>
      <w:tr>
        <w:trPr/>
        <w:tc>
          <w:tcPr>
            <w:tcW w:w="142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w:t>
            </w:r>
          </w:p>
        </w:tc>
        <w:tc>
          <w:tcPr>
            <w:tcW w:w="412" w:type="dxa"/>
            <w:tcBorders/>
            <w:shd w:fill="auto" w:val="clear"/>
            <w:vAlign w:val="center"/>
          </w:tcPr>
          <w:p>
            <w:pPr>
              <w:pStyle w:val="TableContents"/>
              <w:spacing w:before="0" w:after="0"/>
              <w:ind w:left="0" w:right="0" w:firstLine="200"/>
              <w:jc w:val="left"/>
              <w:rPr/>
            </w:pPr>
            <w:r>
              <w:rPr/>
              <w:t> </w:t>
            </w:r>
          </w:p>
        </w:tc>
      </w:tr>
      <w:tr>
        <w:trPr/>
        <w:tc>
          <w:tcPr>
            <w:tcW w:w="142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(16,542</w:t>
            </w:r>
          </w:p>
        </w:tc>
        <w:tc>
          <w:tcPr>
            <w:tcW w:w="41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2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Issuance of 500</w:t>
            </w:r>
            <w:r>
              <w:rPr>
                <w:rFonts w:ascii="Times New Roman" w:hAnsi="Times New Roman"/>
                <w:sz w:val="20"/>
              </w:rPr>
              <w:t> </w:t>
            </w:r>
            <w:r>
              <w:rPr>
                <w:rFonts w:ascii="Times New Roman;serif" w:hAnsi="Times New Roman;serif"/>
                <w:b w:val="false"/>
                <w:sz w:val="20"/>
              </w:rPr>
              <w:t>shares of restricted stock</w:t>
              <w:br/>
              <w:t>   (Net of forfeitures - 650)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2" w:type="dxa"/>
            <w:tcBorders/>
            <w:shd w:fill="auto" w:val="clear"/>
            <w:vAlign w:val="center"/>
          </w:tcPr>
          <w:p>
            <w:pPr>
              <w:pStyle w:val="TableContents"/>
              <w:spacing w:before="0" w:after="0"/>
              <w:ind w:left="0" w:right="0" w:firstLine="200"/>
              <w:jc w:val="left"/>
              <w:rPr/>
            </w:pPr>
            <w:r>
              <w:rPr/>
              <w:t> </w:t>
            </w:r>
          </w:p>
        </w:tc>
      </w:tr>
      <w:tr>
        <w:trPr/>
        <w:tc>
          <w:tcPr>
            <w:tcW w:w="142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412" w:type="dxa"/>
            <w:tcBorders/>
            <w:shd w:fill="auto" w:val="clear"/>
            <w:vAlign w:val="center"/>
          </w:tcPr>
          <w:p>
            <w:pPr>
              <w:pStyle w:val="TableContents"/>
              <w:spacing w:before="0" w:after="0"/>
              <w:ind w:left="0" w:right="0" w:firstLine="200"/>
              <w:jc w:val="left"/>
              <w:rPr/>
            </w:pPr>
            <w:r>
              <w:rPr/>
              <w:t> </w:t>
            </w:r>
          </w:p>
        </w:tc>
      </w:tr>
      <w:tr>
        <w:trPr/>
        <w:tc>
          <w:tcPr>
            <w:tcW w:w="142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Cash dividends declared - $0.19</w:t>
            </w:r>
            <w:r>
              <w:rPr>
                <w:rFonts w:ascii="Times New Roman" w:hAnsi="Times New Roman"/>
                <w:sz w:val="20"/>
              </w:rPr>
              <w:t> </w:t>
            </w:r>
            <w:r>
              <w:rPr>
                <w:rFonts w:ascii="Times New Roman;serif" w:hAnsi="Times New Roman;serif"/>
                <w:b w:val="false"/>
                <w:sz w:val="20"/>
              </w:rPr>
              <w:t>per share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(2,462</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2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13,066,083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195,057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286,478</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4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rFonts w:ascii="Times New Roman;serif" w:hAnsi="Times New Roman;serif"/>
          <w:b w:val="false"/>
          <w:sz w:val="20"/>
        </w:rPr>
      </w:pPr>
      <w:bookmarkStart w:id="9" w:name="stockholders_equity_end"/>
      <w:bookmarkEnd w:id="9"/>
      <w:r>
        <w:rPr>
          <w:rFonts w:ascii="Times New Roman;serif" w:hAnsi="Times New Roman;serif"/>
          <w:b w:val="false"/>
          <w:sz w:val="20"/>
        </w:rPr>
        <w:t>See Notes to Condensed Consolidated Unaudited Financial Statements</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FARMERS &amp; MERCHANTS BANCORP, INC. AND SUBSIDIARIES</w:t>
      </w:r>
    </w:p>
    <w:p>
      <w:pPr>
        <w:pStyle w:val="TextBody"/>
        <w:spacing w:before="0" w:after="0"/>
        <w:jc w:val="both"/>
        <w:rPr>
          <w:rFonts w:ascii="Times New Roman;serif" w:hAnsi="Times New Roman;serif"/>
          <w:b w:val="false"/>
          <w:sz w:val="20"/>
        </w:rPr>
      </w:pPr>
      <w:bookmarkStart w:id="10" w:name="condensed_consolidated_statements_cash_f"/>
      <w:bookmarkEnd w:id="10"/>
      <w:r>
        <w:rPr>
          <w:rFonts w:ascii="Times New Roman;serif" w:hAnsi="Times New Roman;serif"/>
          <w:b w:val="false"/>
          <w:sz w:val="20"/>
        </w:rPr>
        <w:t>CONDENSED CONSOLIDATED STATEMENTS OF CASH FLOWS (Unaudited)</w:t>
      </w:r>
    </w:p>
    <w:p>
      <w:pPr>
        <w:pStyle w:val="TextBody"/>
        <w:spacing w:before="0" w:after="0"/>
        <w:jc w:val="both"/>
        <w:rPr/>
      </w:pPr>
      <w:r>
        <w:rPr/>
        <w:t> </w:t>
      </w:r>
    </w:p>
    <w:tbl>
      <w:tblPr>
        <w:tblW w:w="10085" w:type="dxa"/>
        <w:jc w:val="left"/>
        <w:tblInd w:w="0" w:type="dxa"/>
        <w:tblCellMar>
          <w:top w:w="28" w:type="dxa"/>
          <w:left w:w="28" w:type="dxa"/>
          <w:bottom w:w="28" w:type="dxa"/>
          <w:right w:w="28" w:type="dxa"/>
        </w:tblCellMar>
      </w:tblPr>
      <w:tblGrid>
        <w:gridCol w:w="6226"/>
        <w:gridCol w:w="146"/>
        <w:gridCol w:w="296"/>
        <w:gridCol w:w="1099"/>
        <w:gridCol w:w="166"/>
        <w:gridCol w:w="146"/>
        <w:gridCol w:w="279"/>
        <w:gridCol w:w="1116"/>
        <w:gridCol w:w="611"/>
      </w:tblGrid>
      <w:tr>
        <w:trPr/>
        <w:tc>
          <w:tcPr>
            <w:tcW w:w="6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2"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w:t>
            </w:r>
          </w:p>
        </w:tc>
        <w:tc>
          <w:tcPr>
            <w:tcW w:w="611" w:type="dxa"/>
            <w:tcBorders/>
            <w:shd w:fill="auto" w:val="clear"/>
            <w:vAlign w:val="center"/>
          </w:tcPr>
          <w:p>
            <w:pPr>
              <w:pStyle w:val="TableContents"/>
              <w:spacing w:before="0" w:after="0"/>
              <w:ind w:left="0" w:right="0" w:hanging="0"/>
              <w:jc w:val="center"/>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premiums on available-for-sale securities, net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additions to servicing rights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Servicing rights amortization and impairment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core deposit intangible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customer list intangible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accretion of fair value adjustments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subordinated note issuance costs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 - Loans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 - Off balance sheet credit exposures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sale of loans held for sale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Originations of loans held for sale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(26,161</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loans held for sale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28,512</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sale of other assets owned</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sales of securities available-for-sale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cash surrender value of bank owned life insurance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other assets and other liabilities, net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Activity in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Maturities, prepayments and calls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13,762</w:t>
            </w:r>
          </w:p>
        </w:tc>
        <w:tc>
          <w:tcPr>
            <w:tcW w:w="611" w:type="dxa"/>
            <w:tcBorders/>
            <w:shd w:fill="auto" w:val="clear"/>
            <w:vAlign w:val="center"/>
          </w:tcPr>
          <w:p>
            <w:pPr>
              <w:pStyle w:val="TableContents"/>
              <w:spacing w:before="0" w:after="0"/>
              <w:ind w:left="0" w:right="0" w:firstLine="200"/>
              <w:jc w:val="left"/>
              <w:rPr/>
            </w:pPr>
            <w:r>
              <w:rPr/>
              <w:t> </w:t>
            </w:r>
          </w:p>
        </w:tc>
      </w:tr>
      <w:tr>
        <w:trPr/>
        <w:tc>
          <w:tcPr>
            <w:tcW w:w="6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(19,344</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Activity in other securities, at cost:</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interest-bearing time deposits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2,236</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other assets owned</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to premises and equipment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Loan originations and principal collections, net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(89,520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(104,478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(68,242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(108,514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deposits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60,754</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federal funds purchased and securities sold under agreements</w:t>
              <w:br/>
              <w:t>   to repurchase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2,412</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FHLB advances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 of FHLB advances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(92,140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 of other borrowings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dividends paid on common stock</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59,316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11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(41,301</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 Beginning of year</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180,823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 End of period</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64,325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1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139,522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(continued)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FARMERS &amp; MERCHANTS BANCORP, INC. AND SUBSIDIARIES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CONDENSED CONSOLIDATED STATEMENTS OF CASH FLOWS (Unaudited) (Continued)</w:t>
      </w:r>
    </w:p>
    <w:p>
      <w:pPr>
        <w:pStyle w:val="TextBody"/>
        <w:spacing w:before="0" w:after="0"/>
        <w:jc w:val="left"/>
        <w:rPr/>
      </w:pPr>
      <w:r>
        <w:rPr/>
        <w:t> </w:t>
      </w:r>
    </w:p>
    <w:tbl>
      <w:tblPr>
        <w:tblW w:w="6772" w:type="dxa"/>
        <w:jc w:val="left"/>
        <w:tblInd w:w="0" w:type="dxa"/>
        <w:tblCellMar>
          <w:top w:w="28" w:type="dxa"/>
          <w:left w:w="28" w:type="dxa"/>
          <w:bottom w:w="28" w:type="dxa"/>
          <w:right w:w="28" w:type="dxa"/>
        </w:tblCellMar>
      </w:tblPr>
      <w:tblGrid>
        <w:gridCol w:w="3121"/>
        <w:gridCol w:w="146"/>
        <w:gridCol w:w="376"/>
        <w:gridCol w:w="1019"/>
        <w:gridCol w:w="162"/>
        <w:gridCol w:w="162"/>
        <w:gridCol w:w="376"/>
        <w:gridCol w:w="1019"/>
        <w:gridCol w:w="391"/>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4"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w:t>
            </w:r>
          </w:p>
        </w:tc>
        <w:tc>
          <w:tcPr>
            <w:tcW w:w="3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Information</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9,272</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3,057</w:t>
            </w:r>
          </w:p>
        </w:tc>
        <w:tc>
          <w:tcPr>
            <w:tcW w:w="39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paid</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noncash disclosures: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dividends declared not paid</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2,462</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bookmarkStart w:id="11" w:name="condensed_cons_statements_cash_f_end"/>
      <w:bookmarkEnd w:id="11"/>
      <w:r>
        <w:rPr>
          <w:rFonts w:ascii="Times New Roman;serif" w:hAnsi="Times New Roman;serif"/>
          <w:b w:val="false"/>
          <w:sz w:val="20"/>
        </w:rPr>
        <w:t>See Notes to Condensed Consolidated Unaudited Financial Statements.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0"/>
        </w:rPr>
        <w:t>ITEM 1 NOTES TO CONDENSED CONSOLIDATED UNAUDITED FINANCIAL STATEMENTS</w:t>
      </w:r>
      <w:r>
        <w:rPr>
          <w:rFonts w:ascii="Times New Roman" w:hAnsi="Times New Roman"/>
          <w:sz w:val="20"/>
        </w:rPr>
        <w:t xml:space="preserve"> </w:t>
      </w:r>
    </w:p>
    <w:p>
      <w:pPr>
        <w:pStyle w:val="TextBody"/>
        <w:spacing w:before="0" w:after="0"/>
        <w:jc w:val="left"/>
        <w:rPr/>
      </w:pPr>
      <w:r>
        <w:rPr/>
        <w:t> </w:t>
      </w:r>
    </w:p>
    <w:p>
      <w:pPr>
        <w:pStyle w:val="TextBody"/>
        <w:spacing w:before="200" w:after="0"/>
        <w:jc w:val="both"/>
        <w:rPr>
          <w:rFonts w:ascii="Times New Roman;serif" w:hAnsi="Times New Roman;serif"/>
          <w:b w:val="false"/>
          <w:sz w:val="20"/>
        </w:rPr>
      </w:pPr>
      <w:bookmarkStart w:id="12" w:name="notes_to_consolidated_financial_statemen"/>
      <w:bookmarkEnd w:id="12"/>
      <w:r>
        <w:rPr>
          <w:rFonts w:ascii="Times New Roman;serif" w:hAnsi="Times New Roman;serif"/>
          <w:b w:val="false"/>
          <w:sz w:val="20"/>
        </w:rPr>
        <w:t>NOTE 1 BASIS OF PRESENTATION AND OTHER</w:t>
      </w:r>
    </w:p>
    <w:p>
      <w:pPr>
        <w:pStyle w:val="TextBody"/>
        <w:spacing w:before="120" w:after="0"/>
        <w:jc w:val="both"/>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2023 are not necessarily indicative of the results that are expected for the year ended December 31, 2023. The Condensed Consolidated Balance Sheets of the Company as of December 31, 2022, has been derived from the audited Condensed Consolidated Balance Sheets of the Company as of that date. These condensed consolidated financial statements should be read in conjunction with the consolidated financial statements and footnotes thereto included in the Company's Annual Report on Form 10-K for the year ended December 31, 2022.</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pStyle w:val="TextBody"/>
        <w:spacing w:before="20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NOTE 2 BUSINESS COMBINATION AND ASSET PURCHASE</w:t>
      </w:r>
    </w:p>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On October 1, 2022, the Company acquired Peoples-Sidney Financial Corporation (PPSF), the bank holding company for Peoples Federal Savings and Loan Association, a community bank with three</w:t>
      </w:r>
      <w:r>
        <w:rPr>
          <w:rFonts w:ascii="Times New Roman" w:hAnsi="Times New Roman"/>
          <w:sz w:val="20"/>
        </w:rPr>
        <w:t xml:space="preserve"> </w:t>
      </w:r>
      <w:r>
        <w:rPr>
          <w:rFonts w:ascii="Times New Roman;serif" w:hAnsi="Times New Roman;serif"/>
          <w:b w:val="false"/>
          <w:sz w:val="20"/>
        </w:rPr>
        <w:t>full-service offices in Sidney, Anna and Jackson Center, Ohio in addition to a separate drive-thru location in Sidney, Ohio. PPSF shareholders had the opportunity to elect to receive either 0.6597</w:t>
      </w:r>
      <w:r>
        <w:rPr>
          <w:rFonts w:ascii="Times New Roman" w:hAnsi="Times New Roman"/>
          <w:sz w:val="20"/>
        </w:rPr>
        <w:t xml:space="preserve"> </w:t>
      </w:r>
      <w:r>
        <w:rPr>
          <w:rFonts w:ascii="Times New Roman;serif" w:hAnsi="Times New Roman;serif"/>
          <w:b w:val="false"/>
          <w:sz w:val="20"/>
        </w:rPr>
        <w:t>shares of FMAO stock or $24.00</w:t>
      </w:r>
      <w:r>
        <w:rPr>
          <w:rFonts w:ascii="Times New Roman" w:hAnsi="Times New Roman"/>
          <w:sz w:val="20"/>
        </w:rPr>
        <w:t xml:space="preserve"> </w:t>
      </w:r>
      <w:r>
        <w:rPr>
          <w:rFonts w:ascii="Times New Roman;serif" w:hAnsi="Times New Roman;serif"/>
          <w:b w:val="false"/>
          <w:sz w:val="20"/>
        </w:rPr>
        <w:t>per share in cash for each PPSF share owned, subject to a requirement under the Merger Agreement that the minimum number of PPSF shares exchanged for Farmers &amp; Merchants Bancorp, Inc. (FMAO) shares in the merger was no less than 758,566. Fractional shares of FMAO common stock were not issued in respect of fractional interests arising from the merger but were paid in cash pursuant to the merger agreement. PPSF had 1,167,025</w:t>
      </w:r>
      <w:r>
        <w:rPr>
          <w:rFonts w:ascii="Times New Roman" w:hAnsi="Times New Roman"/>
          <w:sz w:val="20"/>
        </w:rPr>
        <w:t xml:space="preserve"> </w:t>
      </w:r>
      <w:r>
        <w:rPr>
          <w:rFonts w:ascii="Times New Roman;serif" w:hAnsi="Times New Roman;serif"/>
          <w:b w:val="false"/>
          <w:sz w:val="20"/>
        </w:rPr>
        <w:t>shares outstanding on October 1, 2022. The share price of FMAO stock on October 1, 2022 was $26.87. Total consideration for the acquisition was approximately $23.2</w:t>
      </w:r>
      <w:r>
        <w:rPr>
          <w:rFonts w:ascii="Times New Roman" w:hAnsi="Times New Roman"/>
          <w:sz w:val="20"/>
        </w:rPr>
        <w:t xml:space="preserve"> </w:t>
      </w:r>
      <w:r>
        <w:rPr>
          <w:rFonts w:ascii="Times New Roman;serif" w:hAnsi="Times New Roman;serif"/>
          <w:b w:val="false"/>
          <w:sz w:val="20"/>
        </w:rPr>
        <w:t>million of which $9.8</w:t>
      </w:r>
      <w:r>
        <w:rPr>
          <w:rFonts w:ascii="Times New Roman" w:hAnsi="Times New Roman"/>
          <w:sz w:val="20"/>
        </w:rPr>
        <w:t xml:space="preserve"> </w:t>
      </w:r>
      <w:r>
        <w:rPr>
          <w:rFonts w:ascii="Times New Roman;serif" w:hAnsi="Times New Roman;serif"/>
          <w:b w:val="false"/>
          <w:sz w:val="20"/>
        </w:rPr>
        <w:t>million was in cash and $13.4</w:t>
      </w:r>
      <w:r>
        <w:rPr>
          <w:rFonts w:ascii="Times New Roman" w:hAnsi="Times New Roman"/>
          <w:sz w:val="20"/>
        </w:rPr>
        <w:t xml:space="preserve"> </w:t>
      </w:r>
      <w:r>
        <w:rPr>
          <w:rFonts w:ascii="Times New Roman;serif" w:hAnsi="Times New Roman;serif"/>
          <w:b w:val="false"/>
          <w:sz w:val="20"/>
        </w:rPr>
        <w:t>million in stock. As a result of the acquisition, the Company will have an opportunity to increase its deposit base in Sidney and the greater Shelby County and reduce transaction costs. The Company also expects to reduce costs through economies of scale.</w:t>
      </w:r>
    </w:p>
    <w:p>
      <w:pPr>
        <w:pStyle w:val="TextBody"/>
        <w:spacing w:before="200" w:after="0"/>
        <w:jc w:val="both"/>
        <w:rPr>
          <w:rFonts w:ascii="Times New Roman" w:hAnsi="Times New Roman"/>
          <w:sz w:val="20"/>
        </w:rPr>
      </w:pPr>
      <w:r>
        <w:rPr>
          <w:rFonts w:ascii="Times New Roman;serif" w:hAnsi="Times New Roman;serif"/>
          <w:b w:val="false"/>
          <w:sz w:val="20"/>
        </w:rPr>
        <w:br/>
        <w:t>Under the acquisition method of accounting, the total purchase was allocated to net tangible and intangible assets based on their current estimated fair values on the date of acquisition. Of the total purchase price of $23.2</w:t>
      </w:r>
      <w:r>
        <w:rPr>
          <w:rFonts w:ascii="Times New Roman" w:hAnsi="Times New Roman"/>
          <w:sz w:val="20"/>
        </w:rPr>
        <w:t xml:space="preserve"> </w:t>
      </w:r>
      <w:r>
        <w:rPr>
          <w:rFonts w:ascii="Times New Roman;serif" w:hAnsi="Times New Roman;serif"/>
          <w:b w:val="false"/>
          <w:sz w:val="20"/>
        </w:rPr>
        <w:t>million, $6.0</w:t>
      </w:r>
      <w:r>
        <w:rPr>
          <w:rFonts w:ascii="Times New Roman" w:hAnsi="Times New Roman"/>
          <w:sz w:val="20"/>
        </w:rPr>
        <w:t xml:space="preserve"> </w:t>
      </w:r>
      <w:r>
        <w:rPr>
          <w:rFonts w:ascii="Times New Roman;serif" w:hAnsi="Times New Roman;serif"/>
          <w:b w:val="false"/>
          <w:sz w:val="20"/>
        </w:rPr>
        <w:t>million has been allocated to core deposit intangible included in other assets and is being amortized over seven years</w:t>
      </w:r>
      <w:r>
        <w:rPr>
          <w:rFonts w:ascii="Times New Roman" w:hAnsi="Times New Roman"/>
          <w:sz w:val="20"/>
        </w:rPr>
        <w:t xml:space="preserve"> </w:t>
      </w:r>
      <w:r>
        <w:rPr>
          <w:rFonts w:ascii="Times New Roman;serif" w:hAnsi="Times New Roman;serif"/>
          <w:b w:val="false"/>
          <w:sz w:val="20"/>
        </w:rPr>
        <w:t>on a straight line basis. Goodwill of $5.9</w:t>
      </w:r>
      <w:r>
        <w:rPr>
          <w:rFonts w:ascii="Times New Roman" w:hAnsi="Times New Roman"/>
          <w:sz w:val="20"/>
        </w:rPr>
        <w:t xml:space="preserve"> </w:t>
      </w:r>
      <w:r>
        <w:rPr>
          <w:rFonts w:ascii="Times New Roman;serif" w:hAnsi="Times New Roman;serif"/>
          <w:b w:val="false"/>
          <w:sz w:val="20"/>
        </w:rPr>
        <w:t>million, resulting from the acquisition consists largely of the synergies and economies of scale expected from combining the operations of the Company and Peoples Federal Savings and Loan Association. Of that total amount, none of the purchase price is deductible for tax purposes. The following table summarizes the consideration paid for Peoples Federal Savings and Loan Association and the amounts of the assets acquired and liabilities assumed recognized at the acquisition date.</w:t>
        <w:br/>
        <w:br/>
      </w:r>
      <w:r>
        <w:rPr>
          <w:rFonts w:ascii="Times New Roman" w:hAnsi="Times New Roman"/>
          <w:sz w:val="20"/>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tbl>
      <w:tblPr>
        <w:tblW w:w="8618" w:type="dxa"/>
        <w:jc w:val="left"/>
        <w:tblInd w:w="0" w:type="dxa"/>
        <w:tblCellMar>
          <w:top w:w="28" w:type="dxa"/>
          <w:left w:w="28" w:type="dxa"/>
          <w:bottom w:w="28" w:type="dxa"/>
          <w:right w:w="28" w:type="dxa"/>
        </w:tblCellMar>
      </w:tblPr>
      <w:tblGrid>
        <w:gridCol w:w="6361"/>
        <w:gridCol w:w="146"/>
        <w:gridCol w:w="280"/>
        <w:gridCol w:w="1040"/>
        <w:gridCol w:w="791"/>
      </w:tblGrid>
      <w:tr>
        <w:trPr/>
        <w:tc>
          <w:tcPr>
            <w:tcW w:w="6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Fair Value of Consideration Transferred</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9,806</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Shares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13,446</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Treasury stock repurchased (125</w:t>
            </w:r>
            <w:r>
              <w:rPr>
                <w:rFonts w:ascii="Times New Roman" w:hAnsi="Times New Roman"/>
                <w:sz w:val="20"/>
              </w:rPr>
              <w:t> </w:t>
            </w:r>
            <w:r>
              <w:rPr>
                <w:rFonts w:ascii="Times New Roman;serif" w:hAnsi="Times New Roman;serif"/>
                <w:b w:val="false"/>
                <w:sz w:val="20"/>
              </w:rPr>
              <w:t>shares)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23,249</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Recognized amounts of identifiable assets acquired and liabilities assumed</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18,881</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securities, at cost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net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101,755</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Premises and equipment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5,924</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12,081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 Purchased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141,818</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Noninterest bearing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7,139</w:t>
            </w:r>
          </w:p>
        </w:tc>
        <w:tc>
          <w:tcPr>
            <w:tcW w:w="791" w:type="dxa"/>
            <w:tcBorders/>
            <w:shd w:fill="auto" w:val="cle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bearing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104,719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36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deposits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111,858</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Home Loan Bank (FHLB) advances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5,815</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Assumed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118,569</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fair value of the assets acquired includes loans with a fair value of $101.8</w:t>
      </w:r>
      <w:r>
        <w:rPr>
          <w:rFonts w:ascii="Times New Roman" w:hAnsi="Times New Roman"/>
          <w:sz w:val="20"/>
        </w:rPr>
        <w:t xml:space="preserve"> </w:t>
      </w:r>
      <w:r>
        <w:rPr>
          <w:rFonts w:ascii="Times New Roman;serif" w:hAnsi="Times New Roman;serif"/>
          <w:b w:val="false"/>
          <w:sz w:val="20"/>
        </w:rPr>
        <w:t>million. The gross principal and contractual interest due under the contracts is $116.1</w:t>
      </w:r>
      <w:r>
        <w:rPr>
          <w:rFonts w:ascii="Times New Roman" w:hAnsi="Times New Roman"/>
          <w:sz w:val="20"/>
        </w:rPr>
        <w:t xml:space="preserve"> </w:t>
      </w:r>
      <w:r>
        <w:rPr>
          <w:rFonts w:ascii="Times New Roman;serif" w:hAnsi="Times New Roman;serif"/>
          <w:b w:val="false"/>
          <w:sz w:val="20"/>
        </w:rPr>
        <w:t>million of which none</w:t>
      </w:r>
      <w:r>
        <w:rPr>
          <w:rFonts w:ascii="Times New Roman" w:hAnsi="Times New Roman"/>
          <w:sz w:val="20"/>
        </w:rPr>
        <w:t xml:space="preserve"> </w:t>
      </w:r>
      <w:r>
        <w:rPr>
          <w:rFonts w:ascii="Times New Roman;serif" w:hAnsi="Times New Roman;serif"/>
          <w:b w:val="false"/>
          <w:sz w:val="20"/>
        </w:rPr>
        <w:t>is expected to be uncollectible. The loans have a weighted average life of 44.4</w:t>
      </w:r>
      <w:r>
        <w:rPr>
          <w:rFonts w:ascii="Times New Roman" w:hAnsi="Times New Roman"/>
          <w:sz w:val="20"/>
        </w:rPr>
        <w:t xml:space="preserve"> </w:t>
      </w:r>
      <w:r>
        <w:rPr>
          <w:rFonts w:ascii="Times New Roman;serif" w:hAnsi="Times New Roman;serif"/>
          <w:b w:val="false"/>
          <w:sz w:val="20"/>
        </w:rPr>
        <w:t>months.</w:t>
      </w:r>
    </w:p>
    <w:p>
      <w:pPr>
        <w:pStyle w:val="TextBody"/>
        <w:spacing w:before="200" w:after="0"/>
        <w:jc w:val="both"/>
        <w:rPr>
          <w:rFonts w:ascii="Times New Roman" w:hAnsi="Times New Roman"/>
          <w:sz w:val="20"/>
        </w:rPr>
      </w:pPr>
      <w:r>
        <w:rPr>
          <w:rFonts w:ascii="Times New Roman;serif" w:hAnsi="Times New Roman;serif"/>
          <w:b w:val="false"/>
          <w:sz w:val="20"/>
        </w:rPr>
        <w:br/>
        <w:t>The fair value of building and land included in premises and equipment was written up $581</w:t>
      </w:r>
      <w:r>
        <w:rPr>
          <w:rFonts w:ascii="Times New Roman" w:hAnsi="Times New Roman"/>
          <w:sz w:val="20"/>
        </w:rPr>
        <w:t xml:space="preserve"> </w:t>
      </w:r>
      <w:r>
        <w:rPr>
          <w:rFonts w:ascii="Times New Roman;serif" w:hAnsi="Times New Roman;serif"/>
          <w:b w:val="false"/>
          <w:sz w:val="20"/>
        </w:rPr>
        <w:t>thousand with $597</w:t>
      </w:r>
      <w:r>
        <w:rPr>
          <w:rFonts w:ascii="Times New Roman" w:hAnsi="Times New Roman"/>
          <w:sz w:val="20"/>
        </w:rPr>
        <w:t xml:space="preserve"> </w:t>
      </w:r>
      <w:r>
        <w:rPr>
          <w:rFonts w:ascii="Times New Roman;serif" w:hAnsi="Times New Roman;serif"/>
          <w:b w:val="false"/>
          <w:sz w:val="20"/>
        </w:rPr>
        <w:t>thousand attributable to the buildings and is being amortized over the remaining life of each building. The combined average remaining life was 12.8</w:t>
      </w:r>
      <w:r>
        <w:rPr>
          <w:rFonts w:ascii="Times New Roman" w:hAnsi="Times New Roman"/>
          <w:sz w:val="20"/>
        </w:rPr>
        <w:t xml:space="preserve"> </w:t>
      </w:r>
      <w:r>
        <w:rPr>
          <w:rFonts w:ascii="Times New Roman;serif" w:hAnsi="Times New Roman;serif"/>
          <w:b w:val="false"/>
          <w:sz w:val="20"/>
        </w:rPr>
        <w:t>years.</w:t>
      </w:r>
    </w:p>
    <w:p>
      <w:pPr>
        <w:pStyle w:val="TextBody"/>
        <w:spacing w:before="200" w:after="0"/>
        <w:jc w:val="both"/>
        <w:rPr>
          <w:rFonts w:ascii="Times New Roman" w:hAnsi="Times New Roman"/>
          <w:sz w:val="20"/>
        </w:rPr>
      </w:pPr>
      <w:r>
        <w:rPr>
          <w:rFonts w:ascii="Times New Roman;serif" w:hAnsi="Times New Roman;serif"/>
          <w:b w:val="false"/>
          <w:sz w:val="20"/>
        </w:rPr>
        <w:br/>
        <w:t>The fair value for certificates of deposit incorporates a valuation amount of $662</w:t>
      </w:r>
      <w:r>
        <w:rPr>
          <w:rFonts w:ascii="Times New Roman" w:hAnsi="Times New Roman"/>
          <w:sz w:val="20"/>
        </w:rPr>
        <w:t xml:space="preserve"> </w:t>
      </w:r>
      <w:r>
        <w:rPr>
          <w:rFonts w:ascii="Times New Roman;serif" w:hAnsi="Times New Roman;serif"/>
          <w:b w:val="false"/>
          <w:sz w:val="20"/>
        </w:rPr>
        <w:t>thousand which is being amortized over 1.1</w:t>
      </w:r>
      <w:r>
        <w:rPr>
          <w:rFonts w:ascii="Times New Roman" w:hAnsi="Times New Roman"/>
          <w:sz w:val="20"/>
        </w:rPr>
        <w:t xml:space="preserve"> </w:t>
      </w:r>
      <w:r>
        <w:rPr>
          <w:rFonts w:ascii="Times New Roman;serif" w:hAnsi="Times New Roman;serif"/>
          <w:b w:val="false"/>
          <w:sz w:val="20"/>
        </w:rPr>
        <w:t>years. The fair value of Federal Home Loan Bank (FHLB) advances included a valuation amount of $69</w:t>
      </w:r>
      <w:r>
        <w:rPr>
          <w:rFonts w:ascii="Times New Roman" w:hAnsi="Times New Roman"/>
          <w:sz w:val="20"/>
        </w:rPr>
        <w:t xml:space="preserve"> </w:t>
      </w:r>
      <w:r>
        <w:rPr>
          <w:rFonts w:ascii="Times New Roman;serif" w:hAnsi="Times New Roman;serif"/>
          <w:b w:val="false"/>
          <w:sz w:val="20"/>
        </w:rPr>
        <w:t>thousand which is being amortized over 5.2</w:t>
      </w:r>
      <w:r>
        <w:rPr>
          <w:rFonts w:ascii="Times New Roman" w:hAnsi="Times New Roman"/>
          <w:sz w:val="20"/>
        </w:rPr>
        <w:t xml:space="preserve"> </w:t>
      </w:r>
      <w:r>
        <w:rPr>
          <w:rFonts w:ascii="Times New Roman;serif" w:hAnsi="Times New Roman;serif"/>
          <w:b w:val="false"/>
          <w:sz w:val="20"/>
        </w:rPr>
        <w:t>years.</w:t>
      </w:r>
    </w:p>
    <w:p>
      <w:pPr>
        <w:pStyle w:val="TextBody"/>
        <w:spacing w:before="200" w:after="0"/>
        <w:jc w:val="both"/>
        <w:rPr>
          <w:rFonts w:ascii="Times New Roman" w:hAnsi="Times New Roman"/>
          <w:sz w:val="20"/>
        </w:rPr>
      </w:pPr>
      <w:r>
        <w:rPr>
          <w:rFonts w:ascii="Times New Roman;serif" w:hAnsi="Times New Roman;serif"/>
          <w:b w:val="false"/>
          <w:sz w:val="20"/>
        </w:rPr>
        <w:br/>
        <w:br/>
        <w:t>Changes in accretable yield, or income expected to be collected, are as follows:</w:t>
        <w:br/>
        <w:br/>
      </w:r>
      <w:r>
        <w:rPr>
          <w:rFonts w:ascii="Times New Roman" w:hAnsi="Times New Roman"/>
          <w:sz w:val="20"/>
        </w:rPr>
        <w:t> </w:t>
      </w:r>
    </w:p>
    <w:tbl>
      <w:tblPr>
        <w:tblW w:w="6258" w:type="dxa"/>
        <w:jc w:val="left"/>
        <w:tblInd w:w="0" w:type="dxa"/>
        <w:tblCellMar>
          <w:top w:w="28" w:type="dxa"/>
          <w:left w:w="28" w:type="dxa"/>
          <w:bottom w:w="28" w:type="dxa"/>
          <w:right w:w="28" w:type="dxa"/>
        </w:tblCellMar>
      </w:tblPr>
      <w:tblGrid>
        <w:gridCol w:w="3886"/>
        <w:gridCol w:w="146"/>
        <w:gridCol w:w="604"/>
        <w:gridCol w:w="1211"/>
        <w:gridCol w:w="41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798</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from nonaccretable difference</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Disposals</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On October 1, 2021, the Company acquired Perpetual Federal Savings Bank, (PFSB), a community bank with one</w:t>
      </w:r>
      <w:r>
        <w:rPr>
          <w:rFonts w:ascii="Times New Roman" w:hAnsi="Times New Roman"/>
          <w:sz w:val="20"/>
        </w:rPr>
        <w:t xml:space="preserve"> </w:t>
      </w:r>
      <w:r>
        <w:rPr>
          <w:rFonts w:ascii="Times New Roman;serif" w:hAnsi="Times New Roman;serif"/>
          <w:b w:val="false"/>
          <w:sz w:val="20"/>
        </w:rPr>
        <w:t>full-service office in Urbana, Ohio. Shareholders of PFSB elected to receive either 1.7766</w:t>
      </w:r>
      <w:r>
        <w:rPr>
          <w:rFonts w:ascii="Times New Roman" w:hAnsi="Times New Roman"/>
          <w:sz w:val="20"/>
        </w:rPr>
        <w:t xml:space="preserve"> </w:t>
      </w:r>
      <w:r>
        <w:rPr>
          <w:rFonts w:ascii="Times New Roman;serif" w:hAnsi="Times New Roman;serif"/>
          <w:b w:val="false"/>
          <w:sz w:val="20"/>
        </w:rPr>
        <w:t>shares of FMAO stock or $41.20</w:t>
      </w:r>
      <w:r>
        <w:rPr>
          <w:rFonts w:ascii="Times New Roman" w:hAnsi="Times New Roman"/>
          <w:sz w:val="20"/>
        </w:rPr>
        <w:t xml:space="preserve"> </w:t>
      </w:r>
      <w:r>
        <w:rPr>
          <w:rFonts w:ascii="Times New Roman;serif" w:hAnsi="Times New Roman;serif"/>
          <w:b w:val="false"/>
          <w:sz w:val="20"/>
        </w:rPr>
        <w:t>per share in cash for each PFSB share owned, subject to adjustment based upon 1,833,999</w:t>
      </w:r>
      <w:r>
        <w:rPr>
          <w:rFonts w:ascii="Times New Roman" w:hAnsi="Times New Roman"/>
          <w:sz w:val="20"/>
        </w:rPr>
        <w:t xml:space="preserve"> </w:t>
      </w:r>
      <w:r>
        <w:rPr>
          <w:rFonts w:ascii="Times New Roman;serif" w:hAnsi="Times New Roman;serif"/>
          <w:b w:val="false"/>
          <w:sz w:val="20"/>
        </w:rPr>
        <w:t>shares of FMAO to be issued in the merger. PFSB had 2,470,032</w:t>
      </w:r>
      <w:r>
        <w:rPr>
          <w:rFonts w:ascii="Times New Roman" w:hAnsi="Times New Roman"/>
          <w:sz w:val="20"/>
        </w:rPr>
        <w:t xml:space="preserve"> </w:t>
      </w:r>
      <w:r>
        <w:rPr>
          <w:rFonts w:ascii="Times New Roman;serif" w:hAnsi="Times New Roman;serif"/>
          <w:b w:val="false"/>
          <w:sz w:val="20"/>
        </w:rPr>
        <w:t>shares outstanding on October 1, 2021. The share price of Farmers &amp; Merchants Bancorp, Inc. (FMAO) stock on October 1, 2021 was $22.40. Total consideration for the acquisition was approximately $100.3</w:t>
      </w:r>
      <w:r>
        <w:rPr>
          <w:rFonts w:ascii="Times New Roman" w:hAnsi="Times New Roman"/>
          <w:sz w:val="20"/>
        </w:rPr>
        <w:t xml:space="preserve"> </w:t>
      </w:r>
      <w:r>
        <w:rPr>
          <w:rFonts w:ascii="Times New Roman;serif" w:hAnsi="Times New Roman;serif"/>
          <w:b w:val="false"/>
          <w:sz w:val="20"/>
        </w:rPr>
        <w:t>million consisting of $59.2</w:t>
      </w:r>
      <w:r>
        <w:rPr>
          <w:rFonts w:ascii="Times New Roman" w:hAnsi="Times New Roman"/>
          <w:sz w:val="20"/>
        </w:rPr>
        <w:t xml:space="preserve"> </w:t>
      </w:r>
      <w:r>
        <w:rPr>
          <w:rFonts w:ascii="Times New Roman;serif" w:hAnsi="Times New Roman;serif"/>
          <w:b w:val="false"/>
          <w:sz w:val="20"/>
        </w:rPr>
        <w:t>million in cash and $41.1</w:t>
      </w:r>
      <w:r>
        <w:rPr>
          <w:rFonts w:ascii="Times New Roman" w:hAnsi="Times New Roman"/>
          <w:sz w:val="20"/>
        </w:rPr>
        <w:t xml:space="preserve"> </w:t>
      </w:r>
      <w:r>
        <w:rPr>
          <w:rFonts w:ascii="Times New Roman;serif" w:hAnsi="Times New Roman;serif"/>
          <w:b w:val="false"/>
          <w:sz w:val="20"/>
        </w:rPr>
        <w:t>million in stock. As a result of the acquisition, the Company has had an opportunity to increase its deposit base and reduce transaction costs. The Company has reduced costs through economies of scale.</w:t>
      </w:r>
    </w:p>
    <w:p>
      <w:pPr>
        <w:pStyle w:val="TextBody"/>
        <w:spacing w:before="200" w:after="0"/>
        <w:jc w:val="both"/>
        <w:rPr>
          <w:rFonts w:ascii="Times New Roman" w:hAnsi="Times New Roman"/>
          <w:sz w:val="20"/>
        </w:rPr>
      </w:pPr>
      <w:r>
        <w:rPr>
          <w:rFonts w:ascii="Times New Roman;serif" w:hAnsi="Times New Roman;serif"/>
          <w:b w:val="false"/>
          <w:sz w:val="20"/>
        </w:rPr>
        <w:t>Under the acquisition method of accounting, the total purchase was allocated to net tangible and intangible assets based on their current estimated fair values on the date of acquisition. Of the total purchase price of $100.3</w:t>
      </w:r>
      <w:r>
        <w:rPr>
          <w:rFonts w:ascii="Times New Roman" w:hAnsi="Times New Roman"/>
          <w:sz w:val="20"/>
        </w:rPr>
        <w:t xml:space="preserve"> </w:t>
      </w:r>
      <w:r>
        <w:rPr>
          <w:rFonts w:ascii="Times New Roman;serif" w:hAnsi="Times New Roman;serif"/>
          <w:b w:val="false"/>
          <w:sz w:val="20"/>
        </w:rPr>
        <w:t>million, $668</w:t>
      </w:r>
      <w:r>
        <w:rPr>
          <w:rFonts w:ascii="Times New Roman" w:hAnsi="Times New Roman"/>
          <w:sz w:val="20"/>
        </w:rPr>
        <w:t xml:space="preserve"> </w:t>
      </w:r>
      <w:r>
        <w:rPr>
          <w:rFonts w:ascii="Times New Roman;serif" w:hAnsi="Times New Roman;serif"/>
          <w:b w:val="false"/>
          <w:sz w:val="20"/>
        </w:rPr>
        <w:t>thousand has been allocated to core deposit intangible included in other assets and is being amortized over seven years</w:t>
      </w:r>
      <w:r>
        <w:rPr>
          <w:rFonts w:ascii="Times New Roman" w:hAnsi="Times New Roman"/>
          <w:sz w:val="20"/>
        </w:rPr>
        <w:t xml:space="preserve"> </w:t>
      </w:r>
      <w:r>
        <w:rPr>
          <w:rFonts w:ascii="Times New Roman;serif" w:hAnsi="Times New Roman;serif"/>
          <w:b w:val="false"/>
          <w:sz w:val="20"/>
        </w:rPr>
        <w:t>on a straight line basis. Goodwill of $25.2</w:t>
      </w:r>
      <w:r>
        <w:rPr>
          <w:rFonts w:ascii="Times New Roman" w:hAnsi="Times New Roman"/>
          <w:sz w:val="20"/>
        </w:rPr>
        <w:t xml:space="preserve"> </w:t>
      </w:r>
      <w:r>
        <w:rPr>
          <w:rFonts w:ascii="Times New Roman;serif" w:hAnsi="Times New Roman;serif"/>
          <w:b w:val="false"/>
          <w:sz w:val="20"/>
        </w:rPr>
        <w:t>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pStyle w:val="TextBody"/>
        <w:spacing w:before="0" w:after="0"/>
        <w:jc w:val="both"/>
        <w:rPr/>
      </w:pPr>
      <w:r>
        <w:rPr/>
        <w:t> </w:t>
      </w:r>
    </w:p>
    <w:tbl>
      <w:tblPr>
        <w:tblW w:w="8618" w:type="dxa"/>
        <w:jc w:val="left"/>
        <w:tblInd w:w="0" w:type="dxa"/>
        <w:tblCellMar>
          <w:top w:w="28" w:type="dxa"/>
          <w:left w:w="28" w:type="dxa"/>
          <w:bottom w:w="28" w:type="dxa"/>
          <w:right w:w="28" w:type="dxa"/>
        </w:tblCellMar>
      </w:tblPr>
      <w:tblGrid>
        <w:gridCol w:w="6361"/>
        <w:gridCol w:w="146"/>
        <w:gridCol w:w="280"/>
        <w:gridCol w:w="1040"/>
        <w:gridCol w:w="791"/>
      </w:tblGrid>
      <w:tr>
        <w:trPr/>
        <w:tc>
          <w:tcPr>
            <w:tcW w:w="6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Fair Value of Consideration Transferred</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59,234</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Shares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41,078</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100,312</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Recognized amounts of identifiable assets acquired and liabilities assumed</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44,975</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funds sold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1,672</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time deposits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6,250</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securities, at cost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2,794</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net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334,661</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Premises and equipment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25,220</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3,975</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 Purchased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420,162</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Noninterest bearing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2,018</w:t>
            </w:r>
          </w:p>
        </w:tc>
        <w:tc>
          <w:tcPr>
            <w:tcW w:w="791" w:type="dxa"/>
            <w:tcBorders/>
            <w:shd w:fill="auto" w:val="cle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bearing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309,090</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36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deposits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311,108</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Home Loan Bank (FHLB) advances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6,218</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Assumed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319,850</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fair value of the assets acquired includes loans with a fair value of $334.7</w:t>
      </w:r>
      <w:r>
        <w:rPr>
          <w:rFonts w:ascii="Times New Roman" w:hAnsi="Times New Roman"/>
          <w:sz w:val="20"/>
        </w:rPr>
        <w:t xml:space="preserve"> </w:t>
      </w:r>
      <w:r>
        <w:rPr>
          <w:rFonts w:ascii="Times New Roman;serif" w:hAnsi="Times New Roman;serif"/>
          <w:b w:val="false"/>
          <w:sz w:val="20"/>
        </w:rPr>
        <w:t>million. The gross principal and contractual interest due under the contracts is $403.3</w:t>
      </w:r>
      <w:r>
        <w:rPr>
          <w:rFonts w:ascii="Times New Roman" w:hAnsi="Times New Roman"/>
          <w:sz w:val="20"/>
        </w:rPr>
        <w:t xml:space="preserve"> </w:t>
      </w:r>
      <w:r>
        <w:rPr>
          <w:rFonts w:ascii="Times New Roman;serif" w:hAnsi="Times New Roman;serif"/>
          <w:b w:val="false"/>
          <w:sz w:val="20"/>
        </w:rPr>
        <w:t>million, of which $5.6</w:t>
      </w:r>
      <w:r>
        <w:rPr>
          <w:rFonts w:ascii="Times New Roman" w:hAnsi="Times New Roman"/>
          <w:sz w:val="20"/>
        </w:rPr>
        <w:t xml:space="preserve"> </w:t>
      </w:r>
      <w:r>
        <w:rPr>
          <w:rFonts w:ascii="Times New Roman;serif" w:hAnsi="Times New Roman;serif"/>
          <w:b w:val="false"/>
          <w:sz w:val="20"/>
        </w:rPr>
        <w:t>million is expected to be uncollectible. The loans have a weighted average life of 52</w:t>
      </w:r>
      <w:r>
        <w:rPr>
          <w:rFonts w:ascii="Times New Roman" w:hAnsi="Times New Roman"/>
          <w:sz w:val="20"/>
        </w:rPr>
        <w:t xml:space="preserve"> </w:t>
      </w:r>
      <w:r>
        <w:rPr>
          <w:rFonts w:ascii="Times New Roman;serif" w:hAnsi="Times New Roman;serif"/>
          <w:b w:val="false"/>
          <w:sz w:val="20"/>
        </w:rPr>
        <w:t>months.</w:t>
      </w:r>
    </w:p>
    <w:p>
      <w:pPr>
        <w:pStyle w:val="TextBody"/>
        <w:spacing w:before="200" w:after="0"/>
        <w:jc w:val="both"/>
        <w:rPr>
          <w:rFonts w:ascii="Times New Roman" w:hAnsi="Times New Roman"/>
          <w:sz w:val="20"/>
        </w:rPr>
      </w:pPr>
      <w:r>
        <w:rPr>
          <w:rFonts w:ascii="Times New Roman;serif" w:hAnsi="Times New Roman;serif"/>
          <w:b w:val="false"/>
          <w:sz w:val="20"/>
        </w:rPr>
        <w:t>The fair value of building and land included in premises and equipment was written down by $4</w:t>
      </w:r>
      <w:r>
        <w:rPr>
          <w:rFonts w:ascii="Times New Roman" w:hAnsi="Times New Roman"/>
          <w:sz w:val="20"/>
        </w:rPr>
        <w:t xml:space="preserve"> </w:t>
      </w:r>
      <w:r>
        <w:rPr>
          <w:rFonts w:ascii="Times New Roman;serif" w:hAnsi="Times New Roman;serif"/>
          <w:b w:val="false"/>
          <w:sz w:val="20"/>
        </w:rPr>
        <w:t>thousand with $297</w:t>
      </w:r>
      <w:r>
        <w:rPr>
          <w:rFonts w:ascii="Times New Roman" w:hAnsi="Times New Roman"/>
          <w:sz w:val="20"/>
        </w:rPr>
        <w:t xml:space="preserve"> </w:t>
      </w:r>
      <w:r>
        <w:rPr>
          <w:rFonts w:ascii="Times New Roman;serif" w:hAnsi="Times New Roman;serif"/>
          <w:b w:val="false"/>
          <w:sz w:val="20"/>
        </w:rPr>
        <w:t>thousand attributable to the buildings and is being amortized over the useful life of 16.2</w:t>
      </w:r>
      <w:r>
        <w:rPr>
          <w:rFonts w:ascii="Times New Roman" w:hAnsi="Times New Roman"/>
          <w:sz w:val="20"/>
        </w:rPr>
        <w:t xml:space="preserve"> </w:t>
      </w:r>
      <w:r>
        <w:rPr>
          <w:rFonts w:ascii="Times New Roman;serif" w:hAnsi="Times New Roman;serif"/>
          <w:b w:val="false"/>
          <w:sz w:val="20"/>
        </w:rPr>
        <w:t>years.</w:t>
      </w:r>
    </w:p>
    <w:p>
      <w:pPr>
        <w:pStyle w:val="TextBody"/>
        <w:spacing w:before="200" w:after="0"/>
        <w:jc w:val="both"/>
        <w:rPr>
          <w:rFonts w:ascii="Times New Roman" w:hAnsi="Times New Roman"/>
          <w:sz w:val="20"/>
        </w:rPr>
      </w:pPr>
      <w:r>
        <w:rPr>
          <w:rFonts w:ascii="Times New Roman;serif" w:hAnsi="Times New Roman;serif"/>
          <w:b w:val="false"/>
          <w:sz w:val="20"/>
        </w:rPr>
        <w:t>The fair value for certificates of deposit incorporates a valuation amount of $3.9</w:t>
      </w:r>
      <w:r>
        <w:rPr>
          <w:rFonts w:ascii="Times New Roman" w:hAnsi="Times New Roman"/>
          <w:sz w:val="20"/>
        </w:rPr>
        <w:t xml:space="preserve"> </w:t>
      </w:r>
      <w:r>
        <w:rPr>
          <w:rFonts w:ascii="Times New Roman;serif" w:hAnsi="Times New Roman;serif"/>
          <w:b w:val="false"/>
          <w:sz w:val="20"/>
        </w:rPr>
        <w:t>million which is being accreted over 1.6</w:t>
      </w:r>
      <w:r>
        <w:rPr>
          <w:rFonts w:ascii="Times New Roman" w:hAnsi="Times New Roman"/>
          <w:sz w:val="20"/>
        </w:rPr>
        <w:t xml:space="preserve"> </w:t>
      </w:r>
      <w:r>
        <w:rPr>
          <w:rFonts w:ascii="Times New Roman;serif" w:hAnsi="Times New Roman;serif"/>
          <w:b w:val="false"/>
          <w:sz w:val="20"/>
        </w:rPr>
        <w:t>years. The fair value of Federal Home Loan Bank (FHLB) advances included a valuation amount of $218</w:t>
      </w:r>
      <w:r>
        <w:rPr>
          <w:rFonts w:ascii="Times New Roman" w:hAnsi="Times New Roman"/>
          <w:sz w:val="20"/>
        </w:rPr>
        <w:t xml:space="preserve"> </w:t>
      </w:r>
      <w:r>
        <w:rPr>
          <w:rFonts w:ascii="Times New Roman;serif" w:hAnsi="Times New Roman;serif"/>
          <w:b w:val="false"/>
          <w:sz w:val="20"/>
        </w:rPr>
        <w:t>thousand which is being accreted over 2.6</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240" w:after="0"/>
        <w:jc w:val="both"/>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accretable yield, or income expected to be collected, are as follows:</w:t>
      </w:r>
    </w:p>
    <w:p>
      <w:pPr>
        <w:pStyle w:val="TextBody"/>
        <w:spacing w:before="0" w:after="0"/>
        <w:jc w:val="left"/>
        <w:rPr/>
      </w:pPr>
      <w:r>
        <w:rPr/>
        <w:t> </w:t>
      </w:r>
    </w:p>
    <w:tbl>
      <w:tblPr>
        <w:tblW w:w="8385" w:type="dxa"/>
        <w:jc w:val="left"/>
        <w:tblInd w:w="0" w:type="dxa"/>
        <w:tblCellMar>
          <w:top w:w="28" w:type="dxa"/>
          <w:left w:w="28" w:type="dxa"/>
          <w:bottom w:w="28" w:type="dxa"/>
          <w:right w:w="28" w:type="dxa"/>
        </w:tblCellMar>
      </w:tblPr>
      <w:tblGrid>
        <w:gridCol w:w="3886"/>
        <w:gridCol w:w="146"/>
        <w:gridCol w:w="489"/>
        <w:gridCol w:w="1326"/>
        <w:gridCol w:w="166"/>
        <w:gridCol w:w="146"/>
        <w:gridCol w:w="489"/>
        <w:gridCol w:w="1326"/>
        <w:gridCol w:w="41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5,262</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from nonaccretable difference</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Disposals</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April 30, 2021, the Company acquired Ossian Financial Services, Inc., (OFSI), the bank holding company for Ossian State Bank, a community bank based in Ossian, Indiana. Ossian State Bank operated two</w:t>
      </w:r>
      <w:r>
        <w:rPr>
          <w:rFonts w:ascii="Times New Roman" w:hAnsi="Times New Roman"/>
          <w:sz w:val="20"/>
        </w:rPr>
        <w:t xml:space="preserve"> </w:t>
      </w:r>
      <w:r>
        <w:rPr>
          <w:rFonts w:ascii="Times New Roman;serif" w:hAnsi="Times New Roman;serif"/>
          <w:b w:val="false"/>
          <w:sz w:val="20"/>
        </w:rPr>
        <w:t>full-service offices in the northeast Indiana communities of Ossian and Bluffton. Shareholders of OFSI received $67.71</w:t>
      </w:r>
      <w:r>
        <w:rPr>
          <w:rFonts w:ascii="Times New Roman" w:hAnsi="Times New Roman"/>
          <w:sz w:val="20"/>
        </w:rPr>
        <w:t xml:space="preserve"> </w:t>
      </w:r>
      <w:r>
        <w:rPr>
          <w:rFonts w:ascii="Times New Roman;serif" w:hAnsi="Times New Roman;serif"/>
          <w:b w:val="false"/>
          <w:sz w:val="20"/>
        </w:rPr>
        <w:t>in cash for each share. OFSI had 295,388</w:t>
      </w:r>
      <w:r>
        <w:rPr>
          <w:rFonts w:ascii="Times New Roman" w:hAnsi="Times New Roman"/>
          <w:sz w:val="20"/>
        </w:rPr>
        <w:t xml:space="preserve"> </w:t>
      </w:r>
      <w:r>
        <w:rPr>
          <w:rFonts w:ascii="Times New Roman;serif" w:hAnsi="Times New Roman;serif"/>
          <w:b w:val="false"/>
          <w:sz w:val="20"/>
        </w:rPr>
        <w:t>shares outstanding on April 30, 2021. Total consideration for the acquisition was approximately $20.0</w:t>
      </w:r>
      <w:r>
        <w:rPr>
          <w:rFonts w:ascii="Times New Roman" w:hAnsi="Times New Roman"/>
          <w:sz w:val="20"/>
        </w:rPr>
        <w:t xml:space="preserve"> </w:t>
      </w:r>
      <w:r>
        <w:rPr>
          <w:rFonts w:ascii="Times New Roman;serif" w:hAnsi="Times New Roman;serif"/>
          <w:b w:val="false"/>
          <w:sz w:val="20"/>
        </w:rPr>
        <w:t>million in cash. As a result of the acquisition, the Company has increased its deposit base and is working to reduce transaction costs. The Company has reduced costs through economies of scale.</w:t>
      </w:r>
    </w:p>
    <w:p>
      <w:pPr>
        <w:pStyle w:val="TextBody"/>
        <w:spacing w:before="200" w:after="0"/>
        <w:jc w:val="both"/>
        <w:rPr>
          <w:rFonts w:ascii="Times New Roman" w:hAnsi="Times New Roman"/>
          <w:sz w:val="20"/>
        </w:rPr>
      </w:pPr>
      <w:r>
        <w:rPr>
          <w:rFonts w:ascii="Times New Roman;serif" w:hAnsi="Times New Roman;serif"/>
          <w:b w:val="false"/>
          <w:sz w:val="20"/>
        </w:rPr>
        <w:t>Under the acquisition method of accounting, the total purchase was allocated to net tangible and intangible assets based on their current estimated fair values on the date of acquisition. Of the total purchase price of $20.0</w:t>
      </w:r>
      <w:r>
        <w:rPr>
          <w:rFonts w:ascii="Times New Roman" w:hAnsi="Times New Roman"/>
          <w:sz w:val="20"/>
        </w:rPr>
        <w:t xml:space="preserve"> </w:t>
      </w:r>
      <w:r>
        <w:rPr>
          <w:rFonts w:ascii="Times New Roman;serif" w:hAnsi="Times New Roman;serif"/>
          <w:b w:val="false"/>
          <w:sz w:val="20"/>
        </w:rPr>
        <w:t>million, $980.2</w:t>
      </w:r>
      <w:r>
        <w:rPr>
          <w:rFonts w:ascii="Times New Roman" w:hAnsi="Times New Roman"/>
          <w:sz w:val="20"/>
        </w:rPr>
        <w:t xml:space="preserve"> </w:t>
      </w:r>
      <w:r>
        <w:rPr>
          <w:rFonts w:ascii="Times New Roman;serif" w:hAnsi="Times New Roman;serif"/>
          <w:b w:val="false"/>
          <w:sz w:val="20"/>
        </w:rPr>
        <w:t>thousand has been allocated to core deposit intangible included in other assets and will be amortized over seven years</w:t>
      </w:r>
      <w:r>
        <w:rPr>
          <w:rFonts w:ascii="Times New Roman" w:hAnsi="Times New Roman"/>
          <w:sz w:val="20"/>
        </w:rPr>
        <w:t xml:space="preserve"> </w:t>
      </w:r>
      <w:r>
        <w:rPr>
          <w:rFonts w:ascii="Times New Roman;serif" w:hAnsi="Times New Roman;serif"/>
          <w:b w:val="false"/>
          <w:sz w:val="20"/>
        </w:rPr>
        <w:t>on a straight line basis. Goodwill of $7.9</w:t>
      </w:r>
      <w:r>
        <w:rPr>
          <w:rFonts w:ascii="Times New Roman" w:hAnsi="Times New Roman"/>
          <w:sz w:val="20"/>
        </w:rPr>
        <w:t xml:space="preserve"> </w:t>
      </w:r>
      <w:r>
        <w:rPr>
          <w:rFonts w:ascii="Times New Roman;serif" w:hAnsi="Times New Roman;serif"/>
          <w:b w:val="false"/>
          <w:sz w:val="20"/>
        </w:rPr>
        <w:t>million which resulted from the acquisition consists largely of the synergies and economies of scale expected from combining the operations of the Company and Ossian State Bank and is deductible for tax purposes over 15</w:t>
      </w:r>
      <w:r>
        <w:rPr>
          <w:rFonts w:ascii="Times New Roman" w:hAnsi="Times New Roman"/>
          <w:sz w:val="20"/>
        </w:rPr>
        <w:t xml:space="preserve"> </w:t>
      </w:r>
      <w:r>
        <w:rPr>
          <w:rFonts w:ascii="Times New Roman;serif" w:hAnsi="Times New Roman;serif"/>
          <w:b w:val="false"/>
          <w:sz w:val="20"/>
        </w:rPr>
        <w:t>years. The following table summarizes the consideration paid for Ossian State Bank and the amounts of the assets acquired and liabilities assumed recognized at the acquisition date.</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tbl>
      <w:tblPr>
        <w:tblW w:w="8618" w:type="dxa"/>
        <w:jc w:val="left"/>
        <w:tblInd w:w="0" w:type="dxa"/>
        <w:tblCellMar>
          <w:top w:w="28" w:type="dxa"/>
          <w:left w:w="28" w:type="dxa"/>
          <w:bottom w:w="28" w:type="dxa"/>
          <w:right w:w="28" w:type="dxa"/>
        </w:tblCellMar>
      </w:tblPr>
      <w:tblGrid>
        <w:gridCol w:w="6361"/>
        <w:gridCol w:w="146"/>
        <w:gridCol w:w="280"/>
        <w:gridCol w:w="1040"/>
        <w:gridCol w:w="791"/>
      </w:tblGrid>
      <w:tr>
        <w:trPr/>
        <w:tc>
          <w:tcPr>
            <w:tcW w:w="6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Fair Value of Consideration Transferred</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20,001</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20,001</w:t>
            </w:r>
          </w:p>
        </w:tc>
        <w:tc>
          <w:tcPr>
            <w:tcW w:w="7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Recognized amounts of identifiable assets acquired and liabilities assumed</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20,229</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time deposits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20,226</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Securities - available-for-sale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30,243</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securities, at cost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net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52,403</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Premises and equipment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7,874</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5,308</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 Purchased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137,058</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Noninterest bearing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34,509</w:t>
            </w:r>
          </w:p>
        </w:tc>
        <w:tc>
          <w:tcPr>
            <w:tcW w:w="791" w:type="dxa"/>
            <w:tcBorders/>
            <w:shd w:fill="auto" w:val="cle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bearing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81,535</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36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deposits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116,044</w:t>
            </w:r>
          </w:p>
        </w:tc>
        <w:tc>
          <w:tcPr>
            <w:tcW w:w="79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Assumed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117,057</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180"/>
        <w:jc w:val="both"/>
        <w:rPr>
          <w:rFonts w:ascii="Times New Roman" w:hAnsi="Times New Roman"/>
          <w:sz w:val="20"/>
        </w:rPr>
      </w:pPr>
      <w:r>
        <w:rPr>
          <w:rFonts w:ascii="Times New Roman;serif" w:hAnsi="Times New Roman;serif"/>
          <w:b w:val="false"/>
          <w:sz w:val="20"/>
        </w:rPr>
        <w:t>The fair value of the assets acquired includes loans with a fair value of $52.4</w:t>
      </w:r>
      <w:r>
        <w:rPr>
          <w:rFonts w:ascii="Times New Roman" w:hAnsi="Times New Roman"/>
          <w:sz w:val="20"/>
        </w:rPr>
        <w:t xml:space="preserve"> </w:t>
      </w:r>
      <w:r>
        <w:rPr>
          <w:rFonts w:ascii="Times New Roman;serif" w:hAnsi="Times New Roman;serif"/>
          <w:b w:val="false"/>
          <w:sz w:val="20"/>
        </w:rPr>
        <w:t>million. The gross principal and contractual interest due under the contracts is $63.7</w:t>
      </w:r>
      <w:r>
        <w:rPr>
          <w:rFonts w:ascii="Times New Roman" w:hAnsi="Times New Roman"/>
          <w:sz w:val="20"/>
        </w:rPr>
        <w:t xml:space="preserve"> </w:t>
      </w:r>
      <w:r>
        <w:rPr>
          <w:rFonts w:ascii="Times New Roman;serif" w:hAnsi="Times New Roman;serif"/>
          <w:b w:val="false"/>
          <w:sz w:val="20"/>
        </w:rPr>
        <w:t>million, of which $1.1</w:t>
      </w:r>
      <w:r>
        <w:rPr>
          <w:rFonts w:ascii="Times New Roman" w:hAnsi="Times New Roman"/>
          <w:sz w:val="20"/>
        </w:rPr>
        <w:t xml:space="preserve"> </w:t>
      </w:r>
      <w:r>
        <w:rPr>
          <w:rFonts w:ascii="Times New Roman;serif" w:hAnsi="Times New Roman;serif"/>
          <w:b w:val="false"/>
          <w:sz w:val="20"/>
        </w:rPr>
        <w:t>million is expected to be uncollectible. The loans have a weighted average life of 52</w:t>
      </w:r>
      <w:r>
        <w:rPr>
          <w:rFonts w:ascii="Times New Roman" w:hAnsi="Times New Roman"/>
          <w:sz w:val="20"/>
        </w:rPr>
        <w:t xml:space="preserve"> </w:t>
      </w:r>
      <w:r>
        <w:rPr>
          <w:rFonts w:ascii="Times New Roman;serif" w:hAnsi="Times New Roman;serif"/>
          <w:b w:val="false"/>
          <w:sz w:val="20"/>
        </w:rPr>
        <w:t>months.</w:t>
      </w:r>
    </w:p>
    <w:p>
      <w:pPr>
        <w:pStyle w:val="TextBody"/>
        <w:spacing w:before="200" w:after="0"/>
        <w:jc w:val="both"/>
        <w:rPr>
          <w:rFonts w:ascii="Times New Roman" w:hAnsi="Times New Roman"/>
          <w:sz w:val="20"/>
        </w:rPr>
      </w:pPr>
      <w:r>
        <w:rPr>
          <w:rFonts w:ascii="Times New Roman;serif" w:hAnsi="Times New Roman;serif"/>
          <w:b w:val="false"/>
          <w:sz w:val="20"/>
        </w:rPr>
        <w:t>The fair value of building and land included in premises and equipment was written down by $596</w:t>
      </w:r>
      <w:r>
        <w:rPr>
          <w:rFonts w:ascii="Times New Roman" w:hAnsi="Times New Roman"/>
          <w:sz w:val="20"/>
        </w:rPr>
        <w:t xml:space="preserve"> </w:t>
      </w:r>
      <w:r>
        <w:rPr>
          <w:rFonts w:ascii="Times New Roman;serif" w:hAnsi="Times New Roman;serif"/>
          <w:b w:val="false"/>
          <w:sz w:val="20"/>
        </w:rPr>
        <w:t>thousand with $244</w:t>
      </w:r>
      <w:r>
        <w:rPr>
          <w:rFonts w:ascii="Times New Roman" w:hAnsi="Times New Roman"/>
          <w:sz w:val="20"/>
        </w:rPr>
        <w:t xml:space="preserve"> </w:t>
      </w:r>
      <w:r>
        <w:rPr>
          <w:rFonts w:ascii="Times New Roman;serif" w:hAnsi="Times New Roman;serif"/>
          <w:b w:val="false"/>
          <w:sz w:val="20"/>
        </w:rPr>
        <w:t>thousand attributable to buildings and will be accreted over the useful life of 39</w:t>
      </w:r>
      <w:r>
        <w:rPr>
          <w:rFonts w:ascii="Times New Roman" w:hAnsi="Times New Roman"/>
          <w:sz w:val="20"/>
        </w:rPr>
        <w:t xml:space="preserve"> </w:t>
      </w:r>
      <w:r>
        <w:rPr>
          <w:rFonts w:ascii="Times New Roman;serif" w:hAnsi="Times New Roman;serif"/>
          <w:b w:val="false"/>
          <w:sz w:val="20"/>
        </w:rPr>
        <w:t>years,</w:t>
      </w:r>
    </w:p>
    <w:p>
      <w:pPr>
        <w:pStyle w:val="TextBody"/>
        <w:spacing w:before="200" w:after="0"/>
        <w:jc w:val="both"/>
        <w:rPr>
          <w:rFonts w:ascii="Times New Roman" w:hAnsi="Times New Roman"/>
          <w:sz w:val="20"/>
        </w:rPr>
      </w:pPr>
      <w:r>
        <w:rPr>
          <w:rFonts w:ascii="Times New Roman;serif" w:hAnsi="Times New Roman;serif"/>
          <w:b w:val="false"/>
          <w:sz w:val="20"/>
        </w:rPr>
        <w:t>The fair value for certificates of deposit incorporates a valuation amount of $59</w:t>
      </w:r>
      <w:r>
        <w:rPr>
          <w:rFonts w:ascii="Times New Roman" w:hAnsi="Times New Roman"/>
          <w:sz w:val="20"/>
        </w:rPr>
        <w:t xml:space="preserve"> </w:t>
      </w:r>
      <w:r>
        <w:rPr>
          <w:rFonts w:ascii="Times New Roman;serif" w:hAnsi="Times New Roman;serif"/>
          <w:b w:val="false"/>
          <w:sz w:val="20"/>
        </w:rPr>
        <w:t>thousand which will be accreted over 1.4</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accretable yield, or income expected to be collected, are as follows:</w:t>
      </w:r>
    </w:p>
    <w:p>
      <w:pPr>
        <w:pStyle w:val="TextBody"/>
        <w:spacing w:before="0" w:after="0"/>
        <w:jc w:val="both"/>
        <w:rPr/>
      </w:pPr>
      <w:r>
        <w:rPr/>
        <w:t> </w:t>
      </w:r>
    </w:p>
    <w:tbl>
      <w:tblPr>
        <w:tblW w:w="8385" w:type="dxa"/>
        <w:jc w:val="left"/>
        <w:tblInd w:w="0" w:type="dxa"/>
        <w:tblCellMar>
          <w:top w:w="28" w:type="dxa"/>
          <w:left w:w="28" w:type="dxa"/>
          <w:bottom w:w="28" w:type="dxa"/>
          <w:right w:w="28" w:type="dxa"/>
        </w:tblCellMar>
      </w:tblPr>
      <w:tblGrid>
        <w:gridCol w:w="3886"/>
        <w:gridCol w:w="146"/>
        <w:gridCol w:w="604"/>
        <w:gridCol w:w="1211"/>
        <w:gridCol w:w="166"/>
        <w:gridCol w:w="146"/>
        <w:gridCol w:w="604"/>
        <w:gridCol w:w="1211"/>
        <w:gridCol w:w="41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from nonaccretable difference</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Disposals</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results of operations of Ossian State Bank, Perpetual Federal Savings Bank and Peoples Federal Savings and Loan Bank have been included in the Company’s consolidated financial statements since the acquisition dates of April 30, 2021, October 1, 2021 and October 1, 2022, respectively. The following schedule includes pro-forma results for the three months ended March 31, 2023 and 2022 as if the Peoples Federal Savings and Loan Bank acquisition had occurred as of the beginning of the comparable prior reporting period. The acquisitions of Ossian State Bank and Perpetual Federal Savings Bank are already included as they had occurred prior to that period.</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tbl>
      <w:tblPr>
        <w:tblW w:w="8810" w:type="dxa"/>
        <w:jc w:val="left"/>
        <w:tblInd w:w="0" w:type="dxa"/>
        <w:tblCellMar>
          <w:top w:w="28" w:type="dxa"/>
          <w:left w:w="28" w:type="dxa"/>
          <w:bottom w:w="28" w:type="dxa"/>
          <w:right w:w="28" w:type="dxa"/>
        </w:tblCellMar>
      </w:tblPr>
      <w:tblGrid>
        <w:gridCol w:w="4621"/>
        <w:gridCol w:w="146"/>
        <w:gridCol w:w="393"/>
        <w:gridCol w:w="1261"/>
        <w:gridCol w:w="272"/>
        <w:gridCol w:w="272"/>
        <w:gridCol w:w="393"/>
        <w:gridCol w:w="1261"/>
        <w:gridCol w:w="191"/>
      </w:tblGrid>
      <w:tr>
        <w:trPr/>
        <w:tc>
          <w:tcPr>
            <w:tcW w:w="4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52"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 except per share data)</w:t>
            </w:r>
          </w:p>
        </w:tc>
        <w:tc>
          <w:tcPr>
            <w:tcW w:w="191" w:type="dxa"/>
            <w:tcBorders/>
            <w:shd w:fill="auto" w:val="cle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52"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Summary of Operations</w:t>
            </w:r>
          </w:p>
        </w:tc>
        <w:tc>
          <w:tcPr>
            <w:tcW w:w="146" w:type="dxa"/>
            <w:tcBorders/>
            <w:shd w:fill="auto" w:val="clear"/>
            <w:vAlign w:val="center"/>
          </w:tcPr>
          <w:p>
            <w:pPr>
              <w:pStyle w:val="TableContents"/>
              <w:spacing w:before="0" w:after="0"/>
              <w:ind w:left="0" w:right="0" w:hanging="0"/>
              <w:jc w:val="left"/>
              <w:rPr/>
            </w:pPr>
            <w:r>
              <w:rPr/>
              <w:t> </w:t>
            </w:r>
          </w:p>
        </w:tc>
        <w:tc>
          <w:tcPr>
            <w:tcW w:w="1654" w:type="dxa"/>
            <w:gridSpan w:val="2"/>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1654"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Interest Income - Before 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21,682</w:t>
            </w:r>
          </w:p>
        </w:tc>
        <w:tc>
          <w:tcPr>
            <w:tcW w:w="272"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20,966</w:t>
            </w:r>
          </w:p>
        </w:tc>
        <w:tc>
          <w:tcPr>
            <w:tcW w:w="1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Interest Income After 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20,865</w:t>
            </w:r>
          </w:p>
        </w:tc>
        <w:tc>
          <w:tcPr>
            <w:tcW w:w="272"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20,473</w:t>
            </w:r>
          </w:p>
        </w:tc>
        <w:tc>
          <w:tcPr>
            <w:tcW w:w="1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Noninterest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4,177</w:t>
            </w:r>
          </w:p>
        </w:tc>
        <w:tc>
          <w:tcPr>
            <w:tcW w:w="272"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4,483</w:t>
            </w:r>
          </w:p>
        </w:tc>
        <w:tc>
          <w:tcPr>
            <w:tcW w:w="1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Noninterest Expense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16,897</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14,495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8,145</w:t>
            </w:r>
          </w:p>
        </w:tc>
        <w:tc>
          <w:tcPr>
            <w:tcW w:w="272"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12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10,461</w:t>
            </w:r>
          </w:p>
        </w:tc>
        <w:tc>
          <w:tcPr>
            <w:tcW w:w="1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1,602</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6,543</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8,439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0.48</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pro-forma information includes adjustments for interest income on loans, amortization of intangibles arising from the transactions, interest expense on deposits acquired, premises expense for the branches acquired and the related income tax effects. The pro-forma information for the three months ended March 31, 2023</w:t>
      </w:r>
      <w:r>
        <w:rPr>
          <w:rFonts w:ascii="Times New Roman" w:hAnsi="Times New Roman"/>
          <w:sz w:val="20"/>
        </w:rPr>
        <w:t xml:space="preserve"> </w:t>
      </w:r>
      <w:r>
        <w:rPr>
          <w:rFonts w:ascii="Times New Roman;serif" w:hAnsi="Times New Roman;serif"/>
          <w:b w:val="false"/>
          <w:sz w:val="20"/>
        </w:rPr>
        <w:t>includes approximately $366</w:t>
      </w:r>
      <w:r>
        <w:rPr>
          <w:rFonts w:ascii="Times New Roman" w:hAnsi="Times New Roman"/>
          <w:sz w:val="20"/>
        </w:rPr>
        <w:t xml:space="preserve"> </w:t>
      </w:r>
      <w:r>
        <w:rPr>
          <w:rFonts w:ascii="Times New Roman;serif" w:hAnsi="Times New Roman;serif"/>
          <w:b w:val="false"/>
          <w:sz w:val="20"/>
        </w:rPr>
        <w:t>thousand, net of tax, of operating revenue from Peoples Federal Savings and Loan Bank since January 1, 2023.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pro-forma financial information is presented for informational purposes only and is not indicative of the results of operations that actually would have been achieved had the acquisitions been consummated as of that time, nor is it intended to be a projection of future results.</w:t>
      </w:r>
    </w:p>
    <w:p>
      <w:pPr>
        <w:pStyle w:val="TextBody"/>
        <w:spacing w:before="200" w:after="0"/>
        <w:jc w:val="both"/>
        <w:rPr>
          <w:rFonts w:ascii="Times New Roman" w:hAnsi="Times New Roman"/>
          <w:sz w:val="20"/>
        </w:rPr>
      </w:pPr>
      <w:r>
        <w:rPr>
          <w:rFonts w:ascii="Times New Roman;serif" w:hAnsi="Times New Roman;serif"/>
          <w:b w:val="false"/>
          <w:sz w:val="20"/>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w:t>
      </w:r>
      <w:r>
        <w:rPr>
          <w:rFonts w:ascii="Times New Roman" w:hAnsi="Times New Roman"/>
          <w:sz w:val="20"/>
        </w:rPr>
        <w:t xml:space="preserve"> </w:t>
      </w:r>
      <w:r>
        <w:rPr>
          <w:rFonts w:ascii="Times New Roman;serif" w:hAnsi="Times New Roman;serif"/>
          <w:b w:val="false"/>
          <w:sz w:val="20"/>
        </w:rPr>
        <w:t>shares of FMAO common stock and $8,465.00</w:t>
      </w:r>
      <w:r>
        <w:rPr>
          <w:rFonts w:ascii="Times New Roman" w:hAnsi="Times New Roman"/>
          <w:sz w:val="20"/>
        </w:rPr>
        <w:t xml:space="preserve"> </w:t>
      </w:r>
      <w:r>
        <w:rPr>
          <w:rFonts w:ascii="Times New Roman;serif" w:hAnsi="Times New Roman;serif"/>
          <w:b w:val="false"/>
          <w:sz w:val="20"/>
        </w:rPr>
        <w:t>in cash for each share. Limberlost had 1,000</w:t>
      </w:r>
      <w:r>
        <w:rPr>
          <w:rFonts w:ascii="Times New Roman" w:hAnsi="Times New Roman"/>
          <w:sz w:val="20"/>
        </w:rPr>
        <w:t xml:space="preserve"> </w:t>
      </w:r>
      <w:r>
        <w:rPr>
          <w:rFonts w:ascii="Times New Roman;serif" w:hAnsi="Times New Roman;serif"/>
          <w:b w:val="false"/>
          <w:sz w:val="20"/>
        </w:rPr>
        <w:t>shares outstanding on January 1, 2019. The share price of Farmers &amp; Merchants Bancorp, Inc. (FMAO) stock on January 1, 2019 was $38.49. Total consideration for the acquisition was approximately $78.9</w:t>
      </w:r>
      <w:r>
        <w:rPr>
          <w:rFonts w:ascii="Times New Roman" w:hAnsi="Times New Roman"/>
          <w:sz w:val="20"/>
        </w:rPr>
        <w:t xml:space="preserve"> </w:t>
      </w:r>
      <w:r>
        <w:rPr>
          <w:rFonts w:ascii="Times New Roman;serif" w:hAnsi="Times New Roman;serif"/>
          <w:b w:val="false"/>
          <w:sz w:val="20"/>
        </w:rPr>
        <w:t>million consisting of $8.5</w:t>
      </w:r>
      <w:r>
        <w:rPr>
          <w:rFonts w:ascii="Times New Roman" w:hAnsi="Times New Roman"/>
          <w:sz w:val="20"/>
        </w:rPr>
        <w:t xml:space="preserve"> </w:t>
      </w:r>
      <w:r>
        <w:rPr>
          <w:rFonts w:ascii="Times New Roman;serif" w:hAnsi="Times New Roman;serif"/>
          <w:b w:val="false"/>
          <w:sz w:val="20"/>
        </w:rPr>
        <w:t>million in cash and $70.4</w:t>
      </w:r>
      <w:r>
        <w:rPr>
          <w:rFonts w:ascii="Times New Roman" w:hAnsi="Times New Roman"/>
          <w:sz w:val="20"/>
        </w:rPr>
        <w:t xml:space="preserve"> </w:t>
      </w:r>
      <w:r>
        <w:rPr>
          <w:rFonts w:ascii="Times New Roman;serif" w:hAnsi="Times New Roman;serif"/>
          <w:b w:val="false"/>
          <w:sz w:val="20"/>
        </w:rPr>
        <w:t>million in stock. As a result of the acquisition, the Company has had an opportunity to increase its deposit base and reduce transaction costs. The Company has also reduced costs through economies of scale.</w:t>
      </w:r>
    </w:p>
    <w:p>
      <w:pPr>
        <w:pStyle w:val="TextBody"/>
        <w:spacing w:before="200" w:after="0"/>
        <w:jc w:val="both"/>
        <w:rPr>
          <w:rFonts w:ascii="Times New Roman" w:hAnsi="Times New Roman"/>
          <w:sz w:val="20"/>
        </w:rPr>
      </w:pPr>
      <w:r>
        <w:rPr>
          <w:rFonts w:ascii="Times New Roman;serif" w:hAnsi="Times New Roman;serif"/>
          <w:b w:val="false"/>
          <w:sz w:val="20"/>
        </w:rPr>
        <w:t>Under the acquisition method of accounting, the total purchase was allocated to net tangible and intangible assets based on their current estimated fair values on the date of acquisition. Of the total purchase price of $78.9</w:t>
      </w:r>
      <w:r>
        <w:rPr>
          <w:rFonts w:ascii="Times New Roman" w:hAnsi="Times New Roman"/>
          <w:sz w:val="20"/>
        </w:rPr>
        <w:t xml:space="preserve"> </w:t>
      </w:r>
      <w:r>
        <w:rPr>
          <w:rFonts w:ascii="Times New Roman;serif" w:hAnsi="Times New Roman;serif"/>
          <w:b w:val="false"/>
          <w:sz w:val="20"/>
        </w:rPr>
        <w:t>million, $3.9</w:t>
      </w:r>
      <w:r>
        <w:rPr>
          <w:rFonts w:ascii="Times New Roman" w:hAnsi="Times New Roman"/>
          <w:sz w:val="20"/>
        </w:rPr>
        <w:t xml:space="preserve"> </w:t>
      </w:r>
      <w:r>
        <w:rPr>
          <w:rFonts w:ascii="Times New Roman;serif" w:hAnsi="Times New Roman;serif"/>
          <w:b w:val="false"/>
          <w:sz w:val="20"/>
        </w:rPr>
        <w:t>million has been allocated to core deposit intangible included in other assets and is being amortized over seven years</w:t>
      </w:r>
      <w:r>
        <w:rPr>
          <w:rFonts w:ascii="Times New Roman" w:hAnsi="Times New Roman"/>
          <w:sz w:val="20"/>
        </w:rPr>
        <w:t xml:space="preserve"> </w:t>
      </w:r>
      <w:r>
        <w:rPr>
          <w:rFonts w:ascii="Times New Roman;serif" w:hAnsi="Times New Roman;serif"/>
          <w:b w:val="false"/>
          <w:sz w:val="20"/>
        </w:rPr>
        <w:t>on a straight line basis. Goodwill of $43.3</w:t>
      </w:r>
      <w:r>
        <w:rPr>
          <w:rFonts w:ascii="Times New Roman" w:hAnsi="Times New Roman"/>
          <w:sz w:val="20"/>
        </w:rPr>
        <w:t xml:space="preserve"> </w:t>
      </w:r>
      <w:r>
        <w:rPr>
          <w:rFonts w:ascii="Times New Roman;serif" w:hAnsi="Times New Roman;serif"/>
          <w:b w:val="false"/>
          <w:sz w:val="20"/>
        </w:rPr>
        <w:t>million resulting from the acquisition consists largely of the synergies and economies of scale expected from combining the operations of the Company and Bank of Geneva. Of that total amount, none of the purchase price is deductible for tax purposes.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accretable yield, or income expected to be collected, are as follows:</w:t>
      </w:r>
    </w:p>
    <w:p>
      <w:pPr>
        <w:pStyle w:val="TextBody"/>
        <w:spacing w:before="0" w:after="0"/>
        <w:jc w:val="both"/>
        <w:rPr/>
      </w:pPr>
      <w:r>
        <w:rPr/>
        <w:t> </w:t>
      </w:r>
    </w:p>
    <w:tbl>
      <w:tblPr>
        <w:tblW w:w="8385" w:type="dxa"/>
        <w:jc w:val="left"/>
        <w:tblInd w:w="0" w:type="dxa"/>
        <w:tblCellMar>
          <w:top w:w="28" w:type="dxa"/>
          <w:left w:w="28" w:type="dxa"/>
          <w:bottom w:w="28" w:type="dxa"/>
          <w:right w:w="28" w:type="dxa"/>
        </w:tblCellMar>
      </w:tblPr>
      <w:tblGrid>
        <w:gridCol w:w="3886"/>
        <w:gridCol w:w="146"/>
        <w:gridCol w:w="552"/>
        <w:gridCol w:w="1263"/>
        <w:gridCol w:w="166"/>
        <w:gridCol w:w="146"/>
        <w:gridCol w:w="489"/>
        <w:gridCol w:w="1326"/>
        <w:gridCol w:w="41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from nonaccretable difference</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pPr>
            <w:r>
              <w:rPr/>
              <w:t> </w:t>
            </w:r>
          </w:p>
        </w:tc>
        <w:tc>
          <w:tcPr>
            <w:tcW w:w="12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Disposals</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mentioned previously, the acquisition of Bank of Geneva resulted in the recognition of $3.9</w:t>
      </w:r>
      <w:r>
        <w:rPr>
          <w:rFonts w:ascii="Times New Roman" w:hAnsi="Times New Roman"/>
          <w:sz w:val="20"/>
        </w:rPr>
        <w:t xml:space="preserve"> </w:t>
      </w:r>
      <w:r>
        <w:rPr>
          <w:rFonts w:ascii="Times New Roman;serif" w:hAnsi="Times New Roman;serif"/>
          <w:b w:val="false"/>
          <w:sz w:val="20"/>
        </w:rPr>
        <w:t>million in core deposit intangible assets, the acquisition of Ossian State Bank resulted in the recognition of $980.2</w:t>
      </w:r>
      <w:r>
        <w:rPr>
          <w:rFonts w:ascii="Times New Roman" w:hAnsi="Times New Roman"/>
          <w:sz w:val="20"/>
        </w:rPr>
        <w:t xml:space="preserve"> </w:t>
      </w:r>
      <w:r>
        <w:rPr>
          <w:rFonts w:ascii="Times New Roman;serif" w:hAnsi="Times New Roman;serif"/>
          <w:b w:val="false"/>
          <w:sz w:val="20"/>
        </w:rPr>
        <w:t>thousand in core deposit intangible assets, the acquisition of Perpetual Federal Savings Bank resulted in the recognition of $668.0</w:t>
      </w:r>
      <w:r>
        <w:rPr>
          <w:rFonts w:ascii="Times New Roman" w:hAnsi="Times New Roman"/>
          <w:sz w:val="20"/>
        </w:rPr>
        <w:t xml:space="preserve"> </w:t>
      </w:r>
      <w:r>
        <w:rPr>
          <w:rFonts w:ascii="Times New Roman;serif" w:hAnsi="Times New Roman;serif"/>
          <w:b w:val="false"/>
          <w:sz w:val="20"/>
        </w:rPr>
        <w:t>thousand in core deposit intangible assets and the acquisition of Peoples Federal Savings and Loan resulted in the recognition of $6.0</w:t>
      </w:r>
      <w:r>
        <w:rPr>
          <w:rFonts w:ascii="Times New Roman" w:hAnsi="Times New Roman"/>
          <w:sz w:val="20"/>
        </w:rPr>
        <w:t xml:space="preserve"> </w:t>
      </w:r>
      <w:r>
        <w:rPr>
          <w:rFonts w:ascii="Times New Roman;serif" w:hAnsi="Times New Roman;serif"/>
          <w:b w:val="false"/>
          <w:sz w:val="20"/>
        </w:rPr>
        <w:t>million in core deposit intangible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assets which are all being amortized over its remaining economic useful life of 7</w:t>
      </w:r>
      <w:r>
        <w:rPr>
          <w:rFonts w:ascii="Times New Roman" w:hAnsi="Times New Roman"/>
          <w:sz w:val="20"/>
        </w:rPr>
        <w:t xml:space="preserve"> </w:t>
      </w:r>
      <w:r>
        <w:rPr>
          <w:rFonts w:ascii="Times New Roman;serif" w:hAnsi="Times New Roman;serif"/>
          <w:b w:val="false"/>
          <w:sz w:val="20"/>
        </w:rPr>
        <w:t>years on a straight line basis. Core deposit intangible is included in other assets on the Condensed Consolidated Balance Sheets.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amortization expense of the core deposit intangible for the three months ended March 31, 2022</w:t>
      </w:r>
      <w:r>
        <w:rPr>
          <w:rFonts w:ascii="Times New Roman" w:hAnsi="Times New Roman"/>
          <w:sz w:val="20"/>
        </w:rPr>
        <w:t xml:space="preserve"> </w:t>
      </w:r>
      <w:r>
        <w:rPr>
          <w:rFonts w:ascii="Times New Roman;serif" w:hAnsi="Times New Roman;serif"/>
          <w:b w:val="false"/>
          <w:sz w:val="20"/>
        </w:rPr>
        <w:t>was $199</w:t>
      </w:r>
      <w:r>
        <w:rPr>
          <w:rFonts w:ascii="Times New Roman" w:hAnsi="Times New Roman"/>
          <w:sz w:val="20"/>
        </w:rPr>
        <w:t xml:space="preserve"> </w:t>
      </w:r>
      <w:r>
        <w:rPr>
          <w:rFonts w:ascii="Times New Roman;serif" w:hAnsi="Times New Roman;serif"/>
          <w:b w:val="false"/>
          <w:sz w:val="20"/>
        </w:rPr>
        <w:t>thousand. Of the approximately $1.7</w:t>
      </w:r>
      <w:r>
        <w:rPr>
          <w:rFonts w:ascii="Times New Roman" w:hAnsi="Times New Roman"/>
          <w:sz w:val="20"/>
        </w:rPr>
        <w:t xml:space="preserve"> </w:t>
      </w:r>
      <w:r>
        <w:rPr>
          <w:rFonts w:ascii="Times New Roman;serif" w:hAnsi="Times New Roman;serif"/>
          <w:b w:val="false"/>
          <w:sz w:val="20"/>
        </w:rPr>
        <w:t>million to be expensed in 2023, $414</w:t>
      </w:r>
      <w:r>
        <w:rPr>
          <w:rFonts w:ascii="Times New Roman" w:hAnsi="Times New Roman"/>
          <w:sz w:val="20"/>
        </w:rPr>
        <w:t xml:space="preserve"> </w:t>
      </w:r>
      <w:r>
        <w:rPr>
          <w:rFonts w:ascii="Times New Roman;serif" w:hAnsi="Times New Roman;serif"/>
          <w:b w:val="false"/>
          <w:sz w:val="20"/>
        </w:rPr>
        <w:t>thousand has been expensed for the three months ended March 31, 2023. Annual amortization of core deposit intangible assets is as follows:</w:t>
      </w:r>
    </w:p>
    <w:p>
      <w:pPr>
        <w:pStyle w:val="TextBody"/>
        <w:spacing w:before="0" w:after="0"/>
        <w:jc w:val="both"/>
        <w:rPr/>
      </w:pPr>
      <w:r>
        <w:rPr/>
        <w:t> </w:t>
      </w:r>
    </w:p>
    <w:tbl>
      <w:tblPr>
        <w:tblW w:w="6314" w:type="dxa"/>
        <w:jc w:val="left"/>
        <w:tblInd w:w="0" w:type="dxa"/>
        <w:tblCellMar>
          <w:top w:w="28" w:type="dxa"/>
          <w:left w:w="28" w:type="dxa"/>
          <w:bottom w:w="28" w:type="dxa"/>
          <w:right w:w="28" w:type="dxa"/>
        </w:tblCellMar>
      </w:tblPr>
      <w:tblGrid>
        <w:gridCol w:w="946"/>
        <w:gridCol w:w="146"/>
        <w:gridCol w:w="211"/>
        <w:gridCol w:w="571"/>
        <w:gridCol w:w="146"/>
        <w:gridCol w:w="146"/>
        <w:gridCol w:w="215"/>
        <w:gridCol w:w="431"/>
        <w:gridCol w:w="146"/>
        <w:gridCol w:w="146"/>
        <w:gridCol w:w="290"/>
        <w:gridCol w:w="581"/>
        <w:gridCol w:w="146"/>
        <w:gridCol w:w="146"/>
        <w:gridCol w:w="211"/>
        <w:gridCol w:w="571"/>
        <w:gridCol w:w="146"/>
        <w:gridCol w:w="146"/>
        <w:gridCol w:w="211"/>
        <w:gridCol w:w="571"/>
        <w:gridCol w:w="191"/>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1" w:type="dxa"/>
            <w:gridSpan w:val="18"/>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Geneva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Ossian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Perpetual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Peoples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1,656</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1,656</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1,656</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November 16, 2020, FM Investment Services, a division of the Bank, purchased the assets and clients of Adams County Financial Resources (ACFR), a full-service registered investment advisory firm located in Geneva, Indiana.</w:t>
      </w:r>
    </w:p>
    <w:p>
      <w:pPr>
        <w:pStyle w:val="TextBody"/>
        <w:spacing w:before="200" w:after="0"/>
        <w:jc w:val="both"/>
        <w:rPr>
          <w:rFonts w:ascii="Times New Roman" w:hAnsi="Times New Roman"/>
          <w:sz w:val="20"/>
        </w:rPr>
      </w:pPr>
      <w:r>
        <w:rPr>
          <w:rFonts w:ascii="Times New Roman;serif" w:hAnsi="Times New Roman;serif"/>
          <w:b w:val="false"/>
          <w:sz w:val="20"/>
        </w:rPr>
        <w:t>ACFR was founded in 1994 by R. Lee Flueckiger and provides clients and their families with financial confidence through personalized investment planning and services. As of November 30, 2020, ACFR had approximately $83</w:t>
      </w:r>
      <w:r>
        <w:rPr>
          <w:rFonts w:ascii="Times New Roman" w:hAnsi="Times New Roman"/>
          <w:sz w:val="20"/>
        </w:rPr>
        <w:t xml:space="preserve"> </w:t>
      </w:r>
      <w:r>
        <w:rPr>
          <w:rFonts w:ascii="Times New Roman;serif" w:hAnsi="Times New Roman;serif"/>
          <w:b w:val="false"/>
          <w:sz w:val="20"/>
        </w:rPr>
        <w:t>million of assets under management and over 450</w:t>
      </w:r>
      <w:r>
        <w:rPr>
          <w:rFonts w:ascii="Times New Roman" w:hAnsi="Times New Roman"/>
          <w:sz w:val="20"/>
        </w:rPr>
        <w:t xml:space="preserve"> </w:t>
      </w:r>
      <w:r>
        <w:rPr>
          <w:rFonts w:ascii="Times New Roman;serif" w:hAnsi="Times New Roman;serif"/>
          <w:b w:val="false"/>
          <w:sz w:val="20"/>
        </w:rPr>
        <w:t>clients.</w:t>
      </w:r>
    </w:p>
    <w:p>
      <w:pPr>
        <w:pStyle w:val="TextBody"/>
        <w:spacing w:before="200" w:after="0"/>
        <w:jc w:val="both"/>
        <w:rPr>
          <w:rFonts w:ascii="Times New Roman" w:hAnsi="Times New Roman"/>
          <w:sz w:val="20"/>
        </w:rPr>
      </w:pPr>
      <w:r>
        <w:rPr>
          <w:rFonts w:ascii="Times New Roman;serif" w:hAnsi="Times New Roman;serif"/>
          <w:b w:val="false"/>
          <w:sz w:val="20"/>
        </w:rPr>
        <w:t>Total consideration for the purchase was $825</w:t>
      </w:r>
      <w:r>
        <w:rPr>
          <w:rFonts w:ascii="Times New Roman" w:hAnsi="Times New Roman"/>
          <w:sz w:val="20"/>
        </w:rPr>
        <w:t xml:space="preserve"> </w:t>
      </w:r>
      <w:r>
        <w:rPr>
          <w:rFonts w:ascii="Times New Roman;serif" w:hAnsi="Times New Roman;serif"/>
          <w:b w:val="false"/>
          <w:sz w:val="20"/>
        </w:rPr>
        <w:t>thousand which consisted of 40,049</w:t>
      </w:r>
      <w:r>
        <w:rPr>
          <w:rFonts w:ascii="Times New Roman" w:hAnsi="Times New Roman"/>
          <w:sz w:val="20"/>
        </w:rPr>
        <w:t xml:space="preserve"> </w:t>
      </w:r>
      <w:r>
        <w:rPr>
          <w:rFonts w:ascii="Times New Roman;serif" w:hAnsi="Times New Roman;serif"/>
          <w:b w:val="false"/>
          <w:sz w:val="20"/>
        </w:rPr>
        <w:t>shares of stock. Under the acquisition method of accounting, the total purchase is allocated to net tangible and intangible assets based on their current estimated fair values on the date of acquisition. Of the total purchase price of $825</w:t>
      </w:r>
      <w:r>
        <w:rPr>
          <w:rFonts w:ascii="Times New Roman" w:hAnsi="Times New Roman"/>
          <w:sz w:val="20"/>
        </w:rPr>
        <w:t xml:space="preserve"> </w:t>
      </w:r>
      <w:r>
        <w:rPr>
          <w:rFonts w:ascii="Times New Roman;serif" w:hAnsi="Times New Roman;serif"/>
          <w:b w:val="false"/>
          <w:sz w:val="20"/>
        </w:rPr>
        <w:t>thousand, $800</w:t>
      </w:r>
      <w:r>
        <w:rPr>
          <w:rFonts w:ascii="Times New Roman" w:hAnsi="Times New Roman"/>
          <w:sz w:val="20"/>
        </w:rPr>
        <w:t xml:space="preserve"> </w:t>
      </w:r>
      <w:r>
        <w:rPr>
          <w:rFonts w:ascii="Times New Roman;serif" w:hAnsi="Times New Roman;serif"/>
          <w:b w:val="false"/>
          <w:sz w:val="20"/>
        </w:rPr>
        <w:t>thousand has been allocated to customer list intangible, included in other assets, to be amortized over 6.5</w:t>
      </w:r>
      <w:r>
        <w:rPr>
          <w:rFonts w:ascii="Times New Roman" w:hAnsi="Times New Roman"/>
          <w:sz w:val="20"/>
        </w:rPr>
        <w:t xml:space="preserve"> </w:t>
      </w:r>
      <w:r>
        <w:rPr>
          <w:rFonts w:ascii="Times New Roman;serif" w:hAnsi="Times New Roman;serif"/>
          <w:b w:val="false"/>
          <w:sz w:val="20"/>
        </w:rPr>
        <w:t>years on a straight line basis.</w:t>
      </w:r>
    </w:p>
    <w:p>
      <w:pPr>
        <w:pStyle w:val="TextBody"/>
        <w:spacing w:before="200" w:after="0"/>
        <w:jc w:val="both"/>
        <w:rPr>
          <w:rFonts w:ascii="Times New Roman" w:hAnsi="Times New Roman"/>
          <w:sz w:val="20"/>
        </w:rPr>
      </w:pPr>
      <w:r>
        <w:rPr>
          <w:rFonts w:ascii="Times New Roman;serif" w:hAnsi="Times New Roman;serif"/>
          <w:b w:val="false"/>
          <w:sz w:val="20"/>
        </w:rPr>
        <w:t>The amortization expense of the customer list intangible for the three months ended March 31, 2022</w:t>
      </w:r>
      <w:r>
        <w:rPr>
          <w:rFonts w:ascii="Times New Roman" w:hAnsi="Times New Roman"/>
          <w:sz w:val="20"/>
        </w:rPr>
        <w:t xml:space="preserve"> </w:t>
      </w:r>
      <w:r>
        <w:rPr>
          <w:rFonts w:ascii="Times New Roman;serif" w:hAnsi="Times New Roman;serif"/>
          <w:b w:val="false"/>
          <w:sz w:val="20"/>
        </w:rPr>
        <w:t>was $31</w:t>
      </w:r>
      <w:r>
        <w:rPr>
          <w:rFonts w:ascii="Times New Roman" w:hAnsi="Times New Roman"/>
          <w:sz w:val="20"/>
        </w:rPr>
        <w:t xml:space="preserve"> </w:t>
      </w:r>
      <w:r>
        <w:rPr>
          <w:rFonts w:ascii="Times New Roman;serif" w:hAnsi="Times New Roman;serif"/>
          <w:b w:val="false"/>
          <w:sz w:val="20"/>
        </w:rPr>
        <w:t>thousand. Of the $123</w:t>
      </w:r>
      <w:r>
        <w:rPr>
          <w:rFonts w:ascii="Times New Roman" w:hAnsi="Times New Roman"/>
          <w:sz w:val="20"/>
        </w:rPr>
        <w:t xml:space="preserve"> </w:t>
      </w:r>
      <w:r>
        <w:rPr>
          <w:rFonts w:ascii="Times New Roman;serif" w:hAnsi="Times New Roman;serif"/>
          <w:b w:val="false"/>
          <w:sz w:val="20"/>
        </w:rPr>
        <w:t>thousand to be expensed in 2023, $31</w:t>
      </w:r>
      <w:r>
        <w:rPr>
          <w:rFonts w:ascii="Times New Roman" w:hAnsi="Times New Roman"/>
          <w:sz w:val="20"/>
        </w:rPr>
        <w:t xml:space="preserve"> </w:t>
      </w:r>
      <w:r>
        <w:rPr>
          <w:rFonts w:ascii="Times New Roman;serif" w:hAnsi="Times New Roman;serif"/>
          <w:b w:val="false"/>
          <w:sz w:val="20"/>
        </w:rPr>
        <w:t xml:space="preserve">thousand has been expensed for the three months ended March 31, 2023. Annual amortization expense of customer list intangible is as follows: </w:t>
      </w:r>
    </w:p>
    <w:p>
      <w:pPr>
        <w:pStyle w:val="TextBody"/>
        <w:spacing w:before="0" w:after="0"/>
        <w:jc w:val="both"/>
        <w:rPr/>
      </w:pPr>
      <w:r>
        <w:rPr/>
        <w:t> </w:t>
      </w:r>
    </w:p>
    <w:tbl>
      <w:tblPr>
        <w:tblW w:w="4283" w:type="dxa"/>
        <w:jc w:val="left"/>
        <w:tblInd w:w="0" w:type="dxa"/>
        <w:tblCellMar>
          <w:top w:w="28" w:type="dxa"/>
          <w:left w:w="28" w:type="dxa"/>
          <w:bottom w:w="28" w:type="dxa"/>
          <w:right w:w="28" w:type="dxa"/>
        </w:tblCellMar>
      </w:tblPr>
      <w:tblGrid>
        <w:gridCol w:w="946"/>
        <w:gridCol w:w="146"/>
        <w:gridCol w:w="998"/>
        <w:gridCol w:w="2002"/>
        <w:gridCol w:w="191"/>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00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Adams County Financial Resources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left"/>
              <w:rPr/>
            </w:pPr>
            <w:r>
              <w:rPr/>
              <w:t> </w:t>
            </w:r>
          </w:p>
        </w:tc>
        <w:tc>
          <w:tcPr>
            <w:tcW w:w="2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left"/>
              <w:rPr/>
            </w:pPr>
            <w:r>
              <w:rPr/>
              <w:t> </w:t>
            </w:r>
          </w:p>
        </w:tc>
        <w:tc>
          <w:tcPr>
            <w:tcW w:w="2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left"/>
              <w:rPr/>
            </w:pPr>
            <w:r>
              <w:rPr/>
              <w:t> </w:t>
            </w:r>
          </w:p>
        </w:tc>
        <w:tc>
          <w:tcPr>
            <w:tcW w:w="2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left"/>
              <w:rPr/>
            </w:pPr>
            <w:r>
              <w:rPr/>
              <w:t> </w:t>
            </w:r>
          </w:p>
        </w:tc>
        <w:tc>
          <w:tcPr>
            <w:tcW w:w="2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NOTE 3 SECURITIES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Mortgage-backed securities, as shown in the following tables, are all government sponsored enterprises. The amortized cost and fair value of securities, with gross unrealized gains and losses at March 31, 2023 and December 31, 2022, are as follows:</w:t>
      </w:r>
    </w:p>
    <w:p>
      <w:pPr>
        <w:pStyle w:val="TextBody"/>
        <w:spacing w:before="0" w:after="0"/>
        <w:jc w:val="both"/>
        <w:rPr/>
      </w:pPr>
      <w:r>
        <w:rPr/>
        <w:t> </w:t>
      </w:r>
    </w:p>
    <w:tbl>
      <w:tblPr>
        <w:tblW w:w="9208" w:type="dxa"/>
        <w:jc w:val="left"/>
        <w:tblInd w:w="0" w:type="dxa"/>
        <w:tblCellMar>
          <w:top w:w="28" w:type="dxa"/>
          <w:left w:w="28" w:type="dxa"/>
          <w:bottom w:w="28" w:type="dxa"/>
          <w:right w:w="28" w:type="dxa"/>
        </w:tblCellMar>
      </w:tblPr>
      <w:tblGrid>
        <w:gridCol w:w="2821"/>
        <w:gridCol w:w="146"/>
        <w:gridCol w:w="211"/>
        <w:gridCol w:w="781"/>
        <w:gridCol w:w="146"/>
        <w:gridCol w:w="146"/>
        <w:gridCol w:w="494"/>
        <w:gridCol w:w="991"/>
        <w:gridCol w:w="146"/>
        <w:gridCol w:w="146"/>
        <w:gridCol w:w="329"/>
        <w:gridCol w:w="1156"/>
        <w:gridCol w:w="166"/>
        <w:gridCol w:w="146"/>
        <w:gridCol w:w="211"/>
        <w:gridCol w:w="781"/>
        <w:gridCol w:w="391"/>
      </w:tblGrid>
      <w:tr>
        <w:trPr/>
        <w:tc>
          <w:tcPr>
            <w:tcW w:w="2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5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5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391" w:type="dxa"/>
            <w:tcBorders/>
            <w:shd w:fill="auto" w:val="cle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87,512</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130,108</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86,320</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State and local governments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69,035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412,451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372,975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tbl>
      <w:tblPr>
        <w:tblW w:w="9208" w:type="dxa"/>
        <w:jc w:val="left"/>
        <w:tblInd w:w="0" w:type="dxa"/>
        <w:tblCellMar>
          <w:top w:w="28" w:type="dxa"/>
          <w:left w:w="28" w:type="dxa"/>
          <w:bottom w:w="28" w:type="dxa"/>
          <w:right w:w="28" w:type="dxa"/>
        </w:tblCellMar>
      </w:tblPr>
      <w:tblGrid>
        <w:gridCol w:w="2821"/>
        <w:gridCol w:w="146"/>
        <w:gridCol w:w="211"/>
        <w:gridCol w:w="781"/>
        <w:gridCol w:w="146"/>
        <w:gridCol w:w="146"/>
        <w:gridCol w:w="593"/>
        <w:gridCol w:w="892"/>
        <w:gridCol w:w="146"/>
        <w:gridCol w:w="146"/>
        <w:gridCol w:w="329"/>
        <w:gridCol w:w="1156"/>
        <w:gridCol w:w="166"/>
        <w:gridCol w:w="146"/>
        <w:gridCol w:w="211"/>
        <w:gridCol w:w="781"/>
        <w:gridCol w:w="391"/>
      </w:tblGrid>
      <w:tr>
        <w:trPr/>
        <w:tc>
          <w:tcPr>
            <w:tcW w:w="2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5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5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391" w:type="dxa"/>
            <w:tcBorders/>
            <w:shd w:fill="auto" w:val="cle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94,678</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156,817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139,767</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86,927</w:t>
            </w:r>
          </w:p>
        </w:tc>
        <w:tc>
          <w:tcPr>
            <w:tcW w:w="391" w:type="dxa"/>
            <w:tcBorders/>
            <w:shd w:fill="auto" w:val="clear"/>
            <w:vAlign w:val="center"/>
          </w:tcPr>
          <w:p>
            <w:pPr>
              <w:pStyle w:val="TableContents"/>
              <w:spacing w:before="0" w:after="0"/>
              <w:ind w:left="0" w:right="0" w:firstLine="200"/>
              <w:jc w:val="left"/>
              <w:rPr/>
            </w:pPr>
            <w:r>
              <w:rPr/>
              <w:t> </w:t>
            </w:r>
          </w:p>
        </w:tc>
      </w:tr>
      <w:tr>
        <w:trPr/>
        <w:tc>
          <w:tcPr>
            <w:tcW w:w="28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State and local governments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69,417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439,186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390,789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r>
        <w:rPr>
          <w:rFonts w:ascii="Times New Roman" w:hAnsi="Times New Roman"/>
          <w:sz w:val="20"/>
        </w:rPr>
        <w:t xml:space="preserve">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The fair value of the security has significantly declined from book value. </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downgrade has occurred that lowered the credit rating to below investment grade (below Baa3 by Moody and BBB – by Standard and Poors.)</w:t>
      </w:r>
    </w:p>
    <w:p>
      <w:pPr>
        <w:pStyle w:val="TextBody"/>
        <w:spacing w:before="0" w:after="0"/>
        <w:jc w:val="both"/>
        <w:rPr>
          <w:rFonts w:ascii="Times New Roman" w:hAnsi="Times New Roman"/>
          <w:b w:val="false"/>
          <w:sz w:val="20"/>
        </w:rPr>
      </w:pPr>
      <w:r>
        <w:rPr>
          <w:rFonts w:ascii="Times New Roman" w:hAnsi="Times New Roman"/>
          <w:b w:val="false"/>
          <w:sz w:val="20"/>
        </w:rPr>
        <w:t>3.</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Dividends have been reduced or eliminated or scheduled interest payments have not been made.</w:t>
      </w:r>
    </w:p>
    <w:p>
      <w:pPr>
        <w:pStyle w:val="TextBody"/>
        <w:spacing w:before="0" w:after="0"/>
        <w:jc w:val="both"/>
        <w:rPr>
          <w:rFonts w:ascii="Times New Roman" w:hAnsi="Times New Roman"/>
          <w:b w:val="false"/>
          <w:sz w:val="20"/>
        </w:rPr>
      </w:pPr>
      <w:r>
        <w:rPr>
          <w:rFonts w:ascii="Times New Roman" w:hAnsi="Times New Roman"/>
          <w:b w:val="false"/>
          <w:sz w:val="20"/>
        </w:rPr>
        <w:t>4.</w:t>
      </w:r>
    </w:p>
    <w:p>
      <w:pPr>
        <w:pStyle w:val="TextBody"/>
        <w:spacing w:before="0" w:after="0"/>
        <w:jc w:val="both"/>
        <w:rPr/>
      </w:pPr>
      <w:r>
        <w:rPr>
          <w:rFonts w:ascii="Times New Roman;serif" w:hAnsi="Times New Roman;serif"/>
          <w:b w:val="false"/>
          <w:sz w:val="20"/>
        </w:rPr>
        <w:t>The underwater security has longer than 10</w:t>
      </w:r>
      <w:r>
        <w:rPr/>
        <w:t xml:space="preserve"> </w:t>
      </w:r>
      <w:r>
        <w:rPr>
          <w:rFonts w:ascii="Times New Roman;serif" w:hAnsi="Times New Roman;serif"/>
          <w:b w:val="false"/>
          <w:sz w:val="20"/>
        </w:rPr>
        <w:t>years to maturity and the loss position had existed for more than 3</w:t>
      </w:r>
      <w:r>
        <w:rPr/>
        <w:t xml:space="preserve"> </w:t>
      </w:r>
      <w:r>
        <w:rPr>
          <w:rFonts w:ascii="Times New Roman;serif" w:hAnsi="Times New Roman;serif"/>
          <w:b w:val="false"/>
          <w:sz w:val="20"/>
        </w:rPr>
        <w:t xml:space="preserve">years. </w:t>
      </w:r>
    </w:p>
    <w:p>
      <w:pPr>
        <w:pStyle w:val="TextBody"/>
        <w:spacing w:before="0" w:after="0"/>
        <w:jc w:val="both"/>
        <w:rPr>
          <w:rFonts w:ascii="Times New Roman" w:hAnsi="Times New Roman"/>
          <w:b w:val="false"/>
          <w:sz w:val="20"/>
        </w:rPr>
      </w:pPr>
      <w:r>
        <w:rPr>
          <w:rFonts w:ascii="Times New Roman" w:hAnsi="Times New Roman"/>
          <w:b w:val="false"/>
          <w:sz w:val="20"/>
        </w:rPr>
        <w:t>5.</w:t>
      </w:r>
    </w:p>
    <w:p>
      <w:pPr>
        <w:pStyle w:val="TextBody"/>
        <w:jc w:val="both"/>
        <w:rPr>
          <w:rFonts w:ascii="Times New Roman;serif" w:hAnsi="Times New Roman;serif"/>
          <w:b w:val="false"/>
          <w:sz w:val="20"/>
        </w:rPr>
      </w:pPr>
      <w:r>
        <w:rPr>
          <w:rFonts w:ascii="Times New Roman;serif" w:hAnsi="Times New Roman;serif"/>
          <w:b w:val="false"/>
          <w:sz w:val="20"/>
        </w:rPr>
        <w:t xml:space="preserve">Management does not possess both the intent and ability to hold the security for a period of time sufficient to allow for any anticipated recovery in fair value. </w:t>
      </w:r>
    </w:p>
    <w:p>
      <w:pPr>
        <w:pStyle w:val="TextBody"/>
        <w:spacing w:before="200" w:after="0"/>
        <w:jc w:val="both"/>
        <w:rPr>
          <w:rFonts w:ascii="Times New Roman" w:hAnsi="Times New Roman"/>
          <w:sz w:val="20"/>
        </w:rPr>
      </w:pPr>
      <w:r>
        <w:rPr>
          <w:rFonts w:ascii="Times New Roman;serif" w:hAnsi="Times New Roman;serif"/>
          <w:b w:val="false"/>
          <w:sz w:val="20"/>
        </w:rPr>
        <w:t>If the impairment is judged to be other than temporary,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consolidated income statement as a component of the provision for credit losses. The table below is presented by category of security and length of time in a continuous loss position. The Company currently does not hold any securities with other than temporary impairment and thus did not recognize an allowance for credit losses.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Information pertaining to securities with gross unrealized losses at March 31, 2023 and December 31, 2022, aggregated by investment category and length of time that individual securities have been in a continuous loss position follows:</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961"/>
        <w:gridCol w:w="146"/>
        <w:gridCol w:w="349"/>
        <w:gridCol w:w="798"/>
        <w:gridCol w:w="175"/>
        <w:gridCol w:w="154"/>
        <w:gridCol w:w="223"/>
        <w:gridCol w:w="716"/>
        <w:gridCol w:w="146"/>
        <w:gridCol w:w="146"/>
        <w:gridCol w:w="254"/>
        <w:gridCol w:w="893"/>
        <w:gridCol w:w="166"/>
        <w:gridCol w:w="146"/>
        <w:gridCol w:w="211"/>
        <w:gridCol w:w="781"/>
        <w:gridCol w:w="146"/>
        <w:gridCol w:w="146"/>
        <w:gridCol w:w="254"/>
        <w:gridCol w:w="893"/>
        <w:gridCol w:w="166"/>
        <w:gridCol w:w="146"/>
        <w:gridCol w:w="211"/>
        <w:gridCol w:w="781"/>
        <w:gridCol w:w="197"/>
      </w:tblGrid>
      <w:tr>
        <w:trPr/>
        <w:tc>
          <w:tcPr>
            <w:tcW w:w="1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9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Less Than Twelve Months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Twelve Months &amp; Over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75"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97" w:type="dxa"/>
            <w:tcBorders/>
            <w:shd w:fill="auto" w:val="clear"/>
            <w:vAlign w:val="center"/>
          </w:tcPr>
          <w:p>
            <w:pPr>
              <w:pStyle w:val="TableContents"/>
              <w:spacing w:before="0" w:after="0"/>
              <w:ind w:left="0" w:right="0" w:hanging="0"/>
              <w:jc w:val="center"/>
              <w:rPr/>
            </w:pPr>
            <w:r>
              <w:rPr/>
              <w:t> </w:t>
            </w:r>
          </w:p>
        </w:tc>
      </w:tr>
      <w:tr>
        <w:trPr/>
        <w:tc>
          <w:tcPr>
            <w:tcW w:w="19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86,785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87,512</w:t>
            </w:r>
          </w:p>
        </w:tc>
        <w:tc>
          <w:tcPr>
            <w:tcW w:w="197" w:type="dxa"/>
            <w:tcBorders/>
            <w:shd w:fill="auto" w:val="clear"/>
            <w:vAlign w:val="center"/>
          </w:tcPr>
          <w:p>
            <w:pPr>
              <w:pStyle w:val="TableContents"/>
              <w:spacing w:before="0" w:after="0"/>
              <w:ind w:left="0" w:right="0" w:hanging="0"/>
              <w:jc w:val="left"/>
              <w:rPr/>
            </w:pPr>
            <w:r>
              <w:rPr/>
              <w:t> </w:t>
            </w:r>
          </w:p>
        </w:tc>
      </w:tr>
      <w:tr>
        <w:trPr/>
        <w:tc>
          <w:tcPr>
            <w:tcW w:w="1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130,108</w:t>
            </w:r>
          </w:p>
        </w:tc>
        <w:tc>
          <w:tcPr>
            <w:tcW w:w="197" w:type="dxa"/>
            <w:tcBorders/>
            <w:shd w:fill="auto" w:val="clear"/>
            <w:vAlign w:val="center"/>
          </w:tcPr>
          <w:p>
            <w:pPr>
              <w:pStyle w:val="TableContents"/>
              <w:spacing w:before="0" w:after="0"/>
              <w:ind w:left="0" w:right="0" w:hanging="0"/>
              <w:jc w:val="left"/>
              <w:rPr/>
            </w:pPr>
            <w:r>
              <w:rPr/>
              <w:t> </w:t>
            </w:r>
          </w:p>
        </w:tc>
      </w:tr>
      <w:tr>
        <w:trPr/>
        <w:tc>
          <w:tcPr>
            <w:tcW w:w="1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86,320</w:t>
            </w:r>
          </w:p>
        </w:tc>
        <w:tc>
          <w:tcPr>
            <w:tcW w:w="197" w:type="dxa"/>
            <w:tcBorders/>
            <w:shd w:fill="auto" w:val="clear"/>
            <w:vAlign w:val="center"/>
          </w:tcPr>
          <w:p>
            <w:pPr>
              <w:pStyle w:val="TableContents"/>
              <w:spacing w:before="0" w:after="0"/>
              <w:ind w:left="0" w:right="0" w:hanging="0"/>
              <w:jc w:val="left"/>
              <w:rPr/>
            </w:pPr>
            <w:r>
              <w:rPr/>
              <w:t> </w:t>
            </w:r>
          </w:p>
        </w:tc>
      </w:tr>
      <w:tr>
        <w:trPr/>
        <w:tc>
          <w:tcPr>
            <w:tcW w:w="1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and local governments</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53,332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63,332</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351,494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367,272</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975"/>
        <w:gridCol w:w="146"/>
        <w:gridCol w:w="288"/>
        <w:gridCol w:w="865"/>
        <w:gridCol w:w="171"/>
        <w:gridCol w:w="150"/>
        <w:gridCol w:w="217"/>
        <w:gridCol w:w="698"/>
        <w:gridCol w:w="146"/>
        <w:gridCol w:w="146"/>
        <w:gridCol w:w="255"/>
        <w:gridCol w:w="897"/>
        <w:gridCol w:w="166"/>
        <w:gridCol w:w="146"/>
        <w:gridCol w:w="211"/>
        <w:gridCol w:w="781"/>
        <w:gridCol w:w="146"/>
        <w:gridCol w:w="146"/>
        <w:gridCol w:w="255"/>
        <w:gridCol w:w="897"/>
        <w:gridCol w:w="166"/>
        <w:gridCol w:w="146"/>
        <w:gridCol w:w="211"/>
        <w:gridCol w:w="781"/>
        <w:gridCol w:w="199"/>
      </w:tblGrid>
      <w:tr>
        <w:trPr/>
        <w:tc>
          <w:tcPr>
            <w:tcW w:w="19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97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85"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85"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Less Than Twelve Months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Twelve Months &amp; Over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3"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71" w:type="dxa"/>
            <w:tcBorders/>
            <w:shd w:fill="auto" w:val="cle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Gross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99" w:type="dxa"/>
            <w:tcBorders/>
            <w:shd w:fill="auto" w:val="clear"/>
            <w:vAlign w:val="center"/>
          </w:tcPr>
          <w:p>
            <w:pPr>
              <w:pStyle w:val="TableContents"/>
              <w:spacing w:before="0" w:after="0"/>
              <w:ind w:left="0" w:right="0" w:hanging="0"/>
              <w:jc w:val="center"/>
              <w:rPr/>
            </w:pPr>
            <w:r>
              <w:rPr/>
              <w:t> </w:t>
            </w:r>
          </w:p>
        </w:tc>
      </w:tr>
      <w:tr>
        <w:trPr/>
        <w:tc>
          <w:tcPr>
            <w:tcW w:w="19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94,678</w:t>
            </w:r>
          </w:p>
        </w:tc>
        <w:tc>
          <w:tcPr>
            <w:tcW w:w="199" w:type="dxa"/>
            <w:tcBorders/>
            <w:shd w:fill="auto" w:val="clear"/>
            <w:vAlign w:val="center"/>
          </w:tcPr>
          <w:p>
            <w:pPr>
              <w:pStyle w:val="TableContents"/>
              <w:spacing w:before="0" w:after="0"/>
              <w:ind w:left="0" w:right="0" w:hanging="0"/>
              <w:jc w:val="left"/>
              <w:rPr/>
            </w:pPr>
            <w:r>
              <w:rPr/>
              <w:t> </w:t>
            </w:r>
          </w:p>
        </w:tc>
      </w:tr>
      <w:tr>
        <w:trPr/>
        <w:tc>
          <w:tcPr>
            <w:tcW w:w="1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(1,081</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114,906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139,466</w:t>
            </w:r>
          </w:p>
        </w:tc>
        <w:tc>
          <w:tcPr>
            <w:tcW w:w="199" w:type="dxa"/>
            <w:tcBorders/>
            <w:shd w:fill="auto" w:val="clear"/>
            <w:vAlign w:val="center"/>
          </w:tcPr>
          <w:p>
            <w:pPr>
              <w:pStyle w:val="TableContents"/>
              <w:spacing w:before="0" w:after="0"/>
              <w:ind w:left="0" w:right="0" w:hanging="0"/>
              <w:jc w:val="left"/>
              <w:rPr/>
            </w:pPr>
            <w:r>
              <w:rPr/>
              <w:t> </w:t>
            </w:r>
          </w:p>
        </w:tc>
      </w:tr>
      <w:tr>
        <w:trPr/>
        <w:tc>
          <w:tcPr>
            <w:tcW w:w="1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(2,454</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86,927</w:t>
            </w:r>
          </w:p>
        </w:tc>
        <w:tc>
          <w:tcPr>
            <w:tcW w:w="199" w:type="dxa"/>
            <w:tcBorders/>
            <w:shd w:fill="auto" w:val="clear"/>
            <w:vAlign w:val="center"/>
          </w:tcPr>
          <w:p>
            <w:pPr>
              <w:pStyle w:val="TableContents"/>
              <w:spacing w:before="0" w:after="0"/>
              <w:ind w:left="0" w:right="0" w:hanging="0"/>
              <w:jc w:val="left"/>
              <w:rPr/>
            </w:pPr>
            <w:r>
              <w:rPr/>
              <w:t> </w:t>
            </w:r>
          </w:p>
        </w:tc>
      </w:tr>
      <w:tr>
        <w:trPr/>
        <w:tc>
          <w:tcPr>
            <w:tcW w:w="1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and local governments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64,381</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(6,965</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286,095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385,452</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Below are the gross realized gains and losses for the three months ended March 31, 2023 and March 31, 2022.</w:t>
      </w:r>
    </w:p>
    <w:p>
      <w:pPr>
        <w:pStyle w:val="TextBody"/>
        <w:spacing w:before="0" w:after="0"/>
        <w:jc w:val="both"/>
        <w:rPr/>
      </w:pPr>
      <w:r>
        <w:rPr/>
        <w:t> </w:t>
      </w:r>
    </w:p>
    <w:tbl>
      <w:tblPr>
        <w:tblW w:w="5443" w:type="dxa"/>
        <w:jc w:val="left"/>
        <w:tblInd w:w="0" w:type="dxa"/>
        <w:tblCellMar>
          <w:top w:w="28" w:type="dxa"/>
          <w:left w:w="28" w:type="dxa"/>
          <w:bottom w:w="28" w:type="dxa"/>
          <w:right w:w="28" w:type="dxa"/>
        </w:tblCellMar>
      </w:tblPr>
      <w:tblGrid>
        <w:gridCol w:w="3376"/>
        <w:gridCol w:w="146"/>
        <w:gridCol w:w="211"/>
        <w:gridCol w:w="481"/>
        <w:gridCol w:w="166"/>
        <w:gridCol w:w="146"/>
        <w:gridCol w:w="294"/>
        <w:gridCol w:w="232"/>
        <w:gridCol w:w="391"/>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0"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w:t>
            </w:r>
          </w:p>
        </w:tc>
        <w:tc>
          <w:tcPr>
            <w:tcW w:w="391" w:type="dxa"/>
            <w:tcBorders/>
            <w:shd w:fill="auto" w:val="cle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realized gains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realized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realized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benefit related to net realized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net realized losses on sales and related tax benefit is a reclassification out of accumulated other comprehensive income (loss). The net realized losses are included in net loss on sale of available-for-sale securities and the related tax benefit is included in income taxes in the condensed consolidated statements of income and comprehensive income (loss).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amortized cost and fair value of debt securities at March 31, 2023, by contractual maturity, are shown below. Expected maturities will differ from contractual maturities because borrowers may have the right to call or prepay obligations with or without call or prepayment penalties.</w:t>
      </w:r>
    </w:p>
    <w:p>
      <w:pPr>
        <w:pStyle w:val="TextBody"/>
        <w:spacing w:before="0" w:after="0"/>
        <w:jc w:val="left"/>
        <w:rPr/>
      </w:pPr>
      <w:r>
        <w:rPr/>
        <w:t> </w:t>
      </w:r>
    </w:p>
    <w:tbl>
      <w:tblPr>
        <w:tblW w:w="5619" w:type="dxa"/>
        <w:jc w:val="left"/>
        <w:tblInd w:w="0" w:type="dxa"/>
        <w:tblCellMar>
          <w:top w:w="28" w:type="dxa"/>
          <w:left w:w="28" w:type="dxa"/>
          <w:bottom w:w="28" w:type="dxa"/>
          <w:right w:w="28" w:type="dxa"/>
        </w:tblCellMar>
      </w:tblPr>
      <w:tblGrid>
        <w:gridCol w:w="2806"/>
        <w:gridCol w:w="146"/>
        <w:gridCol w:w="211"/>
        <w:gridCol w:w="781"/>
        <w:gridCol w:w="146"/>
        <w:gridCol w:w="146"/>
        <w:gridCol w:w="211"/>
        <w:gridCol w:w="781"/>
        <w:gridCol w:w="391"/>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One year or less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18,352</w:t>
            </w:r>
          </w:p>
        </w:tc>
        <w:tc>
          <w:tcPr>
            <w:tcW w:w="3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After one year through five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211,418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193,248</w:t>
            </w:r>
          </w:p>
        </w:tc>
        <w:tc>
          <w:tcPr>
            <w:tcW w:w="3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After five years through ten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70,746</w:t>
            </w:r>
          </w:p>
        </w:tc>
        <w:tc>
          <w:tcPr>
            <w:tcW w:w="3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After ten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286,655</w:t>
            </w:r>
          </w:p>
        </w:tc>
        <w:tc>
          <w:tcPr>
            <w:tcW w:w="3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412,451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372,975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Investments with a carrying value of $164.0</w:t>
      </w:r>
      <w:r>
        <w:rPr>
          <w:rFonts w:ascii="Times New Roman" w:hAnsi="Times New Roman"/>
          <w:sz w:val="20"/>
        </w:rPr>
        <w:t xml:space="preserve"> </w:t>
      </w:r>
      <w:r>
        <w:rPr>
          <w:rFonts w:ascii="Times New Roman;serif" w:hAnsi="Times New Roman;serif"/>
          <w:b w:val="false"/>
          <w:sz w:val="20"/>
        </w:rPr>
        <w:t>million and $134.8</w:t>
      </w:r>
      <w:r>
        <w:rPr>
          <w:rFonts w:ascii="Times New Roman" w:hAnsi="Times New Roman"/>
          <w:sz w:val="20"/>
        </w:rPr>
        <w:t xml:space="preserve"> </w:t>
      </w:r>
      <w:r>
        <w:rPr>
          <w:rFonts w:ascii="Times New Roman;serif" w:hAnsi="Times New Roman;serif"/>
          <w:b w:val="false"/>
          <w:sz w:val="20"/>
        </w:rPr>
        <w:t>million at March 31, 2023 and December 31, 2022, respectively, were pledged to secure public deposits and securities sold under repurchase agreements.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Other securities include Federal Home Loan Bank of Cincinnati and Indianapolis stock in the amount of $9.8</w:t>
      </w:r>
      <w:r>
        <w:rPr>
          <w:rFonts w:ascii="Times New Roman" w:hAnsi="Times New Roman"/>
          <w:sz w:val="20"/>
        </w:rPr>
        <w:t xml:space="preserve"> </w:t>
      </w:r>
      <w:r>
        <w:rPr>
          <w:rFonts w:ascii="Times New Roman;serif" w:hAnsi="Times New Roman;serif"/>
          <w:b w:val="false"/>
          <w:sz w:val="20"/>
        </w:rPr>
        <w:t>million as of March 31, 2023</w:t>
      </w:r>
      <w:r>
        <w:rPr>
          <w:rFonts w:ascii="Times New Roman" w:hAnsi="Times New Roman"/>
          <w:sz w:val="20"/>
        </w:rPr>
        <w:t xml:space="preserve"> </w:t>
      </w:r>
      <w:r>
        <w:rPr>
          <w:rFonts w:ascii="Times New Roman;serif" w:hAnsi="Times New Roman;serif"/>
          <w:b w:val="false"/>
          <w:sz w:val="20"/>
        </w:rPr>
        <w:t>and $8.1</w:t>
      </w:r>
      <w:r>
        <w:rPr>
          <w:rFonts w:ascii="Times New Roman" w:hAnsi="Times New Roman"/>
          <w:sz w:val="20"/>
        </w:rPr>
        <w:t xml:space="preserve"> </w:t>
      </w:r>
      <w:r>
        <w:rPr>
          <w:rFonts w:ascii="Times New Roman;serif" w:hAnsi="Times New Roman;serif"/>
          <w:b w:val="false"/>
          <w:sz w:val="20"/>
        </w:rPr>
        <w:t>million as of December 31, 2022. Other securities also includes Ohio Equity Fund for Housing Limited Partnership funding of $1.7</w:t>
      </w:r>
      <w:r>
        <w:rPr>
          <w:rFonts w:ascii="Times New Roman" w:hAnsi="Times New Roman"/>
          <w:sz w:val="20"/>
        </w:rPr>
        <w:t xml:space="preserve"> </w:t>
      </w:r>
      <w:r>
        <w:rPr>
          <w:rFonts w:ascii="Times New Roman;serif" w:hAnsi="Times New Roman;serif"/>
          <w:b w:val="false"/>
          <w:sz w:val="20"/>
        </w:rPr>
        <w:t>million out of a total of $4.0</w:t>
      </w:r>
      <w:r>
        <w:rPr>
          <w:rFonts w:ascii="Times New Roman" w:hAnsi="Times New Roman"/>
          <w:sz w:val="20"/>
        </w:rPr>
        <w:t xml:space="preserve"> </w:t>
      </w:r>
      <w:r>
        <w:rPr>
          <w:rFonts w:ascii="Times New Roman;serif" w:hAnsi="Times New Roman;serif"/>
          <w:b w:val="false"/>
          <w:sz w:val="20"/>
        </w:rPr>
        <w:t>million committed as of both March 31, 2023</w:t>
      </w:r>
      <w:r>
        <w:rPr>
          <w:rFonts w:ascii="Times New Roman" w:hAnsi="Times New Roman"/>
          <w:sz w:val="20"/>
        </w:rPr>
        <w:t xml:space="preserve"> </w:t>
      </w:r>
      <w:r>
        <w:rPr>
          <w:rFonts w:ascii="Times New Roman;serif" w:hAnsi="Times New Roman;serif"/>
          <w:b w:val="false"/>
          <w:sz w:val="20"/>
        </w:rPr>
        <w:t>and December 31,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NOTE 4 LOANS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Loan balances as of March 31, 2023 and December 31, 2022 are summarized below:</w:t>
      </w:r>
    </w:p>
    <w:p>
      <w:pPr>
        <w:pStyle w:val="TextBody"/>
        <w:spacing w:before="0" w:after="0"/>
        <w:jc w:val="both"/>
        <w:rPr/>
      </w:pPr>
      <w:r>
        <w:rPr/>
        <w:t> </w:t>
      </w:r>
    </w:p>
    <w:tbl>
      <w:tblPr>
        <w:tblW w:w="7080" w:type="dxa"/>
        <w:jc w:val="left"/>
        <w:tblInd w:w="0" w:type="dxa"/>
        <w:tblCellMar>
          <w:top w:w="28" w:type="dxa"/>
          <w:left w:w="28" w:type="dxa"/>
          <w:bottom w:w="28" w:type="dxa"/>
          <w:right w:w="28" w:type="dxa"/>
        </w:tblCellMar>
      </w:tblPr>
      <w:tblGrid>
        <w:gridCol w:w="3136"/>
        <w:gridCol w:w="146"/>
        <w:gridCol w:w="257"/>
        <w:gridCol w:w="1138"/>
        <w:gridCol w:w="166"/>
        <w:gridCol w:w="146"/>
        <w:gridCol w:w="310"/>
        <w:gridCol w:w="1370"/>
        <w:gridCol w:w="411"/>
      </w:tblGrid>
      <w:tr>
        <w:trPr/>
        <w:tc>
          <w:tcPr>
            <w:tcW w:w="3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Loans:</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502,974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494,423</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220,819</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128,733</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1,225,315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1,152,603</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242,360</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89,588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89,147</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2,448,155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2,357,903</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Net deferred loan fees and costs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2,446,652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3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2,356,387</w:t>
            </w:r>
          </w:p>
        </w:tc>
        <w:tc>
          <w:tcPr>
            <w:tcW w:w="411" w:type="dxa"/>
            <w:tcBorders/>
            <w:shd w:fill="auto" w:val="clear"/>
            <w:vAlign w:val="center"/>
          </w:tcPr>
          <w:p>
            <w:pPr>
              <w:pStyle w:val="TableContents"/>
              <w:spacing w:before="0" w:after="0"/>
              <w:ind w:left="0" w:right="0" w:firstLine="200"/>
              <w:jc w:val="left"/>
              <w:rPr/>
            </w:pPr>
            <w:r>
              <w:rPr/>
              <w:t> </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(20,313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 Net</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2,422,018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2,336,074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Other loans primarily fund public improvements in the Bank’s service area.</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distribution of fixed rate loans and variable rate loans by major loan category is as follows as of March 31, 2023 and December 31, 2022:</w:t>
      </w:r>
      <w:r>
        <w:rPr>
          <w:rFonts w:ascii="Times New Roman" w:hAnsi="Times New Roman"/>
          <w:sz w:val="20"/>
        </w:rPr>
        <w:t xml:space="preserve"> </w:t>
      </w:r>
    </w:p>
    <w:p>
      <w:pPr>
        <w:pStyle w:val="TextBody"/>
        <w:spacing w:before="0" w:after="0"/>
        <w:jc w:val="both"/>
        <w:rPr/>
      </w:pPr>
      <w:r>
        <w:rPr/>
        <w:t> </w:t>
      </w:r>
    </w:p>
    <w:tbl>
      <w:tblPr>
        <w:tblW w:w="7462" w:type="dxa"/>
        <w:jc w:val="left"/>
        <w:tblInd w:w="0" w:type="dxa"/>
        <w:tblCellMar>
          <w:top w:w="28" w:type="dxa"/>
          <w:left w:w="28" w:type="dxa"/>
          <w:bottom w:w="28" w:type="dxa"/>
          <w:right w:w="28" w:type="dxa"/>
        </w:tblCellMar>
      </w:tblPr>
      <w:tblGrid>
        <w:gridCol w:w="2281"/>
        <w:gridCol w:w="146"/>
        <w:gridCol w:w="211"/>
        <w:gridCol w:w="781"/>
        <w:gridCol w:w="146"/>
        <w:gridCol w:w="146"/>
        <w:gridCol w:w="211"/>
        <w:gridCol w:w="781"/>
        <w:gridCol w:w="146"/>
        <w:gridCol w:w="146"/>
        <w:gridCol w:w="211"/>
        <w:gridCol w:w="781"/>
        <w:gridCol w:w="146"/>
        <w:gridCol w:w="146"/>
        <w:gridCol w:w="211"/>
        <w:gridCol w:w="781"/>
        <w:gridCol w:w="19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Fixed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Variable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Fixed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Variable</w:t>
            </w:r>
          </w:p>
        </w:tc>
        <w:tc>
          <w:tcPr>
            <w:tcW w:w="1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354,420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140,003</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144,890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144,702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76,117</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75,866</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970,161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210,676</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111,847</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89,520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and December 31, 2022</w:t>
      </w:r>
      <w:r>
        <w:rPr>
          <w:rFonts w:ascii="Times New Roman" w:hAnsi="Times New Roman"/>
          <w:sz w:val="20"/>
        </w:rPr>
        <w:t xml:space="preserve"> </w:t>
      </w:r>
      <w:r>
        <w:rPr>
          <w:rFonts w:ascii="Times New Roman;serif" w:hAnsi="Times New Roman;serif"/>
          <w:b w:val="false"/>
          <w:sz w:val="20"/>
        </w:rPr>
        <w:t>one to four family residential mortgage loans amounting to $214.2</w:t>
      </w:r>
      <w:r>
        <w:rPr>
          <w:rFonts w:ascii="Times New Roman" w:hAnsi="Times New Roman"/>
          <w:sz w:val="20"/>
        </w:rPr>
        <w:t xml:space="preserve"> </w:t>
      </w:r>
      <w:r>
        <w:rPr>
          <w:rFonts w:ascii="Times New Roman;serif" w:hAnsi="Times New Roman;serif"/>
          <w:b w:val="false"/>
          <w:sz w:val="20"/>
        </w:rPr>
        <w:t>million and $222.5</w:t>
      </w:r>
      <w:r>
        <w:rPr>
          <w:rFonts w:ascii="Times New Roman" w:hAnsi="Times New Roman"/>
          <w:sz w:val="20"/>
        </w:rPr>
        <w:t xml:space="preserve"> </w:t>
      </w:r>
      <w:r>
        <w:rPr>
          <w:rFonts w:ascii="Times New Roman;serif" w:hAnsi="Times New Roman;serif"/>
          <w:b w:val="false"/>
          <w:sz w:val="20"/>
        </w:rPr>
        <w:t>million, respectively, have been pledged as security for future loans and existing loans the Bank has received from the Federal Home Loan Bank.</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Unless listed separately, Other loans are included in the Commercial and Industrial category for the remainder of the tables in this Note 4.</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represents the contractual aging of the recorded investment (in thousands) in past due loans by portfolio classification of loans as of March 31, 2023 and December 31, 2022, net of deferred loan fees and costs: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193"/>
        <w:gridCol w:w="146"/>
        <w:gridCol w:w="230"/>
        <w:gridCol w:w="622"/>
        <w:gridCol w:w="146"/>
        <w:gridCol w:w="146"/>
        <w:gridCol w:w="238"/>
        <w:gridCol w:w="475"/>
        <w:gridCol w:w="146"/>
        <w:gridCol w:w="146"/>
        <w:gridCol w:w="231"/>
        <w:gridCol w:w="626"/>
        <w:gridCol w:w="146"/>
        <w:gridCol w:w="146"/>
        <w:gridCol w:w="217"/>
        <w:gridCol w:w="697"/>
        <w:gridCol w:w="146"/>
        <w:gridCol w:w="146"/>
        <w:gridCol w:w="211"/>
        <w:gridCol w:w="931"/>
        <w:gridCol w:w="146"/>
        <w:gridCol w:w="146"/>
        <w:gridCol w:w="227"/>
        <w:gridCol w:w="1006"/>
        <w:gridCol w:w="146"/>
        <w:gridCol w:w="146"/>
        <w:gridCol w:w="674"/>
        <w:gridCol w:w="530"/>
        <w:gridCol w:w="199"/>
      </w:tblGrid>
      <w:tr>
        <w:trPr/>
        <w:tc>
          <w:tcPr>
            <w:tcW w:w="11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85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30-59 Days Past Due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713"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60-89 Days Past Due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85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Greater Than 90 Days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91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Past Due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114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Current</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1233"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Financing Receivables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120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Recorded Investment &gt; 90 Days and Accruing</w:t>
            </w:r>
          </w:p>
        </w:tc>
        <w:tc>
          <w:tcPr>
            <w:tcW w:w="19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11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71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23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204" w:type="dxa"/>
            <w:gridSpan w:val="2"/>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502,968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225,574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1,214,513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269,657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270,857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2,433,699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2,446,652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6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230"/>
        <w:gridCol w:w="146"/>
        <w:gridCol w:w="238"/>
        <w:gridCol w:w="646"/>
        <w:gridCol w:w="146"/>
        <w:gridCol w:w="146"/>
        <w:gridCol w:w="250"/>
        <w:gridCol w:w="499"/>
        <w:gridCol w:w="146"/>
        <w:gridCol w:w="146"/>
        <w:gridCol w:w="240"/>
        <w:gridCol w:w="651"/>
        <w:gridCol w:w="146"/>
        <w:gridCol w:w="146"/>
        <w:gridCol w:w="225"/>
        <w:gridCol w:w="609"/>
        <w:gridCol w:w="146"/>
        <w:gridCol w:w="146"/>
        <w:gridCol w:w="211"/>
        <w:gridCol w:w="931"/>
        <w:gridCol w:w="146"/>
        <w:gridCol w:w="146"/>
        <w:gridCol w:w="235"/>
        <w:gridCol w:w="1039"/>
        <w:gridCol w:w="146"/>
        <w:gridCol w:w="146"/>
        <w:gridCol w:w="618"/>
        <w:gridCol w:w="486"/>
        <w:gridCol w:w="199"/>
      </w:tblGrid>
      <w:tr>
        <w:trPr/>
        <w:tc>
          <w:tcPr>
            <w:tcW w:w="12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88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30-59 Days Past Due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749"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60-89 Days Past Due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891"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Greater Than 90 Days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83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Past Due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114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Current</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127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Financing Receivables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left"/>
              <w:rPr/>
            </w:pPr>
            <w:r>
              <w:rPr/>
              <w:t> </w:t>
            </w:r>
          </w:p>
        </w:tc>
        <w:tc>
          <w:tcPr>
            <w:tcW w:w="110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Recorded Investment &gt;</w:t>
              <w:br/>
              <w:t>90 Days and</w:t>
              <w:br/>
              <w:t>Accruing</w:t>
            </w:r>
          </w:p>
        </w:tc>
        <w:tc>
          <w:tcPr>
            <w:tcW w:w="19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12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74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27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1,150,511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6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3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2,350,362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2,356,387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6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tables present the amortized cost of nonaccrual loans by class of loans as of March 31, 2023 and the recorded investment of nonaccrual loans by class of loans as of December 31, 2022:</w:t>
      </w:r>
    </w:p>
    <w:p>
      <w:pPr>
        <w:pStyle w:val="TextBody"/>
        <w:spacing w:before="0" w:after="0"/>
        <w:jc w:val="both"/>
        <w:rPr/>
      </w:pPr>
      <w:r>
        <w:rPr/>
        <w:t> </w:t>
      </w:r>
    </w:p>
    <w:tbl>
      <w:tblPr>
        <w:tblW w:w="6638" w:type="dxa"/>
        <w:jc w:val="left"/>
        <w:tblInd w:w="0" w:type="dxa"/>
        <w:tblCellMar>
          <w:top w:w="28" w:type="dxa"/>
          <w:left w:w="28" w:type="dxa"/>
          <w:bottom w:w="28" w:type="dxa"/>
          <w:right w:w="28" w:type="dxa"/>
        </w:tblCellMar>
      </w:tblPr>
      <w:tblGrid>
        <w:gridCol w:w="2131"/>
        <w:gridCol w:w="146"/>
        <w:gridCol w:w="351"/>
        <w:gridCol w:w="954"/>
        <w:gridCol w:w="146"/>
        <w:gridCol w:w="146"/>
        <w:gridCol w:w="279"/>
        <w:gridCol w:w="757"/>
        <w:gridCol w:w="146"/>
        <w:gridCol w:w="146"/>
        <w:gridCol w:w="696"/>
        <w:gridCol w:w="549"/>
        <w:gridCol w:w="1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7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Nonaccrual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Loans Past</w:t>
            </w:r>
          </w:p>
        </w:tc>
        <w:tc>
          <w:tcPr>
            <w:tcW w:w="191" w:type="dxa"/>
            <w:tcBorders/>
            <w:shd w:fill="auto" w:val="cle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With No</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Due Over</w:t>
            </w:r>
          </w:p>
        </w:tc>
        <w:tc>
          <w:tcPr>
            <w:tcW w:w="191" w:type="dxa"/>
            <w:tcBorders/>
            <w:shd w:fill="auto" w:val="cle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Allowance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89 Days</w:t>
            </w:r>
          </w:p>
        </w:tc>
        <w:tc>
          <w:tcPr>
            <w:tcW w:w="191" w:type="dxa"/>
            <w:tcBorders/>
            <w:shd w:fill="auto" w:val="cle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for Credit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Nonaccrual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Still Accruing</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&amp; Industrial</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3788" w:type="dxa"/>
        <w:jc w:val="left"/>
        <w:tblInd w:w="0" w:type="dxa"/>
        <w:tblCellMar>
          <w:top w:w="28" w:type="dxa"/>
          <w:left w:w="28" w:type="dxa"/>
          <w:bottom w:w="28" w:type="dxa"/>
          <w:right w:w="28" w:type="dxa"/>
        </w:tblCellMar>
      </w:tblPr>
      <w:tblGrid>
        <w:gridCol w:w="2131"/>
        <w:gridCol w:w="146"/>
        <w:gridCol w:w="355"/>
        <w:gridCol w:w="965"/>
        <w:gridCol w:w="1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1,921</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&amp; Industrial</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w:t>
            </w:r>
          </w:p>
        </w:tc>
        <w:tc>
          <w:tcPr>
            <w:tcW w:w="1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recognized $61</w:t>
      </w:r>
      <w:r>
        <w:rPr>
          <w:rFonts w:ascii="Times New Roman" w:hAnsi="Times New Roman"/>
          <w:sz w:val="20"/>
        </w:rPr>
        <w:t xml:space="preserve"> </w:t>
      </w:r>
      <w:r>
        <w:rPr>
          <w:rFonts w:ascii="Times New Roman;serif" w:hAnsi="Times New Roman;serif"/>
          <w:b w:val="false"/>
          <w:sz w:val="20"/>
        </w:rPr>
        <w:t>thousand of interest income on nonaccrual loans for the quarter ending March 31, 2023.</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Following are the characteristics and underwriting criteria for each major type of loan the Bank offers: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Consumer Real Estate: Purchase, refinance, or equity financing of one to four family owner occupied dwelling. Success in repayment is subject to borrower’s income, debt level, character in fulfilling payment obligations, employment, and others.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Agricultural Real Estate: Purchase of farm real estate or for permanent improvements to the farm real estate. Cash flow from the farm operation is the repayment source and is therefore subject to the financial success of the farm operation.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crop insurance.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pStyle w:val="TextBody"/>
        <w:spacing w:before="200" w:after="0"/>
        <w:jc w:val="both"/>
        <w:rPr>
          <w:rFonts w:ascii="Times New Roman" w:hAnsi="Times New Roman"/>
          <w:sz w:val="20"/>
        </w:rPr>
      </w:pPr>
      <w:r>
        <w:rPr>
          <w:rFonts w:ascii="Times New Roman;serif" w:hAnsi="Times New Roman;serif"/>
          <w:b w:val="false"/>
          <w:sz w:val="20"/>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Consumer: Funding for individual and family purposes. Success in repayment is subject to borrower’s income, debt level, character in fulfilling payment obligations, employment, and others.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Other: Primarily funds public improvements in the Bank’s service area. Repayment ability is based on the continuance of the taxation revenue as the source of repayment.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uses a nine tier risk rating system to grade its loans. The grade of a loan may change during the life of the loan.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risk ratings are described as follows.</w:t>
      </w:r>
    </w:p>
    <w:p>
      <w:pPr>
        <w:pStyle w:val="TextBody"/>
        <w:spacing w:before="120" w:after="0"/>
        <w:jc w:val="both"/>
        <w:rPr>
          <w:rFonts w:ascii="Times New Roman" w:hAnsi="Times New Roman"/>
          <w:b w:val="false"/>
          <w:sz w:val="20"/>
        </w:rPr>
      </w:pPr>
      <w:r>
        <w:rPr>
          <w:rFonts w:ascii="Times New Roman" w:hAnsi="Times New Roman"/>
          <w:b w:val="false"/>
          <w:sz w:val="20"/>
        </w:rPr>
        <w:t>1.</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Zero (0) Unclassified. Any loan which has not been assigned a classification.</w:t>
      </w:r>
    </w:p>
    <w:p>
      <w:pPr>
        <w:pStyle w:val="TextBody"/>
        <w:spacing w:before="120" w:after="0"/>
        <w:jc w:val="both"/>
        <w:rPr>
          <w:rFonts w:ascii="Times New Roman" w:hAnsi="Times New Roman"/>
          <w:b w:val="false"/>
          <w:sz w:val="20"/>
        </w:rPr>
      </w:pPr>
      <w:r>
        <w:rPr>
          <w:rFonts w:ascii="Times New Roman" w:hAnsi="Times New Roman"/>
          <w:b w:val="false"/>
          <w:sz w:val="20"/>
        </w:rPr>
        <w:t>2.</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pStyle w:val="TextBody"/>
        <w:spacing w:before="120" w:after="0"/>
        <w:jc w:val="both"/>
        <w:rPr>
          <w:rFonts w:ascii="Times New Roman" w:hAnsi="Times New Roman"/>
          <w:b w:val="false"/>
          <w:sz w:val="20"/>
        </w:rPr>
      </w:pPr>
      <w:r>
        <w:rPr>
          <w:rFonts w:ascii="Times New Roman" w:hAnsi="Times New Roman"/>
          <w:b w:val="false"/>
          <w:sz w:val="20"/>
        </w:rPr>
        <w:t>3.</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 </w:t>
      </w:r>
    </w:p>
    <w:p>
      <w:pPr>
        <w:pStyle w:val="TextBody"/>
        <w:spacing w:before="120" w:after="0"/>
        <w:jc w:val="both"/>
        <w:rPr>
          <w:rFonts w:ascii="Times New Roman" w:hAnsi="Times New Roman"/>
          <w:b w:val="false"/>
          <w:sz w:val="20"/>
        </w:rPr>
      </w:pPr>
      <w:r>
        <w:rPr>
          <w:rFonts w:ascii="Times New Roman" w:hAnsi="Times New Roman"/>
          <w:b w:val="false"/>
          <w:sz w:val="20"/>
        </w:rPr>
        <w:t>4.</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Loans may be rated 3 when there is no recent information on which to base a current risk evaluation and the following conditions apply:</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At inception, the loan was properly underwritten and did not possess an unwarranted level of credit risk;</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At inception, the loan was secured with collateral possessing a loan-to-value adequate to protect The Bank from loss;</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spacing w:before="0" w:after="0"/>
        <w:jc w:val="both"/>
        <w:rPr>
          <w:rFonts w:ascii="Times New Roman;serif" w:hAnsi="Times New Roman;serif"/>
          <w:sz w:val="20"/>
        </w:rPr>
      </w:pPr>
      <w:r>
        <w:rPr>
          <w:rFonts w:ascii="Times New Roman;serif" w:hAnsi="Times New Roman;serif"/>
          <w:b w:val="false"/>
          <w:sz w:val="20"/>
        </w:rPr>
        <w:t>The loan exhibited two</w:t>
      </w:r>
      <w:r>
        <w:rPr>
          <w:rFonts w:ascii="Times New Roman;serif" w:hAnsi="Times New Roman;serif"/>
          <w:sz w:val="20"/>
        </w:rPr>
        <w:t xml:space="preserve"> </w:t>
      </w:r>
      <w:r>
        <w:rPr>
          <w:rFonts w:ascii="Times New Roman;serif" w:hAnsi="Times New Roman;serif"/>
          <w:b w:val="false"/>
          <w:sz w:val="20"/>
        </w:rPr>
        <w:t>or more years of satisfactory repayment with a reasonable reduction of the principal balance;</w:t>
      </w:r>
    </w:p>
    <w:p>
      <w:pPr>
        <w:pStyle w:val="TextBody"/>
        <w:spacing w:before="0" w:after="0"/>
        <w:jc w:val="both"/>
        <w:rPr>
          <w:rFonts w:ascii="Times New Roman" w:hAnsi="Times New Roman"/>
          <w:b w:val="false"/>
          <w:sz w:val="20"/>
        </w:rPr>
      </w:pPr>
      <w:r>
        <w:rPr>
          <w:rFonts w:ascii="Times New Roman" w:hAnsi="Times New Roman"/>
          <w:b w:val="false"/>
          <w:sz w:val="20"/>
        </w:rPr>
        <w:t>c.</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pStyle w:val="TextBody"/>
        <w:spacing w:before="120" w:after="0"/>
        <w:jc w:val="both"/>
        <w:rPr>
          <w:rFonts w:ascii="Times New Roman" w:hAnsi="Times New Roman"/>
          <w:b w:val="false"/>
          <w:sz w:val="20"/>
        </w:rPr>
      </w:pPr>
      <w:r>
        <w:rPr>
          <w:rFonts w:ascii="Times New Roman" w:hAnsi="Times New Roman"/>
          <w:b w:val="false"/>
          <w:sz w:val="20"/>
        </w:rPr>
        <w:t>5.</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pStyle w:val="TextBody"/>
        <w:spacing w:before="120" w:after="0"/>
        <w:jc w:val="both"/>
        <w:rPr>
          <w:rFonts w:ascii="Times New Roman" w:hAnsi="Times New Roman"/>
          <w:b w:val="false"/>
          <w:sz w:val="20"/>
        </w:rPr>
      </w:pPr>
      <w:r>
        <w:rPr>
          <w:rFonts w:ascii="Times New Roman" w:hAnsi="Times New Roman"/>
          <w:b w:val="false"/>
          <w:sz w:val="20"/>
        </w:rPr>
        <w:t>6.</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120" w:after="0"/>
        <w:jc w:val="both"/>
        <w:rPr>
          <w:rFonts w:ascii="Times New Roman" w:hAnsi="Times New Roman"/>
          <w:b w:val="false"/>
          <w:sz w:val="20"/>
        </w:rPr>
      </w:pPr>
      <w:r>
        <w:rPr>
          <w:rFonts w:ascii="Times New Roman" w:hAnsi="Times New Roman"/>
          <w:b w:val="false"/>
          <w:sz w:val="20"/>
        </w:rPr>
        <w:t>7.</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Six (6) Substandard. One or more of the following characteristics may be exhibited in loans classified substandard:</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Loans which possess a defined credit weakness and the likelihood that a loan will be paid from the primary source are uncertain. Financial deterioration is underway and very close attention is warranted to ensure that the loan is collected without loss.</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Loans are inadequately protected by the current net worth and paying capacity of the borrower. </w:t>
      </w:r>
    </w:p>
    <w:p>
      <w:pPr>
        <w:pStyle w:val="TextBody"/>
        <w:spacing w:before="0" w:after="0"/>
        <w:jc w:val="both"/>
        <w:rPr>
          <w:rFonts w:ascii="Times New Roman" w:hAnsi="Times New Roman"/>
          <w:b w:val="false"/>
          <w:sz w:val="20"/>
        </w:rPr>
      </w:pPr>
      <w:r>
        <w:rPr>
          <w:rFonts w:ascii="Times New Roman" w:hAnsi="Times New Roman"/>
          <w:b w:val="false"/>
          <w:sz w:val="20"/>
        </w:rPr>
        <w:t>c.</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primary source of repayment is weakened, and The Bank is forced to rely on a secondary source of repayment such as collateral liquidation or guarantees.</w:t>
      </w:r>
    </w:p>
    <w:p>
      <w:pPr>
        <w:pStyle w:val="TextBody"/>
        <w:spacing w:before="0" w:after="0"/>
        <w:jc w:val="both"/>
        <w:rPr>
          <w:rFonts w:ascii="Times New Roman" w:hAnsi="Times New Roman"/>
          <w:b w:val="false"/>
          <w:sz w:val="20"/>
        </w:rPr>
      </w:pPr>
      <w:r>
        <w:rPr>
          <w:rFonts w:ascii="Times New Roman" w:hAnsi="Times New Roman"/>
          <w:b w:val="false"/>
          <w:sz w:val="20"/>
        </w:rPr>
        <w:t>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Loans are characterized by the distinct possibility that The Bank will sustain some loss if deficiencies are not corrected.</w:t>
      </w:r>
    </w:p>
    <w:p>
      <w:pPr>
        <w:pStyle w:val="TextBody"/>
        <w:spacing w:before="0" w:after="0"/>
        <w:jc w:val="both"/>
        <w:rPr>
          <w:rFonts w:ascii="Times New Roman" w:hAnsi="Times New Roman"/>
          <w:b w:val="false"/>
          <w:sz w:val="20"/>
        </w:rPr>
      </w:pPr>
      <w:r>
        <w:rPr>
          <w:rFonts w:ascii="Times New Roman" w:hAnsi="Times New Roman"/>
          <w:b w:val="false"/>
          <w:sz w:val="20"/>
        </w:rPr>
        <w:t>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Unusual courses of action are needed to maintain a high probability of repayment.</w:t>
      </w:r>
    </w:p>
    <w:p>
      <w:pPr>
        <w:pStyle w:val="TextBody"/>
        <w:spacing w:before="0" w:after="0"/>
        <w:jc w:val="both"/>
        <w:rPr>
          <w:rFonts w:ascii="Times New Roman" w:hAnsi="Times New Roman"/>
          <w:b w:val="false"/>
          <w:sz w:val="20"/>
        </w:rPr>
      </w:pPr>
      <w:r>
        <w:rPr>
          <w:rFonts w:ascii="Times New Roman" w:hAnsi="Times New Roman"/>
          <w:b w:val="false"/>
          <w:sz w:val="20"/>
        </w:rPr>
        <w:t>f.</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borrower is not generating enough cash flow to repay loan principal; however, continues to make interest payments.</w:t>
      </w:r>
    </w:p>
    <w:p>
      <w:pPr>
        <w:pStyle w:val="TextBody"/>
        <w:spacing w:before="0" w:after="0"/>
        <w:jc w:val="both"/>
        <w:rPr>
          <w:rFonts w:ascii="Times New Roman" w:hAnsi="Times New Roman"/>
          <w:b w:val="false"/>
          <w:sz w:val="20"/>
        </w:rPr>
      </w:pPr>
      <w:r>
        <w:rPr>
          <w:rFonts w:ascii="Times New Roman" w:hAnsi="Times New Roman"/>
          <w:b w:val="false"/>
          <w:sz w:val="20"/>
        </w:rPr>
        <w:t>g.</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lender is forced into a subordinate position or unsecured collateral position due to flaws in documentation.</w:t>
      </w:r>
    </w:p>
    <w:p>
      <w:pPr>
        <w:pStyle w:val="TextBody"/>
        <w:spacing w:before="0" w:after="0"/>
        <w:jc w:val="both"/>
        <w:rPr>
          <w:rFonts w:ascii="Times New Roman" w:hAnsi="Times New Roman"/>
          <w:b w:val="false"/>
          <w:sz w:val="20"/>
        </w:rPr>
      </w:pPr>
      <w:r>
        <w:rPr>
          <w:rFonts w:ascii="Times New Roman" w:hAnsi="Times New Roman"/>
          <w:b w:val="false"/>
          <w:sz w:val="20"/>
        </w:rPr>
        <w:t>h.</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Loans have been restructured so that payment schedules, terms and collateral represent concessions to the borrower when compared to the normal loan terms.</w:t>
      </w:r>
    </w:p>
    <w:p>
      <w:pPr>
        <w:pStyle w:val="TextBody"/>
        <w:spacing w:before="0" w:after="0"/>
        <w:jc w:val="both"/>
        <w:rPr>
          <w:rFonts w:ascii="Times New Roman" w:hAnsi="Times New Roman"/>
          <w:b w:val="false"/>
          <w:sz w:val="20"/>
        </w:rPr>
      </w:pPr>
      <w:r>
        <w:rPr>
          <w:rFonts w:ascii="Times New Roman" w:hAnsi="Times New Roman"/>
          <w:b w:val="false"/>
          <w:sz w:val="20"/>
        </w:rPr>
        <w:t>i.</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lender is seriously contemplating foreclosure or legal action due to the apparent deterioration in the loan.</w:t>
      </w:r>
    </w:p>
    <w:p>
      <w:pPr>
        <w:pStyle w:val="TextBody"/>
        <w:spacing w:before="0" w:after="0"/>
        <w:jc w:val="both"/>
        <w:rPr>
          <w:rFonts w:ascii="Times New Roman" w:hAnsi="Times New Roman"/>
          <w:b w:val="false"/>
          <w:sz w:val="20"/>
        </w:rPr>
      </w:pPr>
      <w:r>
        <w:rPr>
          <w:rFonts w:ascii="Times New Roman" w:hAnsi="Times New Roman"/>
          <w:b w:val="false"/>
          <w:sz w:val="20"/>
        </w:rPr>
        <w:t>j.</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There is significant deterioration in the market conditions and the borrower is highly vulnerable to these conditions.</w:t>
      </w:r>
    </w:p>
    <w:p>
      <w:pPr>
        <w:pStyle w:val="TextBody"/>
        <w:spacing w:before="120" w:after="0"/>
        <w:jc w:val="both"/>
        <w:rPr>
          <w:rFonts w:ascii="Times New Roman" w:hAnsi="Times New Roman"/>
          <w:b w:val="false"/>
          <w:sz w:val="20"/>
        </w:rPr>
      </w:pPr>
      <w:r>
        <w:rPr>
          <w:rFonts w:ascii="Times New Roman" w:hAnsi="Times New Roman"/>
          <w:b w:val="false"/>
          <w:sz w:val="20"/>
        </w:rPr>
        <w:t>8.</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Seven (7) Doubtful. One or more of the following characteristics may be exhibited in loans classified Doubtful:</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Loans have all of the weaknesses of those classified as Substandard. Additionally, however, these weaknesses make collection or liquidation in full based on existing conditions improbable.</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primary source of repayment is gone, and there is considerable doubt as to the quality of the secondary source of repayment.</w:t>
      </w:r>
    </w:p>
    <w:p>
      <w:pPr>
        <w:pStyle w:val="TextBody"/>
        <w:spacing w:before="0" w:after="0"/>
        <w:jc w:val="both"/>
        <w:rPr>
          <w:rFonts w:ascii="Times New Roman" w:hAnsi="Times New Roman"/>
          <w:b w:val="false"/>
          <w:sz w:val="20"/>
        </w:rPr>
      </w:pPr>
      <w:r>
        <w:rPr>
          <w:rFonts w:ascii="Times New Roman" w:hAnsi="Times New Roman"/>
          <w:b w:val="false"/>
          <w:sz w:val="20"/>
        </w:rPr>
        <w:t>c.</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possibility of loss is high, but, because of certain important pending factors which may strengthen the loan, loss classification is deferred until its exact status is known. A Doubtful classification is established deferring the realization of the loss.</w:t>
      </w:r>
    </w:p>
    <w:p>
      <w:pPr>
        <w:pStyle w:val="TextBody"/>
        <w:spacing w:before="120" w:after="0"/>
        <w:jc w:val="both"/>
        <w:rPr>
          <w:rFonts w:ascii="Times New Roman" w:hAnsi="Times New Roman"/>
          <w:b w:val="false"/>
          <w:sz w:val="20"/>
        </w:rPr>
      </w:pPr>
      <w:r>
        <w:rPr>
          <w:rFonts w:ascii="Times New Roman" w:hAnsi="Times New Roman"/>
          <w:b w:val="false"/>
          <w:sz w:val="20"/>
        </w:rPr>
        <w:t>9.</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200" w:after="0"/>
        <w:jc w:val="center"/>
        <w:rPr/>
      </w:pPr>
      <w:r>
        <w:rPr/>
        <w:t> </w:t>
      </w:r>
    </w:p>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represents the risk category of loans by portfolio class, net of deferred fees and costs, based on the most recent analysis performed as of December 31, 2022:</w:t>
      </w:r>
    </w:p>
    <w:p>
      <w:pPr>
        <w:pStyle w:val="TextBody"/>
        <w:spacing w:before="0" w:after="0"/>
        <w:jc w:val="both"/>
        <w:rPr/>
      </w:pPr>
      <w:r>
        <w:rPr/>
        <w:t> </w:t>
      </w:r>
    </w:p>
    <w:p>
      <w:pPr>
        <w:pStyle w:val="TextBody"/>
        <w:spacing w:before="0" w:after="0"/>
        <w:jc w:val="both"/>
        <w:rPr/>
      </w:pPr>
      <w:r>
        <w:rPr/>
        <w:t> </w:t>
      </w:r>
    </w:p>
    <w:tbl>
      <w:tblPr>
        <w:tblW w:w="8652" w:type="dxa"/>
        <w:jc w:val="left"/>
        <w:tblInd w:w="0" w:type="dxa"/>
        <w:tblCellMar>
          <w:top w:w="28" w:type="dxa"/>
          <w:left w:w="28" w:type="dxa"/>
          <w:bottom w:w="28" w:type="dxa"/>
          <w:right w:w="28" w:type="dxa"/>
        </w:tblCellMar>
      </w:tblPr>
      <w:tblGrid>
        <w:gridCol w:w="1696"/>
        <w:gridCol w:w="146"/>
        <w:gridCol w:w="233"/>
        <w:gridCol w:w="863"/>
        <w:gridCol w:w="146"/>
        <w:gridCol w:w="146"/>
        <w:gridCol w:w="233"/>
        <w:gridCol w:w="863"/>
        <w:gridCol w:w="146"/>
        <w:gridCol w:w="146"/>
        <w:gridCol w:w="211"/>
        <w:gridCol w:w="931"/>
        <w:gridCol w:w="146"/>
        <w:gridCol w:w="146"/>
        <w:gridCol w:w="261"/>
        <w:gridCol w:w="969"/>
        <w:gridCol w:w="146"/>
        <w:gridCol w:w="146"/>
        <w:gridCol w:w="211"/>
        <w:gridCol w:w="676"/>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9"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Real Estate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Real Estate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and Industrial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Other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370,035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10,921</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737,745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18,897</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220,514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1,150,511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242,301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December 31, 2022. </w:t>
      </w:r>
    </w:p>
    <w:p>
      <w:pPr>
        <w:pStyle w:val="TextBody"/>
        <w:spacing w:before="0" w:after="0"/>
        <w:jc w:val="both"/>
        <w:rPr/>
      </w:pPr>
      <w:r>
        <w:rPr/>
        <w:t> </w:t>
      </w:r>
    </w:p>
    <w:tbl>
      <w:tblPr>
        <w:tblW w:w="3598" w:type="dxa"/>
        <w:jc w:val="left"/>
        <w:tblInd w:w="0" w:type="dxa"/>
        <w:tblCellMar>
          <w:top w:w="28" w:type="dxa"/>
          <w:left w:w="28" w:type="dxa"/>
          <w:bottom w:w="28" w:type="dxa"/>
          <w:right w:w="28" w:type="dxa"/>
        </w:tblCellMar>
      </w:tblPr>
      <w:tblGrid>
        <w:gridCol w:w="1741"/>
        <w:gridCol w:w="146"/>
        <w:gridCol w:w="280"/>
        <w:gridCol w:w="1040"/>
        <w:gridCol w:w="39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r>
          </w:p>
        </w:tc>
        <w:tc>
          <w:tcPr>
            <w:tcW w:w="391" w:type="dxa"/>
            <w:tcBorders/>
            <w:shd w:fill="auto" w:val="cle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Real Estate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Grade</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1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492,575</w:t>
            </w:r>
          </w:p>
        </w:tc>
        <w:tc>
          <w:tcPr>
            <w:tcW w:w="391" w:type="dxa"/>
            <w:tcBorders/>
            <w:shd w:fill="auto" w:val="clear"/>
            <w:vAlign w:val="center"/>
          </w:tcPr>
          <w:p>
            <w:pPr>
              <w:pStyle w:val="TableContents"/>
              <w:spacing w:before="0" w:after="0"/>
              <w:ind w:left="0" w:right="0" w:firstLine="200"/>
              <w:jc w:val="left"/>
              <w:rPr/>
            </w:pPr>
            <w:r>
              <w:rPr/>
              <w:t> </w:t>
            </w:r>
          </w:p>
        </w:tc>
      </w:tr>
      <w:tr>
        <w:trPr/>
        <w:tc>
          <w:tcPr>
            <w:tcW w:w="1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391" w:type="dxa"/>
            <w:tcBorders/>
            <w:shd w:fill="auto" w:val="clear"/>
            <w:vAlign w:val="center"/>
          </w:tcPr>
          <w:p>
            <w:pPr>
              <w:pStyle w:val="TableContents"/>
              <w:spacing w:before="0" w:after="0"/>
              <w:ind w:left="0" w:right="0" w:firstLine="200"/>
              <w:jc w:val="left"/>
              <w:rPr/>
            </w:pPr>
            <w:r>
              <w:rPr/>
              <w:t> </w:t>
            </w:r>
          </w:p>
        </w:tc>
      </w:tr>
      <w:tr>
        <w:trPr/>
        <w:tc>
          <w:tcPr>
            <w:tcW w:w="1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10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w:t>
            </w:r>
          </w:p>
        </w:tc>
        <w:tc>
          <w:tcPr>
            <w:tcW w:w="391" w:type="dxa"/>
            <w:tcBorders/>
            <w:shd w:fill="auto" w:val="clear"/>
            <w:vAlign w:val="center"/>
          </w:tcPr>
          <w:p>
            <w:pPr>
              <w:pStyle w:val="TableContents"/>
              <w:spacing w:before="0" w:after="0"/>
              <w:ind w:left="0" w:right="0" w:firstLine="200"/>
              <w:jc w:val="left"/>
              <w:rPr/>
            </w:pPr>
            <w:r>
              <w:rPr/>
              <w:t> </w:t>
            </w:r>
          </w:p>
        </w:tc>
      </w:tr>
      <w:tr>
        <w:trPr/>
        <w:tc>
          <w:tcPr>
            <w:tcW w:w="1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494,423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tbl>
      <w:tblPr>
        <w:tblW w:w="3369" w:type="dxa"/>
        <w:jc w:val="left"/>
        <w:tblInd w:w="0" w:type="dxa"/>
        <w:tblCellMar>
          <w:top w:w="28" w:type="dxa"/>
          <w:left w:w="28" w:type="dxa"/>
          <w:bottom w:w="28" w:type="dxa"/>
          <w:right w:w="28" w:type="dxa"/>
        </w:tblCellMar>
      </w:tblPr>
      <w:tblGrid>
        <w:gridCol w:w="1366"/>
        <w:gridCol w:w="146"/>
        <w:gridCol w:w="146"/>
        <w:gridCol w:w="313"/>
        <w:gridCol w:w="1007"/>
        <w:gridCol w:w="391"/>
      </w:tblGrid>
      <w:tr>
        <w:trPr/>
        <w:tc>
          <w:tcPr>
            <w:tcW w:w="1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89,853</w:t>
            </w:r>
          </w:p>
        </w:tc>
        <w:tc>
          <w:tcPr>
            <w:tcW w:w="39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Nonperforming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89,894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reflects loan balances as of March 31, 2023 based on year of origination:</w:t>
      </w:r>
    </w:p>
    <w:p>
      <w:pPr>
        <w:pStyle w:val="TextBody"/>
        <w:spacing w:before="0" w:after="0"/>
        <w:jc w:val="both"/>
        <w:rPr/>
      </w:pPr>
      <w:r>
        <w:rPr/>
        <w:t> </w:t>
      </w:r>
    </w:p>
    <w:tbl>
      <w:tblPr>
        <w:tblW w:w="11266" w:type="dxa"/>
        <w:jc w:val="left"/>
        <w:tblInd w:w="0" w:type="dxa"/>
        <w:tblCellMar>
          <w:top w:w="28" w:type="dxa"/>
          <w:left w:w="28" w:type="dxa"/>
          <w:bottom w:w="28" w:type="dxa"/>
          <w:right w:w="28" w:type="dxa"/>
        </w:tblCellMar>
      </w:tblPr>
      <w:tblGrid>
        <w:gridCol w:w="1126"/>
        <w:gridCol w:w="211"/>
        <w:gridCol w:w="676"/>
        <w:gridCol w:w="146"/>
        <w:gridCol w:w="146"/>
        <w:gridCol w:w="211"/>
        <w:gridCol w:w="781"/>
        <w:gridCol w:w="146"/>
        <w:gridCol w:w="146"/>
        <w:gridCol w:w="211"/>
        <w:gridCol w:w="676"/>
        <w:gridCol w:w="146"/>
        <w:gridCol w:w="146"/>
        <w:gridCol w:w="211"/>
        <w:gridCol w:w="676"/>
        <w:gridCol w:w="146"/>
        <w:gridCol w:w="146"/>
        <w:gridCol w:w="211"/>
        <w:gridCol w:w="781"/>
        <w:gridCol w:w="146"/>
        <w:gridCol w:w="146"/>
        <w:gridCol w:w="211"/>
        <w:gridCol w:w="781"/>
        <w:gridCol w:w="146"/>
        <w:gridCol w:w="146"/>
        <w:gridCol w:w="232"/>
        <w:gridCol w:w="744"/>
        <w:gridCol w:w="146"/>
        <w:gridCol w:w="146"/>
        <w:gridCol w:w="211"/>
        <w:gridCol w:w="781"/>
        <w:gridCol w:w="491"/>
      </w:tblGrid>
      <w:tr>
        <w:trPr/>
        <w:tc>
          <w:tcPr>
            <w:tcW w:w="11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before="0" w:after="0"/>
              <w:ind w:left="0" w:right="0" w:hanging="0"/>
              <w:jc w:val="left"/>
              <w:rPr/>
            </w:pPr>
            <w:r>
              <w:rPr/>
              <w:t> </w:t>
            </w:r>
          </w:p>
        </w:tc>
        <w:tc>
          <w:tcPr>
            <w:tcW w:w="9649"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5813"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Term Loans Amortized Cost Basis 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Revolving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Loans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Term</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Grand</w:t>
            </w:r>
          </w:p>
        </w:tc>
        <w:tc>
          <w:tcPr>
            <w:tcW w:w="4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Cost Basis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March 31, 2023</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1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Risk Rating</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140,856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501,206</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Consumer Real Estate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103,775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88,874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142,193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457,847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502,968</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1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Risk Rating</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210,557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210,654</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7,979</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8,966</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Agricultural Real Estate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105,758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227,599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1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Risk Rating</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131,592</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Agricultural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131,677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tbl>
      <w:tblPr>
        <w:tblW w:w="11776" w:type="dxa"/>
        <w:jc w:val="left"/>
        <w:tblInd w:w="0" w:type="dxa"/>
        <w:tblCellMar>
          <w:top w:w="28" w:type="dxa"/>
          <w:left w:w="28" w:type="dxa"/>
          <w:bottom w:w="28" w:type="dxa"/>
          <w:right w:w="28" w:type="dxa"/>
        </w:tblCellMar>
      </w:tblPr>
      <w:tblGrid>
        <w:gridCol w:w="1126"/>
        <w:gridCol w:w="211"/>
        <w:gridCol w:w="676"/>
        <w:gridCol w:w="14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931"/>
        <w:gridCol w:w="146"/>
        <w:gridCol w:w="146"/>
        <w:gridCol w:w="232"/>
        <w:gridCol w:w="744"/>
        <w:gridCol w:w="146"/>
        <w:gridCol w:w="146"/>
        <w:gridCol w:w="211"/>
        <w:gridCol w:w="931"/>
        <w:gridCol w:w="491"/>
      </w:tblGrid>
      <w:tr>
        <w:trPr/>
        <w:tc>
          <w:tcPr>
            <w:tcW w:w="11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before="0" w:after="0"/>
              <w:ind w:left="0" w:right="0" w:hanging="0"/>
              <w:jc w:val="left"/>
              <w:rPr/>
            </w:pPr>
            <w:r>
              <w:rPr/>
              <w:t> </w:t>
            </w:r>
          </w:p>
        </w:tc>
        <w:tc>
          <w:tcPr>
            <w:tcW w:w="10159"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6023"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Term Loans Amortized Cost Basis 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Revolving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Loans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Term</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Grand</w:t>
            </w:r>
          </w:p>
        </w:tc>
        <w:tc>
          <w:tcPr>
            <w:tcW w:w="4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Cost Basis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March 31, 2023</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1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Risk Rating</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440,142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262,208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265,358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1,189,100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1,189,100</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11,989</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22,074</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Commercial Real Estate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440,755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262,208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142,221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287,938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1,223,163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1,223,163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&amp; Industrial</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1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Risk Rating</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235,812</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Commercial &amp; Industrial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153,887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241,534</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1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Risk Rating</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29,323</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Special Mention (5)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Substandard (6)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shd w:fill="auto" w:val="clear"/>
            <w:vAlign w:val="center"/>
          </w:tcPr>
          <w:p>
            <w:pPr>
              <w:pStyle w:val="TableContents"/>
              <w:spacing w:before="0" w:after="0"/>
              <w:ind w:left="0" w:right="0" w:firstLine="200"/>
              <w:jc w:val="lef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Doubtful (7)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Consumer</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29,323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payment performance as of March 31, 2023 by year of origination:</w:t>
      </w:r>
    </w:p>
    <w:p>
      <w:pPr>
        <w:pStyle w:val="TextBody"/>
        <w:spacing w:before="0" w:after="0"/>
        <w:jc w:val="both"/>
        <w:rPr/>
      </w:pPr>
      <w:r>
        <w:rPr/>
        <w:t> </w:t>
      </w:r>
    </w:p>
    <w:tbl>
      <w:tblPr>
        <w:tblW w:w="10771" w:type="dxa"/>
        <w:jc w:val="left"/>
        <w:tblInd w:w="0" w:type="dxa"/>
        <w:tblCellMar>
          <w:top w:w="28" w:type="dxa"/>
          <w:left w:w="28" w:type="dxa"/>
          <w:bottom w:w="28" w:type="dxa"/>
          <w:right w:w="28" w:type="dxa"/>
        </w:tblCellMar>
      </w:tblPr>
      <w:tblGrid>
        <w:gridCol w:w="1366"/>
        <w:gridCol w:w="211"/>
        <w:gridCol w:w="571"/>
        <w:gridCol w:w="146"/>
        <w:gridCol w:w="146"/>
        <w:gridCol w:w="211"/>
        <w:gridCol w:w="676"/>
        <w:gridCol w:w="146"/>
        <w:gridCol w:w="146"/>
        <w:gridCol w:w="211"/>
        <w:gridCol w:w="676"/>
        <w:gridCol w:w="146"/>
        <w:gridCol w:w="146"/>
        <w:gridCol w:w="211"/>
        <w:gridCol w:w="571"/>
        <w:gridCol w:w="146"/>
        <w:gridCol w:w="146"/>
        <w:gridCol w:w="211"/>
        <w:gridCol w:w="571"/>
        <w:gridCol w:w="146"/>
        <w:gridCol w:w="146"/>
        <w:gridCol w:w="211"/>
        <w:gridCol w:w="676"/>
        <w:gridCol w:w="146"/>
        <w:gridCol w:w="146"/>
        <w:gridCol w:w="390"/>
        <w:gridCol w:w="586"/>
        <w:gridCol w:w="146"/>
        <w:gridCol w:w="146"/>
        <w:gridCol w:w="211"/>
        <w:gridCol w:w="676"/>
        <w:gridCol w:w="491"/>
      </w:tblGrid>
      <w:tr>
        <w:trPr/>
        <w:tc>
          <w:tcPr>
            <w:tcW w:w="1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jc w:val="left"/>
              <w:rPr/>
            </w:pPr>
            <w:r>
              <w:rPr/>
              <w:t> </w:t>
            </w:r>
          </w:p>
        </w:tc>
        <w:tc>
          <w:tcPr>
            <w:tcW w:w="8914"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528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Term Loans Amortized Cost Basis 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Revolving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Loans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Term</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Grand</w:t>
            </w:r>
          </w:p>
        </w:tc>
        <w:tc>
          <w:tcPr>
            <w:tcW w:w="491" w:type="dxa"/>
            <w:tcBorders/>
            <w:shd w:fill="auto" w:val="cle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Cost Basis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March 31, 2023</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13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Payment Performance</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1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Performing</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90,367</w:t>
            </w:r>
          </w:p>
        </w:tc>
        <w:tc>
          <w:tcPr>
            <w:tcW w:w="491" w:type="dxa"/>
            <w:tcBorders/>
            <w:shd w:fill="auto" w:val="clear"/>
            <w:vAlign w:val="center"/>
          </w:tcPr>
          <w:p>
            <w:pPr>
              <w:pStyle w:val="TableContents"/>
              <w:spacing w:before="0" w:after="0"/>
              <w:ind w:left="0" w:right="0" w:firstLine="200"/>
              <w:jc w:val="left"/>
              <w:rPr/>
            </w:pPr>
            <w:r>
              <w:rPr/>
              <w:t> </w:t>
            </w:r>
          </w:p>
        </w:tc>
      </w:tr>
      <w:tr>
        <w:trPr/>
        <w:tc>
          <w:tcPr>
            <w:tcW w:w="1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Nonperforming</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36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Consumer</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90,388</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36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Gross charge-offs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collateral-dependent loans grouped by collateral as of March 31, 2023:</w:t>
      </w:r>
    </w:p>
    <w:p>
      <w:pPr>
        <w:pStyle w:val="TextBody"/>
        <w:spacing w:before="0" w:after="0"/>
        <w:jc w:val="both"/>
        <w:rPr/>
      </w:pPr>
      <w:r>
        <w:rPr/>
        <w:t> </w:t>
      </w:r>
    </w:p>
    <w:tbl>
      <w:tblPr>
        <w:tblW w:w="3888" w:type="dxa"/>
        <w:jc w:val="left"/>
        <w:tblInd w:w="0" w:type="dxa"/>
        <w:tblCellMar>
          <w:top w:w="28" w:type="dxa"/>
          <w:left w:w="28" w:type="dxa"/>
          <w:bottom w:w="28" w:type="dxa"/>
          <w:right w:w="28" w:type="dxa"/>
        </w:tblCellMar>
      </w:tblPr>
      <w:tblGrid>
        <w:gridCol w:w="2131"/>
        <w:gridCol w:w="146"/>
        <w:gridCol w:w="659"/>
        <w:gridCol w:w="661"/>
        <w:gridCol w:w="2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Real</w:t>
            </w:r>
          </w:p>
        </w:tc>
        <w:tc>
          <w:tcPr>
            <w:tcW w:w="291" w:type="dxa"/>
            <w:tcBorders/>
            <w:shd w:fill="auto" w:val="cle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Estate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&amp; Industrial</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91"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13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6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Information about impaired loans as of December 31, 2022 and March 31, 2022 are presented for comparison purposes and are as follows:</w:t>
      </w:r>
    </w:p>
    <w:p>
      <w:pPr>
        <w:pStyle w:val="TextBody"/>
        <w:spacing w:before="0" w:after="0"/>
        <w:jc w:val="both"/>
        <w:rPr/>
      </w:pPr>
      <w:r>
        <w:rPr/>
        <w:t> </w:t>
      </w:r>
    </w:p>
    <w:tbl>
      <w:tblPr>
        <w:tblW w:w="7560" w:type="dxa"/>
        <w:jc w:val="left"/>
        <w:tblInd w:w="0" w:type="dxa"/>
        <w:tblCellMar>
          <w:top w:w="28" w:type="dxa"/>
          <w:left w:w="28" w:type="dxa"/>
          <w:bottom w:w="28" w:type="dxa"/>
          <w:right w:w="28" w:type="dxa"/>
        </w:tblCellMar>
      </w:tblPr>
      <w:tblGrid>
        <w:gridCol w:w="3856"/>
        <w:gridCol w:w="146"/>
        <w:gridCol w:w="398"/>
        <w:gridCol w:w="1282"/>
        <w:gridCol w:w="146"/>
        <w:gridCol w:w="146"/>
        <w:gridCol w:w="332"/>
        <w:gridCol w:w="1063"/>
        <w:gridCol w:w="19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loans without a valuation allowance</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3,990</w:t>
            </w:r>
          </w:p>
        </w:tc>
        <w:tc>
          <w:tcPr>
            <w:tcW w:w="1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loans with a valuation allowance</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impaired loans</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allowance related to impaired loans</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non-accrual loans</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loans past-due ninety days or more and</w:t>
              <w:br/>
              <w:t>   still accruing</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Quarter ended average investment in impaired</w:t>
              <w:br/>
              <w:t>   loans</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12,764</w:t>
            </w:r>
          </w:p>
        </w:tc>
        <w:tc>
          <w:tcPr>
            <w:tcW w:w="1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 to date average investment in impaired</w:t>
              <w:br/>
              <w:t>   loans</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The Bank had approximately $3.6</w:t>
      </w:r>
      <w:r>
        <w:rPr>
          <w:rFonts w:ascii="Times New Roman" w:hAnsi="Times New Roman"/>
          <w:sz w:val="20"/>
        </w:rPr>
        <w:t xml:space="preserve"> </w:t>
      </w:r>
      <w:r>
        <w:rPr>
          <w:rFonts w:ascii="Times New Roman;serif" w:hAnsi="Times New Roman;serif"/>
          <w:b w:val="false"/>
          <w:sz w:val="20"/>
        </w:rPr>
        <w:t>million of its impaired loans classified as troubled debt restructured (TDR) as of December 31, 2022</w:t>
      </w:r>
      <w:r>
        <w:rPr>
          <w:rFonts w:ascii="Times New Roman" w:hAnsi="Times New Roman"/>
          <w:sz w:val="20"/>
        </w:rPr>
        <w:t xml:space="preserve"> </w:t>
      </w:r>
      <w:r>
        <w:rPr>
          <w:rFonts w:ascii="Times New Roman;serif" w:hAnsi="Times New Roman;serif"/>
          <w:b w:val="false"/>
          <w:sz w:val="20"/>
        </w:rPr>
        <w:t>and $7.3</w:t>
      </w:r>
      <w:r>
        <w:rPr>
          <w:rFonts w:ascii="Times New Roman" w:hAnsi="Times New Roman"/>
          <w:sz w:val="20"/>
        </w:rPr>
        <w:t xml:space="preserve"> </w:t>
      </w:r>
      <w:r>
        <w:rPr>
          <w:rFonts w:ascii="Times New Roman;serif" w:hAnsi="Times New Roman;serif"/>
          <w:b w:val="false"/>
          <w:sz w:val="20"/>
        </w:rPr>
        <w:t>million as of March 31, 2022.</w:t>
      </w:r>
    </w:p>
    <w:p>
      <w:pPr>
        <w:pStyle w:val="TextBody"/>
        <w:spacing w:before="20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Modification programs focus on payment pattern changes and/or modified maturity dates with most receiving a combination of the two concessions. The modifications did not result in the contractual forgiveness of principal. During the first quarter of 2023 and 2022, no new loans were considered modifications to borrowers experiencing financial difficulty.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three months ended March 31, 2023 and 2022, there were no</w:t>
      </w:r>
      <w:r>
        <w:rPr>
          <w:rFonts w:ascii="Times New Roman" w:hAnsi="Times New Roman"/>
          <w:sz w:val="20"/>
        </w:rPr>
        <w:t xml:space="preserve"> </w:t>
      </w:r>
      <w:r>
        <w:rPr>
          <w:rFonts w:ascii="Times New Roman;serif" w:hAnsi="Times New Roman;serif"/>
          <w:b w:val="false"/>
          <w:sz w:val="20"/>
        </w:rPr>
        <w:t>modifications to borrowers experiencing financial difficulty that subsequently defaulted after modification.</w:t>
      </w:r>
      <w:r>
        <w:rPr>
          <w:rFonts w:ascii="Times New Roman" w:hAnsi="Times New Roman"/>
          <w:sz w:val="20"/>
        </w:rPr>
        <w:t xml:space="preserve"> </w:t>
      </w:r>
    </w:p>
    <w:p>
      <w:pPr>
        <w:pStyle w:val="TextBody"/>
        <w:spacing w:before="20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majority of the Bank’s impaired loans, the Bank applied the fair value of collateral or used a measurement incorporating the present value of expected future cash flows discounted at the loan’s effective rate of interest. To determine fair value of collateral, collateral asset values securing an impaired loan were periodically evaluated. Maximum time of re-evaluation was every 12</w:t>
      </w:r>
      <w:r>
        <w:rPr>
          <w:rFonts w:ascii="Times New Roman" w:hAnsi="Times New Roman"/>
          <w:sz w:val="20"/>
        </w:rPr>
        <w:t xml:space="preserve"> </w:t>
      </w:r>
      <w:r>
        <w:rPr>
          <w:rFonts w:ascii="Times New Roman;serif" w:hAnsi="Times New Roman;serif"/>
          <w:b w:val="false"/>
          <w:sz w:val="20"/>
        </w:rPr>
        <w:t>months for chattels and titled vehicles and every two years</w:t>
      </w:r>
      <w:r>
        <w:rPr>
          <w:rFonts w:ascii="Times New Roman" w:hAnsi="Times New Roman"/>
          <w:sz w:val="20"/>
        </w:rPr>
        <w:t xml:space="preserve"> </w:t>
      </w:r>
      <w:r>
        <w:rPr>
          <w:rFonts w:ascii="Times New Roman;serif" w:hAnsi="Times New Roman;serif"/>
          <w:b w:val="false"/>
          <w:sz w:val="20"/>
        </w:rPr>
        <w:t>for real estate. In this process, third party evaluations were obtained. Until such time that updated appraisals were received, the Bank may have discounted the collateral value used.</w:t>
      </w:r>
    </w:p>
    <w:p>
      <w:pPr>
        <w:pStyle w:val="TextBody"/>
        <w:spacing w:before="200" w:after="0"/>
        <w:jc w:val="both"/>
        <w:rPr>
          <w:rFonts w:ascii="Times New Roman" w:hAnsi="Times New Roman"/>
          <w:sz w:val="20"/>
        </w:rPr>
      </w:pPr>
      <w:r>
        <w:rPr>
          <w:rFonts w:ascii="Times New Roman;serif" w:hAnsi="Times New Roman;serif"/>
          <w:b w:val="false"/>
          <w:sz w:val="20"/>
        </w:rPr>
        <w:t>The Bank used the following guidelines as stated in policy to determine when to realize a charge-off, whether a partial or full loan balance. A charge-off in whole or in part was realized when unsecured consumer loans, credit card credits and overdraft lines of credit reached 90</w:t>
      </w:r>
      <w:r>
        <w:rPr>
          <w:rFonts w:ascii="Times New Roman" w:hAnsi="Times New Roman"/>
          <w:sz w:val="20"/>
        </w:rPr>
        <w:t xml:space="preserve"> </w:t>
      </w:r>
      <w:r>
        <w:rPr>
          <w:rFonts w:ascii="Times New Roman;serif" w:hAnsi="Times New Roman;serif"/>
          <w:b w:val="false"/>
          <w:sz w:val="20"/>
        </w:rPr>
        <w:t>days delinquency. At 90</w:t>
      </w:r>
      <w:r>
        <w:rPr>
          <w:rFonts w:ascii="Times New Roman" w:hAnsi="Times New Roman"/>
          <w:sz w:val="20"/>
        </w:rPr>
        <w:t xml:space="preserve"> </w:t>
      </w:r>
      <w:r>
        <w:rPr>
          <w:rFonts w:ascii="Times New Roman;serif" w:hAnsi="Times New Roman;serif"/>
          <w:b w:val="false"/>
          <w:sz w:val="20"/>
        </w:rPr>
        <w:t>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w:t>
      </w:r>
      <w:r>
        <w:rPr>
          <w:rFonts w:ascii="Times New Roman" w:hAnsi="Times New Roman"/>
          <w:sz w:val="20"/>
        </w:rPr>
        <w:t xml:space="preserve"> </w:t>
      </w:r>
      <w:r>
        <w:rPr>
          <w:rFonts w:ascii="Times New Roman;serif" w:hAnsi="Times New Roman;serif"/>
          <w:b w:val="false"/>
          <w:sz w:val="20"/>
        </w:rPr>
        <w:t>days delinquent. Commercial and agricultural credits were charged down/allocated at 120</w:t>
      </w:r>
      <w:r>
        <w:rPr>
          <w:rFonts w:ascii="Times New Roman" w:hAnsi="Times New Roman"/>
          <w:sz w:val="20"/>
        </w:rPr>
        <w:t xml:space="preserve"> </w:t>
      </w:r>
      <w:r>
        <w:rPr>
          <w:rFonts w:ascii="Times New Roman;serif" w:hAnsi="Times New Roman;serif"/>
          <w:b w:val="false"/>
          <w:sz w:val="20"/>
        </w:rPr>
        <w:t>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tables present loans individually evaluated for impairment by class of loans for the three months ended March 31, 2022 and for the year ended December 31, 2022.</w:t>
      </w:r>
    </w:p>
    <w:p>
      <w:pPr>
        <w:pStyle w:val="TextBody"/>
        <w:spacing w:before="200" w:after="0"/>
        <w:jc w:val="both"/>
        <w:rPr/>
      </w:pPr>
      <w:r>
        <w:rPr/>
        <w:t> </w:t>
      </w:r>
    </w:p>
    <w:tbl>
      <w:tblPr>
        <w:tblW w:w="10205" w:type="dxa"/>
        <w:jc w:val="left"/>
        <w:tblInd w:w="0" w:type="dxa"/>
        <w:tblCellMar>
          <w:top w:w="28" w:type="dxa"/>
          <w:left w:w="28" w:type="dxa"/>
          <w:bottom w:w="28" w:type="dxa"/>
          <w:right w:w="28" w:type="dxa"/>
        </w:tblCellMar>
      </w:tblPr>
      <w:tblGrid>
        <w:gridCol w:w="2217"/>
        <w:gridCol w:w="146"/>
        <w:gridCol w:w="271"/>
        <w:gridCol w:w="735"/>
        <w:gridCol w:w="146"/>
        <w:gridCol w:w="146"/>
        <w:gridCol w:w="226"/>
        <w:gridCol w:w="615"/>
        <w:gridCol w:w="146"/>
        <w:gridCol w:w="146"/>
        <w:gridCol w:w="324"/>
        <w:gridCol w:w="652"/>
        <w:gridCol w:w="146"/>
        <w:gridCol w:w="146"/>
        <w:gridCol w:w="271"/>
        <w:gridCol w:w="735"/>
        <w:gridCol w:w="146"/>
        <w:gridCol w:w="146"/>
        <w:gridCol w:w="431"/>
        <w:gridCol w:w="650"/>
        <w:gridCol w:w="146"/>
        <w:gridCol w:w="146"/>
        <w:gridCol w:w="540"/>
        <w:gridCol w:w="541"/>
        <w:gridCol w:w="391"/>
      </w:tblGrid>
      <w:tr>
        <w:trPr/>
        <w:tc>
          <w:tcPr>
            <w:tcW w:w="22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QTD</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QTD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QTD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Three Months Ended March 31, 2022</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Unpaid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Income</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Recorded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Related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Recorded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Income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Recognized</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Balance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Allowance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Recognized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Cash Basis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 no related allowance recorded:</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 a specific allowance recorded:</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Totals:</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200" w:after="0"/>
        <w:jc w:val="both"/>
        <w:rPr/>
      </w:pPr>
      <w:r>
        <w:rPr/>
        <w:t> </w:t>
      </w:r>
    </w:p>
    <w:tbl>
      <w:tblPr>
        <w:tblW w:w="10205" w:type="dxa"/>
        <w:jc w:val="left"/>
        <w:tblInd w:w="0" w:type="dxa"/>
        <w:tblCellMar>
          <w:top w:w="28" w:type="dxa"/>
          <w:left w:w="28" w:type="dxa"/>
          <w:bottom w:w="28" w:type="dxa"/>
          <w:right w:w="28" w:type="dxa"/>
        </w:tblCellMar>
      </w:tblPr>
      <w:tblGrid>
        <w:gridCol w:w="2217"/>
        <w:gridCol w:w="146"/>
        <w:gridCol w:w="271"/>
        <w:gridCol w:w="735"/>
        <w:gridCol w:w="146"/>
        <w:gridCol w:w="146"/>
        <w:gridCol w:w="226"/>
        <w:gridCol w:w="615"/>
        <w:gridCol w:w="146"/>
        <w:gridCol w:w="146"/>
        <w:gridCol w:w="263"/>
        <w:gridCol w:w="713"/>
        <w:gridCol w:w="146"/>
        <w:gridCol w:w="146"/>
        <w:gridCol w:w="271"/>
        <w:gridCol w:w="735"/>
        <w:gridCol w:w="146"/>
        <w:gridCol w:w="146"/>
        <w:gridCol w:w="359"/>
        <w:gridCol w:w="722"/>
        <w:gridCol w:w="146"/>
        <w:gridCol w:w="146"/>
        <w:gridCol w:w="431"/>
        <w:gridCol w:w="650"/>
        <w:gridCol w:w="391"/>
      </w:tblGrid>
      <w:tr>
        <w:trPr/>
        <w:tc>
          <w:tcPr>
            <w:tcW w:w="22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2022</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Unpaid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Income</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Recorded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Related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Recorded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Income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Recognized</w:t>
            </w:r>
          </w:p>
        </w:tc>
        <w:tc>
          <w:tcPr>
            <w:tcW w:w="391" w:type="dxa"/>
            <w:tcBorders/>
            <w:shd w:fill="auto" w:val="cle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Balance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Allowance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Recognized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Cash Basis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 no related allowance recorded:</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 a specific allowance recorded:</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91" w:type="dxa"/>
            <w:tcBorders/>
            <w:shd w:fill="auto" w:val="cle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Totals:</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1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1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Company had no</w:t>
      </w:r>
      <w:r>
        <w:rPr>
          <w:rFonts w:ascii="Times New Roman" w:hAnsi="Times New Roman"/>
          <w:sz w:val="20"/>
        </w:rPr>
        <w:t xml:space="preserve"> </w:t>
      </w:r>
      <w:r>
        <w:rPr>
          <w:rFonts w:ascii="Times New Roman;serif" w:hAnsi="Times New Roman;serif"/>
          <w:b w:val="false"/>
          <w:sz w:val="20"/>
        </w:rPr>
        <w:t>foreclosed residential real estate property obtained by physical possession and $59</w:t>
      </w:r>
      <w:r>
        <w:rPr>
          <w:rFonts w:ascii="Times New Roman" w:hAnsi="Times New Roman"/>
          <w:sz w:val="20"/>
        </w:rPr>
        <w:t xml:space="preserve"> </w:t>
      </w:r>
      <w:r>
        <w:rPr>
          <w:rFonts w:ascii="Times New Roman;serif" w:hAnsi="Times New Roman;serif"/>
          <w:b w:val="false"/>
          <w:sz w:val="20"/>
        </w:rPr>
        <w:t>thousand of consumer mortgage loans secured by residential real estate properties for which foreclosure proceedings are in process according to local jurisdictions. This compares to the Company having no</w:t>
      </w:r>
      <w:r>
        <w:rPr>
          <w:rFonts w:ascii="Times New Roman" w:hAnsi="Times New Roman"/>
          <w:sz w:val="20"/>
        </w:rPr>
        <w:t xml:space="preserve"> </w:t>
      </w:r>
      <w:r>
        <w:rPr>
          <w:rFonts w:ascii="Times New Roman;serif" w:hAnsi="Times New Roman;serif"/>
          <w:b w:val="false"/>
          <w:sz w:val="20"/>
        </w:rPr>
        <w:t>foreclosed residential real estate property obtained by physical possession and $170</w:t>
      </w:r>
      <w:r>
        <w:rPr>
          <w:rFonts w:ascii="Times New Roman" w:hAnsi="Times New Roman"/>
          <w:sz w:val="20"/>
        </w:rPr>
        <w:t xml:space="preserve"> </w:t>
      </w:r>
      <w:r>
        <w:rPr>
          <w:rFonts w:ascii="Times New Roman;serif" w:hAnsi="Times New Roman;serif"/>
          <w:b w:val="false"/>
          <w:sz w:val="20"/>
        </w:rPr>
        <w:t>thousand of consumer mortgage loans secured by residential real estate properties for which foreclosure proceeding were in process according to local jurisdictions as of December 31, 2022. As of March 31, 2022, the Company had no</w:t>
      </w:r>
      <w:r>
        <w:rPr>
          <w:rFonts w:ascii="Times New Roman" w:hAnsi="Times New Roman"/>
          <w:sz w:val="20"/>
        </w:rPr>
        <w:t xml:space="preserve"> </w:t>
      </w:r>
      <w:r>
        <w:rPr>
          <w:rFonts w:ascii="Times New Roman;serif" w:hAnsi="Times New Roman;serif"/>
          <w:b w:val="false"/>
          <w:sz w:val="20"/>
        </w:rPr>
        <w:t>foreclosed residential real estate property obtained by physical possession and $291</w:t>
      </w:r>
      <w:r>
        <w:rPr>
          <w:rFonts w:ascii="Times New Roman" w:hAnsi="Times New Roman"/>
          <w:sz w:val="20"/>
        </w:rPr>
        <w:t xml:space="preserve"> </w:t>
      </w:r>
      <w:r>
        <w:rPr>
          <w:rFonts w:ascii="Times New Roman;serif" w:hAnsi="Times New Roman;serif"/>
          <w:b w:val="false"/>
          <w:sz w:val="20"/>
        </w:rPr>
        <w:t>thousand of consumer mortgage loans secured by residential real estate properties for which foreclosure proceedings were in process according to local jurisdictions.</w:t>
      </w:r>
    </w:p>
    <w:p>
      <w:pPr>
        <w:pStyle w:val="TextBody"/>
        <w:spacing w:before="200" w:after="0"/>
        <w:jc w:val="both"/>
        <w:rPr>
          <w:rFonts w:ascii="Times New Roman" w:hAnsi="Times New Roman"/>
          <w:sz w:val="20"/>
        </w:rPr>
      </w:pPr>
      <w:r>
        <w:rPr>
          <w:rFonts w:ascii="Times New Roman;serif" w:hAnsi="Times New Roman;serif"/>
          <w:b w:val="false"/>
          <w:sz w:val="20"/>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for loan losses and unfunded commitment liability in the amount of $4.5</w:t>
      </w:r>
      <w:r>
        <w:rPr>
          <w:rFonts w:ascii="Times New Roman" w:hAnsi="Times New Roman"/>
          <w:sz w:val="20"/>
        </w:rPr>
        <w:t xml:space="preserve"> </w:t>
      </w:r>
      <w:r>
        <w:rPr>
          <w:rFonts w:ascii="Times New Roman;serif" w:hAnsi="Times New Roman;serif"/>
          <w:b w:val="false"/>
          <w:sz w:val="20"/>
        </w:rPr>
        <w:t>million, or $3.4</w:t>
      </w:r>
      <w:r>
        <w:rPr>
          <w:rFonts w:ascii="Times New Roman" w:hAnsi="Times New Roman"/>
          <w:sz w:val="20"/>
        </w:rPr>
        <w:t xml:space="preserve"> </w:t>
      </w:r>
      <w:r>
        <w:rPr>
          <w:rFonts w:ascii="Times New Roman;serif" w:hAnsi="Times New Roman;serif"/>
          <w:b w:val="false"/>
          <w:sz w:val="20"/>
        </w:rPr>
        <w:t>million, net of tax.</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Allowance for Credit Losses (ACL) has a direct impact on the provision expense. An increase in the ACL is funded through recoveries and provision expense.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segregates its allowance into two reserves: The Allowance for Credit Losses (ACL) and the Allowance for Unfunded Loan Commitments and Letters of Credit (AULC). When combined, these reserves constitute the total Current Expected Credit Losses (CECL).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allowance does not include an accretable yield of $5.8</w:t>
      </w:r>
      <w:r>
        <w:rPr>
          <w:rFonts w:ascii="Times New Roman" w:hAnsi="Times New Roman"/>
          <w:sz w:val="20"/>
        </w:rPr>
        <w:t xml:space="preserve"> </w:t>
      </w:r>
      <w:r>
        <w:rPr>
          <w:rFonts w:ascii="Times New Roman;serif" w:hAnsi="Times New Roman;serif"/>
          <w:b w:val="false"/>
          <w:sz w:val="20"/>
        </w:rPr>
        <w:t>and $6.3</w:t>
      </w:r>
      <w:r>
        <w:rPr>
          <w:rFonts w:ascii="Times New Roman" w:hAnsi="Times New Roman"/>
          <w:sz w:val="20"/>
        </w:rPr>
        <w:t xml:space="preserve"> </w:t>
      </w:r>
      <w:r>
        <w:rPr>
          <w:rFonts w:ascii="Times New Roman;serif" w:hAnsi="Times New Roman;serif"/>
          <w:b w:val="false"/>
          <w:sz w:val="20"/>
        </w:rPr>
        <w:t>million as of March 31, 2023 and December 31, 2022, respectively, nor a nonaccretable yield of $138</w:t>
      </w:r>
      <w:r>
        <w:rPr>
          <w:rFonts w:ascii="Times New Roman" w:hAnsi="Times New Roman"/>
          <w:sz w:val="20"/>
        </w:rPr>
        <w:t xml:space="preserve"> </w:t>
      </w:r>
      <w:r>
        <w:rPr>
          <w:rFonts w:ascii="Times New Roman;serif" w:hAnsi="Times New Roman;serif"/>
          <w:b w:val="false"/>
          <w:sz w:val="20"/>
        </w:rPr>
        <w:t>thousand as of December 31, 2022, related to the acquisitions of Bank of Geneva in 2019 and Ossian State Bank and Perpetual Federal Savings Bank in 2021 and Peoples Federal Savings and Loan Bank in 2022 as previously discussed in Note 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AULC is reported within other liabilities while the ACL portion associated with loans is netted within the loans, net asset line on the Company’s Condensed Consolidated Balance Sheets.</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breaks down the activity within ACL for each loan portfolio classification and shows the contribution provided by both the recoveries and the provision along with the reduction of the allowance caused by charge-offs as of March 31, 2023:</w:t>
      </w:r>
    </w:p>
    <w:p>
      <w:pPr>
        <w:pStyle w:val="TextBody"/>
        <w:spacing w:before="0" w:after="0"/>
        <w:jc w:val="both"/>
        <w:rPr/>
      </w:pPr>
      <w:r>
        <w:rPr/>
        <w:t> </w:t>
      </w:r>
    </w:p>
    <w:tbl>
      <w:tblPr>
        <w:tblW w:w="11265" w:type="dxa"/>
        <w:jc w:val="left"/>
        <w:tblInd w:w="0" w:type="dxa"/>
        <w:tblCellMar>
          <w:top w:w="28" w:type="dxa"/>
          <w:left w:w="28" w:type="dxa"/>
          <w:bottom w:w="28" w:type="dxa"/>
          <w:right w:w="28" w:type="dxa"/>
        </w:tblCellMar>
      </w:tblPr>
      <w:tblGrid>
        <w:gridCol w:w="1411"/>
        <w:gridCol w:w="146"/>
        <w:gridCol w:w="251"/>
        <w:gridCol w:w="680"/>
        <w:gridCol w:w="166"/>
        <w:gridCol w:w="146"/>
        <w:gridCol w:w="166"/>
        <w:gridCol w:w="146"/>
        <w:gridCol w:w="334"/>
        <w:gridCol w:w="762"/>
        <w:gridCol w:w="166"/>
        <w:gridCol w:w="146"/>
        <w:gridCol w:w="334"/>
        <w:gridCol w:w="762"/>
        <w:gridCol w:w="166"/>
        <w:gridCol w:w="146"/>
        <w:gridCol w:w="260"/>
        <w:gridCol w:w="836"/>
        <w:gridCol w:w="146"/>
        <w:gridCol w:w="146"/>
        <w:gridCol w:w="274"/>
        <w:gridCol w:w="822"/>
        <w:gridCol w:w="166"/>
        <w:gridCol w:w="146"/>
        <w:gridCol w:w="251"/>
        <w:gridCol w:w="680"/>
        <w:gridCol w:w="166"/>
        <w:gridCol w:w="146"/>
        <w:gridCol w:w="211"/>
        <w:gridCol w:w="676"/>
        <w:gridCol w:w="411"/>
      </w:tblGrid>
      <w:tr>
        <w:trPr/>
        <w:tc>
          <w:tcPr>
            <w:tcW w:w="1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97" w:type="dxa"/>
            <w:gridSpan w:val="2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br/>
              <w:t>Real Estate</w:t>
            </w:r>
          </w:p>
        </w:tc>
        <w:tc>
          <w:tcPr>
            <w:tcW w:w="1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br/>
              <w:t>Real Estate</w:t>
            </w:r>
          </w:p>
        </w:tc>
        <w:tc>
          <w:tcPr>
            <w:tcW w:w="1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r>
          </w:p>
        </w:tc>
        <w:tc>
          <w:tcPr>
            <w:tcW w:w="1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w:t>
              <w:br/>
              <w:t>Real Estate</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w:t>
              <w:br/>
              <w:t>and Industrial</w:t>
            </w:r>
          </w:p>
        </w:tc>
        <w:tc>
          <w:tcPr>
            <w:tcW w:w="1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r>
          </w:p>
        </w:tc>
        <w:tc>
          <w:tcPr>
            <w:tcW w:w="1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Three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5,382</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20,313</w:t>
            </w:r>
          </w:p>
        </w:tc>
        <w:tc>
          <w:tcPr>
            <w:tcW w:w="411" w:type="dxa"/>
            <w:tcBorders/>
            <w:shd w:fill="auto" w:val="clear"/>
            <w:vAlign w:val="center"/>
          </w:tcPr>
          <w:p>
            <w:pPr>
              <w:pStyle w:val="TableContents"/>
              <w:spacing w:before="0" w:after="0"/>
              <w:ind w:left="0" w:right="0" w:firstLine="200"/>
              <w:jc w:val="left"/>
              <w:rPr/>
            </w:pPr>
            <w:r>
              <w:rPr/>
              <w:t> </w:t>
            </w:r>
          </w:p>
        </w:tc>
      </w:tr>
      <w:tr>
        <w:trPr/>
        <w:tc>
          <w:tcPr>
            <w:tcW w:w="1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Adoption of ASU 2016-13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2,874</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3,501</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3,564</w:t>
            </w:r>
          </w:p>
        </w:tc>
        <w:tc>
          <w:tcPr>
            <w:tcW w:w="411" w:type="dxa"/>
            <w:tcBorders/>
            <w:shd w:fill="auto" w:val="clear"/>
            <w:vAlign w:val="center"/>
          </w:tcPr>
          <w:p>
            <w:pPr>
              <w:pStyle w:val="TableContents"/>
              <w:spacing w:before="0" w:after="0"/>
              <w:ind w:left="0" w:right="0" w:firstLine="200"/>
              <w:jc w:val="left"/>
              <w:rPr/>
            </w:pPr>
            <w:r>
              <w:rPr/>
              <w:t> </w:t>
            </w:r>
          </w:p>
        </w:tc>
      </w:tr>
      <w:tr>
        <w:trPr/>
        <w:tc>
          <w:tcPr>
            <w:tcW w:w="1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credit losses - loans</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661</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411" w:type="dxa"/>
            <w:tcBorders/>
            <w:shd w:fill="auto" w:val="clear"/>
            <w:vAlign w:val="center"/>
          </w:tcPr>
          <w:p>
            <w:pPr>
              <w:pStyle w:val="TableContents"/>
              <w:spacing w:before="0" w:after="0"/>
              <w:ind w:left="0" w:right="0" w:firstLine="200"/>
              <w:jc w:val="left"/>
              <w:rPr/>
            </w:pPr>
            <w:r>
              <w:rPr/>
              <w:t> </w:t>
            </w:r>
          </w:p>
        </w:tc>
      </w:tr>
      <w:tr>
        <w:trPr/>
        <w:tc>
          <w:tcPr>
            <w:tcW w:w="1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Charge-offs</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411" w:type="dxa"/>
            <w:tcBorders/>
            <w:shd w:fill="auto" w:val="clear"/>
            <w:vAlign w:val="center"/>
          </w:tcPr>
          <w:p>
            <w:pPr>
              <w:pStyle w:val="TableContents"/>
              <w:spacing w:before="0" w:after="0"/>
              <w:ind w:left="0" w:right="0" w:hanging="0"/>
              <w:jc w:val="left"/>
              <w:rPr/>
            </w:pPr>
            <w:r>
              <w:rPr/>
              <w:t> </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w:t>
            </w:r>
          </w:p>
        </w:tc>
        <w:tc>
          <w:tcPr>
            <w:tcW w:w="166" w:type="dxa"/>
            <w:tcBorders>
              <w:top w:val="single" w:sz="4" w:space="0" w:color="000000"/>
              <w:bottom w:val="double" w:sz="6"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p>
        </w:tc>
        <w:tc>
          <w:tcPr>
            <w:tcW w:w="312" w:type="dxa"/>
            <w:gridSpan w:val="2"/>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3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top w:val="single" w:sz="4" w:space="0" w:color="000000"/>
              <w:bottom w:val="double" w:sz="6"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3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top w:val="single" w:sz="4" w:space="0" w:color="000000"/>
              <w:bottom w:val="double" w:sz="6"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6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16,088</w:t>
            </w:r>
          </w:p>
        </w:tc>
        <w:tc>
          <w:tcPr>
            <w:tcW w:w="146" w:type="dxa"/>
            <w:tcBorders>
              <w:top w:val="single" w:sz="4" w:space="0" w:color="000000"/>
              <w:bottom w:val="double" w:sz="6"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7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3,414</w:t>
            </w:r>
          </w:p>
        </w:tc>
        <w:tc>
          <w:tcPr>
            <w:tcW w:w="166" w:type="dxa"/>
            <w:tcBorders>
              <w:top w:val="single" w:sz="4" w:space="0" w:color="000000"/>
              <w:bottom w:val="double" w:sz="6"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166" w:type="dxa"/>
            <w:tcBorders>
              <w:top w:val="single" w:sz="4" w:space="0" w:color="000000"/>
              <w:bottom w:val="double" w:sz="6"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24,634</w:t>
            </w:r>
          </w:p>
        </w:tc>
        <w:tc>
          <w:tcPr>
            <w:tcW w:w="4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breaks down the activity in the AULC as of March 31, 2023:</w:t>
      </w:r>
    </w:p>
    <w:p>
      <w:pPr>
        <w:pStyle w:val="TextBody"/>
        <w:spacing w:before="0" w:after="0"/>
        <w:jc w:val="both"/>
        <w:rPr/>
      </w:pPr>
      <w:r>
        <w:rPr/>
        <w:t> </w:t>
      </w:r>
    </w:p>
    <w:tbl>
      <w:tblPr>
        <w:tblW w:w="9538" w:type="dxa"/>
        <w:jc w:val="left"/>
        <w:tblInd w:w="0" w:type="dxa"/>
        <w:tblCellMar>
          <w:top w:w="28" w:type="dxa"/>
          <w:left w:w="28" w:type="dxa"/>
          <w:bottom w:w="28" w:type="dxa"/>
          <w:right w:w="28" w:type="dxa"/>
        </w:tblCellMar>
      </w:tblPr>
      <w:tblGrid>
        <w:gridCol w:w="7681"/>
        <w:gridCol w:w="146"/>
        <w:gridCol w:w="355"/>
        <w:gridCol w:w="965"/>
        <w:gridCol w:w="391"/>
      </w:tblGrid>
      <w:tr>
        <w:trPr/>
        <w:tc>
          <w:tcPr>
            <w:tcW w:w="7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7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Unfunded</w:t>
              <w:br/>
              <w:t>Loan</w:t>
              <w:br/>
              <w:t>Commitment</w:t>
              <w:br/>
              <w:t>&amp; Letters of</w:t>
              <w:br/>
              <w:t>Credit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6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Three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76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ALLOWANCE FOR UNFUNDED LOAN COMMITMENTS AND LETTERS OF CREDIT</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7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391" w:type="dxa"/>
            <w:tcBorders/>
            <w:shd w:fill="auto" w:val="clear"/>
            <w:vAlign w:val="center"/>
          </w:tcPr>
          <w:p>
            <w:pPr>
              <w:pStyle w:val="TableContents"/>
              <w:spacing w:before="0" w:after="0"/>
              <w:ind w:left="0" w:right="0" w:firstLine="200"/>
              <w:jc w:val="left"/>
              <w:rPr/>
            </w:pPr>
            <w:r>
              <w:rPr/>
              <w:t> </w:t>
            </w:r>
          </w:p>
        </w:tc>
      </w:tr>
      <w:tr>
        <w:trPr/>
        <w:tc>
          <w:tcPr>
            <w:tcW w:w="7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Adoption of ASU 2016-13</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391" w:type="dxa"/>
            <w:tcBorders/>
            <w:shd w:fill="auto" w:val="clear"/>
            <w:vAlign w:val="center"/>
          </w:tcPr>
          <w:p>
            <w:pPr>
              <w:pStyle w:val="TableContents"/>
              <w:spacing w:before="0" w:after="0"/>
              <w:ind w:left="0" w:right="0" w:firstLine="200"/>
              <w:jc w:val="left"/>
              <w:rPr/>
            </w:pPr>
            <w:r>
              <w:rPr/>
              <w:t> </w:t>
            </w:r>
          </w:p>
        </w:tc>
      </w:tr>
      <w:tr>
        <w:trPr/>
        <w:tc>
          <w:tcPr>
            <w:tcW w:w="7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credit losses - off balance sheet credit exposures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91" w:type="dxa"/>
            <w:tcBorders/>
            <w:shd w:fill="auto" w:val="clear"/>
            <w:vAlign w:val="center"/>
          </w:tcPr>
          <w:p>
            <w:pPr>
              <w:pStyle w:val="TableContents"/>
              <w:spacing w:before="0" w:after="0"/>
              <w:ind w:left="0" w:right="0" w:firstLine="200"/>
              <w:jc w:val="left"/>
              <w:rPr/>
            </w:pPr>
            <w:r>
              <w:rPr/>
              <w:t> </w:t>
            </w:r>
          </w:p>
        </w:tc>
      </w:tr>
      <w:tr>
        <w:trPr/>
        <w:tc>
          <w:tcPr>
            <w:tcW w:w="7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Charge-offs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7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7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5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Additional analysis, presented in thousands, related to the ALLL for the three months ended March 31, 2022 in addition to the ending balances as of December 31, 2022 is as follows:</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tbl>
      <w:tblPr>
        <w:tblW w:w="14185" w:type="dxa"/>
        <w:jc w:val="left"/>
        <w:tblInd w:w="0" w:type="dxa"/>
        <w:tblCellMar>
          <w:top w:w="28" w:type="dxa"/>
          <w:left w:w="28" w:type="dxa"/>
          <w:bottom w:w="28" w:type="dxa"/>
          <w:right w:w="28" w:type="dxa"/>
        </w:tblCellMar>
      </w:tblPr>
      <w:tblGrid>
        <w:gridCol w:w="1516"/>
        <w:gridCol w:w="146"/>
        <w:gridCol w:w="211"/>
        <w:gridCol w:w="781"/>
        <w:gridCol w:w="146"/>
        <w:gridCol w:w="146"/>
        <w:gridCol w:w="233"/>
        <w:gridCol w:w="863"/>
        <w:gridCol w:w="166"/>
        <w:gridCol w:w="146"/>
        <w:gridCol w:w="233"/>
        <w:gridCol w:w="863"/>
        <w:gridCol w:w="146"/>
        <w:gridCol w:w="146"/>
        <w:gridCol w:w="233"/>
        <w:gridCol w:w="863"/>
        <w:gridCol w:w="146"/>
        <w:gridCol w:w="146"/>
        <w:gridCol w:w="233"/>
        <w:gridCol w:w="863"/>
        <w:gridCol w:w="166"/>
        <w:gridCol w:w="146"/>
        <w:gridCol w:w="221"/>
        <w:gridCol w:w="710"/>
        <w:gridCol w:w="166"/>
        <w:gridCol w:w="146"/>
        <w:gridCol w:w="315"/>
        <w:gridCol w:w="856"/>
        <w:gridCol w:w="146"/>
        <w:gridCol w:w="146"/>
        <w:gridCol w:w="365"/>
        <w:gridCol w:w="731"/>
        <w:gridCol w:w="146"/>
        <w:gridCol w:w="146"/>
        <w:gridCol w:w="211"/>
        <w:gridCol w:w="931"/>
        <w:gridCol w:w="41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br/>
              <w:t>Real Estate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br/>
              <w:t>Real Estate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w:t>
              <w:br/>
              <w:t>Real Estate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w:t>
              <w:br/>
              <w:t>and Industrial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Unfunded</w:t>
              <w:br/>
              <w:t>Loan</w:t>
              <w:br/>
              <w:t>Commitment</w:t>
              <w:br/>
              <w:t>&amp; Letters of</w:t>
              <w:br/>
              <w:t>Credit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Unallocated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Three Months Ended March 31, 2022</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17,283</w:t>
            </w:r>
          </w:p>
        </w:tc>
        <w:tc>
          <w:tcPr>
            <w:tcW w:w="411" w:type="dxa"/>
            <w:tcBorders/>
            <w:shd w:fill="auto" w:val="cle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 Offs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411" w:type="dxa"/>
            <w:tcBorders/>
            <w:shd w:fill="auto" w:val="cle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(Credit)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411" w:type="dxa"/>
            <w:tcBorders/>
            <w:shd w:fill="auto" w:val="cle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Other Non-interest expense related to </w:t>
              <w:br/>
              <w:t>   unfunded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17,847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individually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collectively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loans acquired with </w:t>
              <w:br/>
              <w:t>   deteriorated credit quality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RECEIVABLES: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410,064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195,901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140,847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909,408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1,962,220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individually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collectively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408,694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189,033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140,827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905,076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246,904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1,948,149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loans acquired with </w:t>
              <w:br/>
              <w:t>   deteriorated credit quality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bottom w:val="double" w:sz="6"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tbl>
      <w:tblPr>
        <w:tblW w:w="14251" w:type="dxa"/>
        <w:jc w:val="left"/>
        <w:tblInd w:w="0" w:type="dxa"/>
        <w:tblCellMar>
          <w:top w:w="28" w:type="dxa"/>
          <w:left w:w="28" w:type="dxa"/>
          <w:bottom w:w="28" w:type="dxa"/>
          <w:right w:w="28" w:type="dxa"/>
        </w:tblCellMar>
      </w:tblPr>
      <w:tblGrid>
        <w:gridCol w:w="1516"/>
        <w:gridCol w:w="146"/>
        <w:gridCol w:w="211"/>
        <w:gridCol w:w="781"/>
        <w:gridCol w:w="146"/>
        <w:gridCol w:w="146"/>
        <w:gridCol w:w="233"/>
        <w:gridCol w:w="863"/>
        <w:gridCol w:w="166"/>
        <w:gridCol w:w="146"/>
        <w:gridCol w:w="233"/>
        <w:gridCol w:w="863"/>
        <w:gridCol w:w="146"/>
        <w:gridCol w:w="146"/>
        <w:gridCol w:w="211"/>
        <w:gridCol w:w="931"/>
        <w:gridCol w:w="146"/>
        <w:gridCol w:w="146"/>
        <w:gridCol w:w="233"/>
        <w:gridCol w:w="863"/>
        <w:gridCol w:w="166"/>
        <w:gridCol w:w="146"/>
        <w:gridCol w:w="221"/>
        <w:gridCol w:w="710"/>
        <w:gridCol w:w="166"/>
        <w:gridCol w:w="146"/>
        <w:gridCol w:w="315"/>
        <w:gridCol w:w="856"/>
        <w:gridCol w:w="146"/>
        <w:gridCol w:w="146"/>
        <w:gridCol w:w="393"/>
        <w:gridCol w:w="703"/>
        <w:gridCol w:w="166"/>
        <w:gridCol w:w="146"/>
        <w:gridCol w:w="211"/>
        <w:gridCol w:w="931"/>
        <w:gridCol w:w="41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Consumer </w:t>
              <w:br/>
              <w:t>Real Estate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 Real Estate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Agricultural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Commercial </w:t>
              <w:br/>
              <w:t>and Industrial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Consumer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Unfunded </w:t>
              <w:br/>
              <w:t xml:space="preserve">Loan </w:t>
              <w:br/>
              <w:t xml:space="preserve">Commitment </w:t>
              <w:br/>
              <w:t xml:space="preserve">&amp; Letters of </w:t>
              <w:br/>
              <w:t>Credit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Unallocated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17,283</w:t>
            </w:r>
          </w:p>
        </w:tc>
        <w:tc>
          <w:tcPr>
            <w:tcW w:w="411" w:type="dxa"/>
            <w:tcBorders/>
            <w:shd w:fill="auto" w:val="cle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 Offs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411" w:type="dxa"/>
            <w:tcBorders/>
            <w:shd w:fill="auto" w:val="cle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(Credit)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4,600</w:t>
            </w:r>
          </w:p>
        </w:tc>
        <w:tc>
          <w:tcPr>
            <w:tcW w:w="411" w:type="dxa"/>
            <w:tcBorders/>
            <w:shd w:fill="auto" w:val="cle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Other Non-interest expense related to </w:t>
              <w:br/>
              <w:t>   unfunded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21,575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individually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collectively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19,579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loans acquired with </w:t>
              <w:br/>
              <w:t>   deteriorated credit quality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RECEIVABLES: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494,423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220,514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1,150,511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2,356,387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individually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collectively evaluated </w:t>
              <w:br/>
              <w:t>   for impairment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493,449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1,146,389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270,493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2,346,871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Ending balance: loans acquired with </w:t>
              <w:br/>
              <w:t>   deteriorated credit quality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NOTE 5 EARNINGS PER SHARE</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pStyle w:val="TextBody"/>
        <w:spacing w:before="200" w:after="0"/>
        <w:jc w:val="both"/>
        <w:rPr>
          <w:rFonts w:ascii="Times New Roman" w:hAnsi="Times New Roman"/>
          <w:sz w:val="20"/>
        </w:rPr>
      </w:pPr>
      <w:r>
        <w:rPr>
          <w:rFonts w:ascii="Times New Roman;serif" w:hAnsi="Times New Roman;serif"/>
          <w:b w:val="false"/>
          <w:sz w:val="20"/>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4, 2021, ten</w:t>
      </w:r>
      <w:r>
        <w:rPr>
          <w:rFonts w:ascii="Times New Roman" w:hAnsi="Times New Roman"/>
          <w:sz w:val="20"/>
        </w:rPr>
        <w:t xml:space="preserve"> </w:t>
      </w:r>
      <w:r>
        <w:rPr>
          <w:rFonts w:ascii="Times New Roman;serif" w:hAnsi="Times New Roman;serif"/>
          <w:b w:val="false"/>
          <w:sz w:val="20"/>
        </w:rPr>
        <w:t>Directors received approximately $6,000</w:t>
      </w:r>
      <w:r>
        <w:rPr>
          <w:rFonts w:ascii="Times New Roman" w:hAnsi="Times New Roman"/>
          <w:sz w:val="20"/>
        </w:rPr>
        <w:t xml:space="preserve"> </w:t>
      </w:r>
      <w:r>
        <w:rPr>
          <w:rFonts w:ascii="Times New Roman;serif" w:hAnsi="Times New Roman;serif"/>
          <w:b w:val="false"/>
          <w:sz w:val="20"/>
        </w:rPr>
        <w:t>worth of shares which equated to 272</w:t>
      </w:r>
      <w:r>
        <w:rPr>
          <w:rFonts w:ascii="Times New Roman" w:hAnsi="Times New Roman"/>
          <w:sz w:val="20"/>
        </w:rPr>
        <w:t xml:space="preserve"> </w:t>
      </w:r>
      <w:r>
        <w:rPr>
          <w:rFonts w:ascii="Times New Roman;serif" w:hAnsi="Times New Roman;serif"/>
          <w:b w:val="false"/>
          <w:sz w:val="20"/>
        </w:rPr>
        <w:t>shares while four</w:t>
      </w:r>
      <w:r>
        <w:rPr>
          <w:rFonts w:ascii="Times New Roman" w:hAnsi="Times New Roman"/>
          <w:sz w:val="20"/>
        </w:rPr>
        <w:t xml:space="preserve"> </w:t>
      </w:r>
      <w:r>
        <w:rPr>
          <w:rFonts w:ascii="Times New Roman;serif" w:hAnsi="Times New Roman;serif"/>
          <w:b w:val="false"/>
          <w:sz w:val="20"/>
        </w:rPr>
        <w:t>Directors received a prorated dollar value of shares. On October 1, 2021, a new Director was added as a result of the Perpetual Federal Savings Bank acquisition and received 68</w:t>
      </w:r>
      <w:r>
        <w:rPr>
          <w:rFonts w:ascii="Times New Roman" w:hAnsi="Times New Roman"/>
          <w:sz w:val="20"/>
        </w:rPr>
        <w:t xml:space="preserve"> </w:t>
      </w:r>
      <w:r>
        <w:rPr>
          <w:rFonts w:ascii="Times New Roman;serif" w:hAnsi="Times New Roman;serif"/>
          <w:b w:val="false"/>
          <w:sz w:val="20"/>
        </w:rPr>
        <w:t>prorated shares worth approximately $1,523. On June 3, 2022, twelve</w:t>
      </w:r>
      <w:r>
        <w:rPr>
          <w:rFonts w:ascii="Times New Roman" w:hAnsi="Times New Roman"/>
          <w:sz w:val="20"/>
        </w:rPr>
        <w:t xml:space="preserve"> </w:t>
      </w:r>
      <w:r>
        <w:rPr>
          <w:rFonts w:ascii="Times New Roman;serif" w:hAnsi="Times New Roman;serif"/>
          <w:b w:val="false"/>
          <w:sz w:val="20"/>
        </w:rPr>
        <w:t>Directors each received $10,013</w:t>
      </w:r>
      <w:r>
        <w:rPr>
          <w:rFonts w:ascii="Times New Roman" w:hAnsi="Times New Roman"/>
          <w:sz w:val="20"/>
        </w:rPr>
        <w:t xml:space="preserve"> </w:t>
      </w:r>
      <w:r>
        <w:rPr>
          <w:rFonts w:ascii="Times New Roman;serif" w:hAnsi="Times New Roman;serif"/>
          <w:b w:val="false"/>
          <w:sz w:val="20"/>
        </w:rPr>
        <w:t>which equated to 240</w:t>
      </w:r>
      <w:r>
        <w:rPr>
          <w:rFonts w:ascii="Times New Roman" w:hAnsi="Times New Roman"/>
          <w:sz w:val="20"/>
        </w:rPr>
        <w:t xml:space="preserve"> </w:t>
      </w:r>
      <w:r>
        <w:rPr>
          <w:rFonts w:ascii="Times New Roman;serif" w:hAnsi="Times New Roman;serif"/>
          <w:b w:val="false"/>
          <w:sz w:val="20"/>
        </w:rPr>
        <w:t>shares. The use of stock for Directors’ retainer, does not have an effect on diluted earnings per share as it is immediately vested.</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Any stock awards to senior management are made in March with other members of management receiving any awards in August. On March 1, 2023, senior management received stock awards of 21,700</w:t>
      </w:r>
      <w:r>
        <w:rPr>
          <w:rFonts w:ascii="Times New Roman" w:hAnsi="Times New Roman"/>
          <w:sz w:val="20"/>
        </w:rPr>
        <w:t xml:space="preserve"> </w:t>
      </w:r>
      <w:r>
        <w:rPr>
          <w:rFonts w:ascii="Times New Roman;serif" w:hAnsi="Times New Roman;serif"/>
          <w:b w:val="false"/>
          <w:sz w:val="20"/>
        </w:rPr>
        <w:t>shares worth approximately $562,030.</w:t>
      </w:r>
    </w:p>
    <w:tbl>
      <w:tblPr>
        <w:tblW w:w="8950" w:type="dxa"/>
        <w:jc w:val="left"/>
        <w:tblInd w:w="0" w:type="dxa"/>
        <w:tblCellMar>
          <w:top w:w="28" w:type="dxa"/>
          <w:left w:w="28" w:type="dxa"/>
          <w:bottom w:w="28" w:type="dxa"/>
          <w:right w:w="28" w:type="dxa"/>
        </w:tblCellMar>
      </w:tblPr>
      <w:tblGrid>
        <w:gridCol w:w="4741"/>
        <w:gridCol w:w="146"/>
        <w:gridCol w:w="289"/>
        <w:gridCol w:w="1423"/>
        <w:gridCol w:w="228"/>
        <w:gridCol w:w="200"/>
        <w:gridCol w:w="289"/>
        <w:gridCol w:w="1423"/>
        <w:gridCol w:w="21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 of dollars, except per share data)</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2"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71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6,466</w:t>
            </w:r>
          </w:p>
        </w:tc>
        <w:tc>
          <w:tcPr>
            <w:tcW w:w="228"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distributed earnings allocated to participating</w:t>
              <w:br/>
              <w:t>   securities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undistributed earnings allocated to participating</w:t>
              <w:br/>
              <w:t>   securities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earnings available to common shareholders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6,401</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71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including</w:t>
              <w:br/>
              <w:t>   participating securities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13,615,655</w:t>
            </w:r>
          </w:p>
        </w:tc>
        <w:tc>
          <w:tcPr>
            <w:tcW w:w="228"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13,066,272</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average unvested restricted shares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(136,185</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(111,165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13,479,470</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12,955,107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NOTE 6 FAIR VALUE OF FINANCIAL INSTRUMENTS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estimated fair values, and related carrying or notional amounts, for on and off-balance sheet financial instruments as of March 31, 2023 and December 31, 2022 are reflected below.</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890"/>
        <w:gridCol w:w="146"/>
        <w:gridCol w:w="211"/>
        <w:gridCol w:w="931"/>
        <w:gridCol w:w="146"/>
        <w:gridCol w:w="146"/>
        <w:gridCol w:w="211"/>
        <w:gridCol w:w="931"/>
        <w:gridCol w:w="146"/>
        <w:gridCol w:w="146"/>
        <w:gridCol w:w="211"/>
        <w:gridCol w:w="781"/>
        <w:gridCol w:w="146"/>
        <w:gridCol w:w="146"/>
        <w:gridCol w:w="211"/>
        <w:gridCol w:w="781"/>
        <w:gridCol w:w="146"/>
        <w:gridCol w:w="146"/>
        <w:gridCol w:w="211"/>
        <w:gridCol w:w="931"/>
        <w:gridCol w:w="591"/>
      </w:tblGrid>
      <w:tr>
        <w:trPr/>
        <w:tc>
          <w:tcPr>
            <w:tcW w:w="28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200"/>
              <w:jc w:val="center"/>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time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Securities - available-for-sale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372,975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372,975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11,543</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held for sale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2,422,018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2,262,480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2,262,480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11,472</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8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bearing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1,391,084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1,391,020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Non-interest bearing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Time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601,939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590,775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590,775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89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2,513,168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2,501,940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1,981,795</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funds purchased and securities sold under</w:t>
              <w:br/>
              <w:t>   agreement to repurchase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30,496</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Home Loan Bank advances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164,327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161,723</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Subordinated notes, net of unamortized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2,587</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890"/>
        <w:gridCol w:w="146"/>
        <w:gridCol w:w="211"/>
        <w:gridCol w:w="931"/>
        <w:gridCol w:w="146"/>
        <w:gridCol w:w="146"/>
        <w:gridCol w:w="211"/>
        <w:gridCol w:w="931"/>
        <w:gridCol w:w="146"/>
        <w:gridCol w:w="146"/>
        <w:gridCol w:w="211"/>
        <w:gridCol w:w="781"/>
        <w:gridCol w:w="146"/>
        <w:gridCol w:w="146"/>
        <w:gridCol w:w="211"/>
        <w:gridCol w:w="781"/>
        <w:gridCol w:w="146"/>
        <w:gridCol w:w="146"/>
        <w:gridCol w:w="211"/>
        <w:gridCol w:w="931"/>
        <w:gridCol w:w="591"/>
      </w:tblGrid>
      <w:tr>
        <w:trPr/>
        <w:tc>
          <w:tcPr>
            <w:tcW w:w="28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Carrying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200"/>
              <w:jc w:val="center"/>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time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Securities - available-for-sale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292,766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9,799</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held for sale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2,336,074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2,171,152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2,171,152</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8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bearing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1,378,090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1,377,944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1,377,944</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Non-interest bearing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Time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557,980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543,737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543,737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89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2,468,864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2,454,475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1,921,681</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funds purchased and securities sold under</w:t>
              <w:br/>
              <w:t>   agreement to repurchase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54,206</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Home Loan Bank advances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125,761</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borrowings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Subordinated notes, net of unamortized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8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1,739</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Fair Value Measurements: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general, fair values determined by Level 1 inputs use quoted prices in active markets for identical assets or liabilities in active markets that the Company has the ability to access.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Available-for-sale securities, when quoted prices are available in an active market, securities are valued using the quoted price and are classified as Level 1.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 </w:t>
      </w:r>
    </w:p>
    <w:p>
      <w:pPr>
        <w:pStyle w:val="TextBody"/>
        <w:spacing w:before="200" w:after="0"/>
        <w:jc w:val="both"/>
        <w:rPr>
          <w:rFonts w:ascii="Times New Roman" w:hAnsi="Times New Roman"/>
          <w:sz w:val="20"/>
        </w:rPr>
      </w:pPr>
      <w:r>
        <w:rPr>
          <w:rFonts w:ascii="Times New Roman;serif" w:hAnsi="Times New Roman;serif"/>
          <w:b w:val="false"/>
          <w:sz w:val="20"/>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pStyle w:val="TextBody"/>
        <w:spacing w:before="200" w:after="0"/>
        <w:jc w:val="both"/>
        <w:rPr>
          <w:rFonts w:ascii="Times New Roman" w:hAnsi="Times New Roman"/>
          <w:sz w:val="20"/>
        </w:rPr>
      </w:pPr>
      <w:r>
        <w:rPr>
          <w:rFonts w:ascii="Times New Roman;serif" w:hAnsi="Times New Roman;serif"/>
          <w:b w:val="false"/>
          <w:sz w:val="20"/>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summarizes financial assets measured at fair value on a recurring basis as of March 31, 2023 and December 31, 2022, segregated by level or the valuation inputs within the fair value hierarchy utilized to measure fair value:</w:t>
      </w:r>
    </w:p>
    <w:p>
      <w:pPr>
        <w:pStyle w:val="TextBody"/>
        <w:spacing w:before="0" w:after="0"/>
        <w:jc w:val="both"/>
        <w:rPr/>
      </w:pPr>
      <w:r>
        <w:rPr/>
        <w:t> </w:t>
      </w:r>
    </w:p>
    <w:tbl>
      <w:tblPr>
        <w:tblW w:w="8039" w:type="dxa"/>
        <w:jc w:val="left"/>
        <w:tblInd w:w="0" w:type="dxa"/>
        <w:tblCellMar>
          <w:top w:w="28" w:type="dxa"/>
          <w:left w:w="28" w:type="dxa"/>
          <w:bottom w:w="28" w:type="dxa"/>
          <w:right w:w="28" w:type="dxa"/>
        </w:tblCellMar>
      </w:tblPr>
      <w:tblGrid>
        <w:gridCol w:w="3226"/>
        <w:gridCol w:w="146"/>
        <w:gridCol w:w="342"/>
        <w:gridCol w:w="1098"/>
        <w:gridCol w:w="146"/>
        <w:gridCol w:w="146"/>
        <w:gridCol w:w="217"/>
        <w:gridCol w:w="804"/>
        <w:gridCol w:w="146"/>
        <w:gridCol w:w="146"/>
        <w:gridCol w:w="332"/>
        <w:gridCol w:w="899"/>
        <w:gridCol w:w="39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7648" w:type="dxa"/>
            <w:gridSpan w:val="1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Assets and Liabilities Measured at Fair Value on a Recurring Basis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27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Quoted Prices in</w:t>
              <w:br/>
              <w:t>Active Markets</w:t>
              <w:br/>
              <w:t>for Identical</w:t>
              <w:br/>
              <w:t>Assets (Level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Unobservable</w:t>
              <w:br/>
              <w:t>Inputs</w:t>
              <w:b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 - (Securities Available-for-Sale)</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1"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and local governments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65,895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Securities Available-for-Sale</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282,323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8039" w:type="dxa"/>
        <w:jc w:val="left"/>
        <w:tblInd w:w="0" w:type="dxa"/>
        <w:tblCellMar>
          <w:top w:w="28" w:type="dxa"/>
          <w:left w:w="28" w:type="dxa"/>
          <w:bottom w:w="28" w:type="dxa"/>
          <w:right w:w="28" w:type="dxa"/>
        </w:tblCellMar>
      </w:tblPr>
      <w:tblGrid>
        <w:gridCol w:w="3226"/>
        <w:gridCol w:w="146"/>
        <w:gridCol w:w="342"/>
        <w:gridCol w:w="1098"/>
        <w:gridCol w:w="146"/>
        <w:gridCol w:w="146"/>
        <w:gridCol w:w="217"/>
        <w:gridCol w:w="804"/>
        <w:gridCol w:w="146"/>
        <w:gridCol w:w="146"/>
        <w:gridCol w:w="332"/>
        <w:gridCol w:w="899"/>
        <w:gridCol w:w="39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Quoted Prices in</w:t>
              <w:br/>
              <w:t>Active Markets</w:t>
              <w:br/>
              <w:t>for Identical</w:t>
              <w:br/>
              <w:t>Assets (Level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Unobservable</w:t>
              <w:br/>
              <w:t>Inputs</w:t>
              <w:b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 - (Securities Available-for-Sale)</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1"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139,767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and local governments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Securities Available-for-Sale</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292,766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following tables represent the changes in the Level 3 fair-value category of which unobservable inputs are relied upon as of the three period ended March 31, 2023 and March 31, 2022. During the three month period ended March 31, 2022, there was one</w:t>
      </w:r>
      <w:r>
        <w:rPr>
          <w:rFonts w:ascii="Times New Roman" w:hAnsi="Times New Roman"/>
          <w:sz w:val="20"/>
        </w:rPr>
        <w:t xml:space="preserve"> </w:t>
      </w:r>
      <w:r>
        <w:rPr>
          <w:rFonts w:ascii="Times New Roman;serif" w:hAnsi="Times New Roman;serif"/>
          <w:b w:val="false"/>
          <w:sz w:val="20"/>
        </w:rPr>
        <w:t>security transferred from Level 3 to Level 2.</w:t>
      </w:r>
    </w:p>
    <w:p>
      <w:pPr>
        <w:pStyle w:val="TextBody"/>
        <w:spacing w:before="0" w:after="0"/>
        <w:jc w:val="both"/>
        <w:rPr/>
      </w:pPr>
      <w:r>
        <w:rPr/>
        <w:t> </w:t>
      </w:r>
    </w:p>
    <w:tbl>
      <w:tblPr>
        <w:tblW w:w="6817" w:type="dxa"/>
        <w:jc w:val="left"/>
        <w:tblInd w:w="0" w:type="dxa"/>
        <w:tblCellMar>
          <w:top w:w="28" w:type="dxa"/>
          <w:left w:w="28" w:type="dxa"/>
          <w:bottom w:w="28" w:type="dxa"/>
          <w:right w:w="28" w:type="dxa"/>
        </w:tblCellMar>
      </w:tblPr>
      <w:tblGrid>
        <w:gridCol w:w="2686"/>
        <w:gridCol w:w="146"/>
        <w:gridCol w:w="299"/>
        <w:gridCol w:w="812"/>
        <w:gridCol w:w="204"/>
        <w:gridCol w:w="179"/>
        <w:gridCol w:w="259"/>
        <w:gridCol w:w="702"/>
        <w:gridCol w:w="179"/>
        <w:gridCol w:w="179"/>
        <w:gridCol w:w="259"/>
        <w:gridCol w:w="702"/>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4"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 Value Measurements Using Significant</w:t>
            </w:r>
          </w:p>
        </w:tc>
        <w:tc>
          <w:tcPr>
            <w:tcW w:w="21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4"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Unobservable Inputs (Level 3)</w:t>
            </w:r>
          </w:p>
        </w:tc>
        <w:tc>
          <w:tcPr>
            <w:tcW w:w="21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State and Local</w:t>
              <w:br/>
              <w:t>Governments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Tax-Exempt</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Taxable</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&amp; Maturities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Reclassification &amp; Adjustments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6824" w:type="dxa"/>
        <w:jc w:val="left"/>
        <w:tblInd w:w="0" w:type="dxa"/>
        <w:tblCellMar>
          <w:top w:w="28" w:type="dxa"/>
          <w:left w:w="28" w:type="dxa"/>
          <w:bottom w:w="28" w:type="dxa"/>
          <w:right w:w="28" w:type="dxa"/>
        </w:tblCellMar>
      </w:tblPr>
      <w:tblGrid>
        <w:gridCol w:w="2686"/>
        <w:gridCol w:w="146"/>
        <w:gridCol w:w="299"/>
        <w:gridCol w:w="812"/>
        <w:gridCol w:w="202"/>
        <w:gridCol w:w="178"/>
        <w:gridCol w:w="257"/>
        <w:gridCol w:w="698"/>
        <w:gridCol w:w="202"/>
        <w:gridCol w:w="178"/>
        <w:gridCol w:w="257"/>
        <w:gridCol w:w="698"/>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1"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 Value Measurements Using Significant</w:t>
            </w:r>
          </w:p>
        </w:tc>
        <w:tc>
          <w:tcPr>
            <w:tcW w:w="21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1"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Unobservable Inputs (Level 3)</w:t>
            </w:r>
          </w:p>
        </w:tc>
        <w:tc>
          <w:tcPr>
            <w:tcW w:w="21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State and Local</w:t>
              <w:br/>
              <w:t>Governments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Tax-Exempt</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9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Taxable</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2,307</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4,773</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&amp; Maturities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Reclassification &amp; Adjustments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95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2,108</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Most of the Company's available-for-sale securities, including any bonds issued by local municipalities, have CUSIP numbers or have similar characteristics of those in the municipal markets, making them marketable and comparable as Level 2.</w:t>
      </w:r>
    </w:p>
    <w:p>
      <w:pPr>
        <w:pStyle w:val="TextBody"/>
        <w:spacing w:before="200" w:after="0"/>
        <w:jc w:val="both"/>
        <w:rPr>
          <w:rFonts w:ascii="Times New Roman" w:hAnsi="Times New Roman"/>
          <w:sz w:val="20"/>
        </w:rPr>
      </w:pPr>
      <w:r>
        <w:rPr>
          <w:rFonts w:ascii="Times New Roman;serif" w:hAnsi="Times New Roman;serif"/>
          <w:b w:val="false"/>
          <w:sz w:val="20"/>
        </w:rPr>
        <w:t>The Company also has assets that, under certain conditions, are subject to measurement at fair value on a non-recurring basis. At March 31, 2023 and December 31, 2022, such assets consist primarily of collateral dependent loans. Collateral dependent loans categorized as Level 3 assets consist of non-homogeneous loans that have expected credit losses.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At March 31, 2023 and December 31, 2022, fair value of collateral dependent impaired loans categorized as Level 3 was $9</w:t>
      </w:r>
      <w:r>
        <w:rPr>
          <w:rFonts w:ascii="Times New Roman" w:hAnsi="Times New Roman"/>
          <w:sz w:val="20"/>
        </w:rPr>
        <w:t xml:space="preserve"> </w:t>
      </w:r>
      <w:r>
        <w:rPr>
          <w:rFonts w:ascii="Times New Roman;serif" w:hAnsi="Times New Roman;serif"/>
          <w:b w:val="false"/>
          <w:sz w:val="20"/>
        </w:rPr>
        <w:t>thousand and $2.7</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presents quantitative information about unobservable inputs used in recurring and nonrecurring Level 3 fair value measurements: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979"/>
        <w:gridCol w:w="146"/>
        <w:gridCol w:w="343"/>
        <w:gridCol w:w="934"/>
        <w:gridCol w:w="146"/>
        <w:gridCol w:w="146"/>
        <w:gridCol w:w="1735"/>
        <w:gridCol w:w="146"/>
        <w:gridCol w:w="2699"/>
        <w:gridCol w:w="146"/>
        <w:gridCol w:w="1785"/>
      </w:tblGrid>
      <w:tr>
        <w:trPr/>
        <w:tc>
          <w:tcPr>
            <w:tcW w:w="1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r>
      <w:tr>
        <w:trPr/>
        <w:tc>
          <w:tcPr>
            <w:tcW w:w="197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9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Range</w:t>
            </w:r>
          </w:p>
        </w:tc>
      </w:tr>
      <w:tr>
        <w:trPr/>
        <w:tc>
          <w:tcPr>
            <w:tcW w:w="197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 Value at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9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(Weighted</w:t>
            </w:r>
          </w:p>
        </w:tc>
      </w:tr>
      <w:tr>
        <w:trPr/>
        <w:tc>
          <w:tcPr>
            <w:tcW w:w="197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Valuation 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Unobservable 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w:t>
            </w:r>
          </w:p>
        </w:tc>
      </w:tr>
      <w:tr>
        <w:trPr/>
        <w:tc>
          <w:tcPr>
            <w:tcW w:w="19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and local government</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6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strength of underlying project or</w:t>
              <w:br/>
              <w:t>entity / Discount rate</w:t>
            </w:r>
          </w:p>
        </w:tc>
        <w:tc>
          <w:tcPr>
            <w:tcW w:w="146" w:type="dxa"/>
            <w:tcBorders/>
            <w:shd w:fill="auto" w:val="clear"/>
            <w:vAlign w:val="center"/>
          </w:tcPr>
          <w:p>
            <w:pPr>
              <w:pStyle w:val="TableContents"/>
              <w:spacing w:before="0" w:after="0"/>
              <w:ind w:left="0" w:right="0" w:hanging="0"/>
              <w:jc w:val="left"/>
              <w:rPr/>
            </w:pPr>
            <w:r>
              <w:rPr/>
              <w:t> </w:t>
            </w:r>
          </w:p>
        </w:tc>
        <w:tc>
          <w:tcPr>
            <w:tcW w:w="178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3.15-</w:t>
              <w:br/>
              <w:t>4.53% (4.10%)</w:t>
            </w:r>
          </w:p>
        </w:tc>
      </w:tr>
      <w:tr>
        <w:trPr/>
        <w:tc>
          <w:tcPr>
            <w:tcW w:w="197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5" w:type="dxa"/>
            <w:tcBorders/>
            <w:shd w:fill="auto" w:val="clear"/>
            <w:vAlign w:val="center"/>
          </w:tcPr>
          <w:p>
            <w:pPr>
              <w:pStyle w:val="TableContents"/>
              <w:spacing w:before="0" w:after="0"/>
              <w:ind w:left="0" w:right="0" w:hanging="0"/>
              <w:jc w:val="left"/>
              <w:rPr/>
            </w:pPr>
            <w:r>
              <w:rPr/>
              <w:t> </w:t>
            </w:r>
          </w:p>
        </w:tc>
      </w:tr>
      <w:tr>
        <w:trPr/>
        <w:tc>
          <w:tcPr>
            <w:tcW w:w="19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Collateral dependent</w:t>
              <w:br/>
              <w:t>loans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Collateral based</w:t>
              <w:br/>
              <w:t>measurements</w:t>
            </w:r>
          </w:p>
        </w:tc>
        <w:tc>
          <w:tcPr>
            <w:tcW w:w="146" w:type="dxa"/>
            <w:tcBorders/>
            <w:shd w:fill="auto" w:val="clear"/>
            <w:vAlign w:val="center"/>
          </w:tcPr>
          <w:p>
            <w:pPr>
              <w:pStyle w:val="TableContents"/>
              <w:spacing w:before="0" w:after="0"/>
              <w:ind w:left="0" w:right="0" w:hanging="0"/>
              <w:jc w:val="left"/>
              <w:rPr/>
            </w:pPr>
            <w:r>
              <w:rPr/>
              <w:t> </w:t>
            </w:r>
          </w:p>
        </w:tc>
        <w:tc>
          <w:tcPr>
            <w:tcW w:w="26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to reflect current market</w:t>
              <w:br/>
              <w:t>conditions and ultimate collectability</w:t>
            </w:r>
          </w:p>
        </w:tc>
        <w:tc>
          <w:tcPr>
            <w:tcW w:w="146" w:type="dxa"/>
            <w:tcBorders/>
            <w:shd w:fill="auto" w:val="clear"/>
            <w:vAlign w:val="center"/>
          </w:tcPr>
          <w:p>
            <w:pPr>
              <w:pStyle w:val="TableContents"/>
              <w:spacing w:before="0" w:after="0"/>
              <w:ind w:left="0" w:right="0" w:hanging="0"/>
              <w:jc w:val="left"/>
              <w:rPr/>
            </w:pPr>
            <w:r>
              <w:rPr/>
              <w:t> </w:t>
            </w:r>
          </w:p>
        </w:tc>
        <w:tc>
          <w:tcPr>
            <w:tcW w:w="178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20.00-20.00% (20.00%)</w:t>
            </w:r>
          </w:p>
        </w:tc>
      </w:tr>
      <w:tr>
        <w:trPr/>
        <w:tc>
          <w:tcPr>
            <w:tcW w:w="197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935"/>
        <w:gridCol w:w="146"/>
        <w:gridCol w:w="391"/>
        <w:gridCol w:w="1063"/>
        <w:gridCol w:w="146"/>
        <w:gridCol w:w="146"/>
        <w:gridCol w:w="1711"/>
        <w:gridCol w:w="146"/>
        <w:gridCol w:w="2627"/>
        <w:gridCol w:w="146"/>
        <w:gridCol w:w="1748"/>
      </w:tblGrid>
      <w:tr>
        <w:trPr/>
        <w:tc>
          <w:tcPr>
            <w:tcW w:w="19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r>
      <w:tr>
        <w:trPr/>
        <w:tc>
          <w:tcPr>
            <w:tcW w:w="19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Range</w:t>
            </w:r>
          </w:p>
        </w:tc>
      </w:tr>
      <w:tr>
        <w:trPr/>
        <w:tc>
          <w:tcPr>
            <w:tcW w:w="19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Fair Value at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(Weighted</w:t>
            </w:r>
          </w:p>
        </w:tc>
      </w:tr>
      <w:tr>
        <w:trPr/>
        <w:tc>
          <w:tcPr>
            <w:tcW w:w="19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Valuation 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Unobservable 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w:t>
            </w:r>
          </w:p>
        </w:tc>
      </w:tr>
      <w:tr>
        <w:trPr/>
        <w:tc>
          <w:tcPr>
            <w:tcW w:w="1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and local government</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strength of underlying project or</w:t>
              <w:br/>
              <w:t>entity / Discount rate</w:t>
            </w:r>
          </w:p>
        </w:tc>
        <w:tc>
          <w:tcPr>
            <w:tcW w:w="146"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2.08-5.01% (4.38%)</w:t>
            </w:r>
          </w:p>
        </w:tc>
      </w:tr>
      <w:tr>
        <w:trPr/>
        <w:tc>
          <w:tcPr>
            <w:tcW w:w="1935"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left"/>
              <w:rPr/>
            </w:pPr>
            <w:r>
              <w:rPr/>
              <w:t> </w:t>
            </w:r>
          </w:p>
        </w:tc>
      </w:tr>
      <w:tr>
        <w:trPr/>
        <w:tc>
          <w:tcPr>
            <w:tcW w:w="1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Collateral dependent</w:t>
              <w:br/>
              <w:t>   impaired loans</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Collateral based</w:t>
              <w:br/>
              <w:t>measurements</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to reflect current market</w:t>
              <w:br/>
              <w:t>conditions and ultimate collectability</w:t>
            </w:r>
          </w:p>
        </w:tc>
        <w:tc>
          <w:tcPr>
            <w:tcW w:w="146"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20.00-29.01% (24.13%)</w:t>
            </w:r>
          </w:p>
        </w:tc>
      </w:tr>
      <w:tr>
        <w:trPr/>
        <w:tc>
          <w:tcPr>
            <w:tcW w:w="1935"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8"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assets measured at fair value on a nonrecurring basis at March 31, 2023 and December 31, 2022: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781"/>
        <w:gridCol w:w="146"/>
        <w:gridCol w:w="687"/>
        <w:gridCol w:w="672"/>
        <w:gridCol w:w="344"/>
        <w:gridCol w:w="344"/>
        <w:gridCol w:w="765"/>
        <w:gridCol w:w="596"/>
        <w:gridCol w:w="344"/>
        <w:gridCol w:w="344"/>
        <w:gridCol w:w="863"/>
        <w:gridCol w:w="679"/>
        <w:gridCol w:w="344"/>
        <w:gridCol w:w="344"/>
        <w:gridCol w:w="875"/>
        <w:gridCol w:w="876"/>
        <w:gridCol w:w="201"/>
      </w:tblGrid>
      <w:tr>
        <w:trPr/>
        <w:tc>
          <w:tcPr>
            <w:tcW w:w="1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Assets Measured at Fair Value on a Nonrecurring Basis at March 31, 2023</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Balance at</w:t>
              <w:br/>
              <w:t>March 31, 2023</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4" w:type="dxa"/>
            <w:tcBorders/>
            <w:shd w:fill="auto" w:val="clear"/>
            <w:vAlign w:val="center"/>
          </w:tcPr>
          <w:p>
            <w:pPr>
              <w:pStyle w:val="TableContents"/>
              <w:spacing w:before="0" w:after="0"/>
              <w:ind w:left="0" w:right="0" w:hanging="0"/>
              <w:jc w:val="center"/>
              <w:rPr/>
            </w:pPr>
            <w:r>
              <w:rPr/>
              <w:t> </w:t>
            </w:r>
          </w:p>
        </w:tc>
        <w:tc>
          <w:tcPr>
            <w:tcW w:w="13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Quoted Prices</w:t>
              <w:br/>
              <w:t>in Active</w:t>
              <w:br/>
              <w:t xml:space="preserve">Markets for </w:t>
              <w:br/>
              <w:t>Identical</w:t>
              <w:br/>
              <w:t>Assets (Level 1)</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4" w:type="dxa"/>
            <w:tcBorders/>
            <w:shd w:fill="auto" w:val="clear"/>
            <w:vAlign w:val="center"/>
          </w:tcPr>
          <w:p>
            <w:pPr>
              <w:pStyle w:val="TableContents"/>
              <w:spacing w:before="0" w:after="0"/>
              <w:ind w:left="0" w:right="0" w:hanging="0"/>
              <w:jc w:val="center"/>
              <w:rPr/>
            </w:pPr>
            <w:r>
              <w:rPr/>
              <w:t> </w:t>
            </w:r>
          </w:p>
        </w:tc>
        <w:tc>
          <w:tcPr>
            <w:tcW w:w="1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Observable Inputs</w:t>
              <w:br/>
              <w:t>(Level 2)</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4" w:type="dxa"/>
            <w:tcBorders/>
            <w:shd w:fill="auto" w:val="clear"/>
            <w:vAlign w:val="center"/>
          </w:tcPr>
          <w:p>
            <w:pPr>
              <w:pStyle w:val="TableContents"/>
              <w:spacing w:before="0" w:after="0"/>
              <w:ind w:left="0" w:right="0" w:hanging="0"/>
              <w:jc w:val="center"/>
              <w:rPr/>
            </w:pPr>
            <w:r>
              <w:rPr/>
              <w:t> </w:t>
            </w:r>
          </w:p>
        </w:tc>
        <w:tc>
          <w:tcPr>
            <w:tcW w:w="1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Unobservable Inputs</w:t>
              <w:br/>
              <w:t>(Level 3)</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Collateral dependent</w:t>
              <w:br/>
              <w:t>   loans</w:t>
            </w:r>
          </w:p>
        </w:tc>
        <w:tc>
          <w:tcPr>
            <w:tcW w:w="146" w:type="dxa"/>
            <w:tcBorders/>
            <w:shd w:fill="auto" w:val="clear"/>
            <w:vAlign w:val="center"/>
          </w:tcPr>
          <w:p>
            <w:pPr>
              <w:pStyle w:val="TableContents"/>
              <w:spacing w:before="0" w:after="0"/>
              <w:ind w:left="0" w:right="0" w:hanging="0"/>
              <w:jc w:val="right"/>
              <w:rPr/>
            </w:pPr>
            <w:r>
              <w:rPr/>
              <w:t> </w:t>
            </w:r>
          </w:p>
        </w:tc>
        <w:tc>
          <w:tcPr>
            <w:tcW w:w="6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44"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4"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4"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0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802"/>
        <w:gridCol w:w="146"/>
        <w:gridCol w:w="449"/>
        <w:gridCol w:w="1205"/>
        <w:gridCol w:w="285"/>
        <w:gridCol w:w="285"/>
        <w:gridCol w:w="769"/>
        <w:gridCol w:w="606"/>
        <w:gridCol w:w="285"/>
        <w:gridCol w:w="285"/>
        <w:gridCol w:w="870"/>
        <w:gridCol w:w="685"/>
        <w:gridCol w:w="285"/>
        <w:gridCol w:w="285"/>
        <w:gridCol w:w="478"/>
        <w:gridCol w:w="1287"/>
        <w:gridCol w:w="198"/>
      </w:tblGrid>
      <w:tr>
        <w:trPr/>
        <w:tc>
          <w:tcPr>
            <w:tcW w:w="18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8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5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5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Assets Measured at Fair Value on a Nonrecurring Basis at December 31, 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Balance at</w:t>
              <w:br/>
              <w:t>December 31, 2022</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5" w:type="dxa"/>
            <w:tcBorders/>
            <w:shd w:fill="auto" w:val="clear"/>
            <w:vAlign w:val="center"/>
          </w:tcPr>
          <w:p>
            <w:pPr>
              <w:pStyle w:val="TableContents"/>
              <w:spacing w:before="0" w:after="0"/>
              <w:ind w:left="0" w:right="0" w:hanging="0"/>
              <w:jc w:val="center"/>
              <w:rPr/>
            </w:pPr>
            <w:r>
              <w:rPr/>
              <w:t> </w:t>
            </w:r>
          </w:p>
        </w:tc>
        <w:tc>
          <w:tcPr>
            <w:tcW w:w="13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Quoted Prices</w:t>
              <w:br/>
              <w:t>in Active</w:t>
              <w:br/>
              <w:t xml:space="preserve">Markets for </w:t>
              <w:br/>
              <w:t>Identical</w:t>
              <w:br/>
              <w:t>Assets (Level 1)</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5" w:type="dxa"/>
            <w:tcBorders/>
            <w:shd w:fill="auto" w:val="clear"/>
            <w:vAlign w:val="center"/>
          </w:tcPr>
          <w:p>
            <w:pPr>
              <w:pStyle w:val="TableContents"/>
              <w:spacing w:before="0" w:after="0"/>
              <w:ind w:left="0" w:right="0" w:hanging="0"/>
              <w:jc w:val="center"/>
              <w:rPr/>
            </w:pPr>
            <w:r>
              <w:rPr/>
              <w:t> </w:t>
            </w:r>
          </w:p>
        </w:tc>
        <w:tc>
          <w:tcPr>
            <w:tcW w:w="15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Observable Inputs</w:t>
              <w:br/>
              <w:t>(Level 2)</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5" w:type="dxa"/>
            <w:tcBorders/>
            <w:shd w:fill="auto" w:val="clear"/>
            <w:vAlign w:val="center"/>
          </w:tcPr>
          <w:p>
            <w:pPr>
              <w:pStyle w:val="TableContents"/>
              <w:spacing w:before="0" w:after="0"/>
              <w:ind w:left="0" w:right="0" w:hanging="0"/>
              <w:jc w:val="center"/>
              <w:rPr/>
            </w:pPr>
            <w:r>
              <w:rPr/>
              <w:t> </w:t>
            </w:r>
          </w:p>
        </w:tc>
        <w:tc>
          <w:tcPr>
            <w:tcW w:w="1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Significant</w:t>
              <w:br/>
              <w:t>Unobservable Inputs</w:t>
              <w:br/>
              <w:t>(Level 3)</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Collateral dependent</w:t>
              <w:br/>
              <w:t>   impaired loans</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2,667</w:t>
            </w:r>
          </w:p>
        </w:tc>
        <w:tc>
          <w:tcPr>
            <w:tcW w:w="285"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85"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85"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4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2,667</w:t>
            </w:r>
          </w:p>
        </w:tc>
        <w:tc>
          <w:tcPr>
            <w:tcW w:w="198"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both"/>
        <w:rPr>
          <w:rFonts w:ascii="Times New Roman" w:hAnsi="Times New Roman"/>
          <w:sz w:val="20"/>
        </w:rPr>
      </w:pPr>
      <w:r>
        <w:rPr>
          <w:rFonts w:ascii="Times New Roman;serif" w:hAnsi="Times New Roman;serif"/>
          <w:b w:val="false"/>
          <w:sz w:val="20"/>
        </w:rPr>
        <w:t>NOTE 7 FEDERAL FUNDS PURCHASED AND SECURITIES SOLD UNDER AGREEMENTS TO REPURCHASE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federal funds purchased as of March 31, 2023</w:t>
      </w:r>
      <w:r>
        <w:rPr>
          <w:rFonts w:ascii="Times New Roman" w:hAnsi="Times New Roman"/>
          <w:sz w:val="20"/>
        </w:rPr>
        <w:t xml:space="preserve"> </w:t>
      </w:r>
      <w:r>
        <w:rPr>
          <w:rFonts w:ascii="Times New Roman;serif" w:hAnsi="Times New Roman;serif"/>
          <w:b w:val="false"/>
          <w:sz w:val="20"/>
        </w:rPr>
        <w:t>and $22.6</w:t>
      </w:r>
      <w:r>
        <w:rPr>
          <w:rFonts w:ascii="Times New Roman" w:hAnsi="Times New Roman"/>
          <w:sz w:val="20"/>
        </w:rPr>
        <w:t xml:space="preserve"> </w:t>
      </w:r>
      <w:r>
        <w:rPr>
          <w:rFonts w:ascii="Times New Roman;serif" w:hAnsi="Times New Roman;serif"/>
          <w:b w:val="false"/>
          <w:sz w:val="20"/>
        </w:rPr>
        <w:t>million as of December 31, 2022. During the same time periods, the Company had $30.5</w:t>
      </w:r>
      <w:r>
        <w:rPr>
          <w:rFonts w:ascii="Times New Roman" w:hAnsi="Times New Roman"/>
          <w:sz w:val="20"/>
        </w:rPr>
        <w:t xml:space="preserve"> </w:t>
      </w:r>
      <w:r>
        <w:rPr>
          <w:rFonts w:ascii="Times New Roman;serif" w:hAnsi="Times New Roman;serif"/>
          <w:b w:val="false"/>
          <w:sz w:val="20"/>
        </w:rPr>
        <w:t>million and $31.6</w:t>
      </w:r>
      <w:r>
        <w:rPr>
          <w:rFonts w:ascii="Times New Roman" w:hAnsi="Times New Roman"/>
          <w:sz w:val="20"/>
        </w:rPr>
        <w:t xml:space="preserve"> </w:t>
      </w:r>
      <w:r>
        <w:rPr>
          <w:rFonts w:ascii="Times New Roman;serif" w:hAnsi="Times New Roman;serif"/>
          <w:b w:val="false"/>
          <w:sz w:val="20"/>
        </w:rPr>
        <w:t>million in securities sold under agreement to repurchase.</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328"/>
        <w:gridCol w:w="146"/>
        <w:gridCol w:w="515"/>
        <w:gridCol w:w="1398"/>
        <w:gridCol w:w="171"/>
        <w:gridCol w:w="171"/>
        <w:gridCol w:w="583"/>
        <w:gridCol w:w="460"/>
        <w:gridCol w:w="171"/>
        <w:gridCol w:w="171"/>
        <w:gridCol w:w="489"/>
        <w:gridCol w:w="385"/>
        <w:gridCol w:w="171"/>
        <w:gridCol w:w="171"/>
        <w:gridCol w:w="258"/>
        <w:gridCol w:w="830"/>
        <w:gridCol w:w="171"/>
        <w:gridCol w:w="171"/>
        <w:gridCol w:w="248"/>
        <w:gridCol w:w="797"/>
        <w:gridCol w:w="400"/>
      </w:tblGrid>
      <w:tr>
        <w:trPr/>
        <w:tc>
          <w:tcPr>
            <w:tcW w:w="23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r>
      <w:tr>
        <w:trPr/>
        <w:tc>
          <w:tcPr>
            <w:tcW w:w="23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3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3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Remaining Contractual Maturity of the Agreements (In Thousands)</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3"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43"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45" w:type="dxa"/>
            <w:gridSpan w:val="2"/>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pPr>
            <w:r>
              <w:rPr/>
              <w:t> </w:t>
            </w:r>
          </w:p>
        </w:tc>
      </w:tr>
      <w:tr>
        <w:trPr/>
        <w:tc>
          <w:tcPr>
            <w:tcW w:w="23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Overnight &amp; Continuous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0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Up to 30 days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8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30-90</w:t>
            </w:r>
            <w:r>
              <w:rPr>
                <w:rFonts w:ascii="Times New Roman" w:hAnsi="Times New Roman"/>
                <w:sz w:val="20"/>
              </w:rPr>
              <w:t xml:space="preserve"> </w:t>
            </w:r>
            <w:r>
              <w:rPr>
                <w:rFonts w:ascii="Times New Roman;serif" w:hAnsi="Times New Roman;serif"/>
                <w:b w:val="false"/>
                <w:sz w:val="20"/>
              </w:rPr>
              <w:t>days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Greater Than</w:t>
              <w:br/>
              <w:t>90 days</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0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funds purchased</w:t>
            </w:r>
          </w:p>
        </w:tc>
        <w:tc>
          <w:tcPr>
            <w:tcW w:w="14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00" w:type="dxa"/>
            <w:tcBorders/>
            <w:shd w:fill="auto" w:val="clear"/>
            <w:vAlign w:val="center"/>
          </w:tcPr>
          <w:p>
            <w:pPr>
              <w:pStyle w:val="TableContents"/>
              <w:spacing w:before="0" w:after="0"/>
              <w:ind w:left="0" w:right="0" w:hanging="0"/>
              <w:jc w:val="left"/>
              <w:rPr/>
            </w:pPr>
            <w:r>
              <w:rPr/>
              <w:t> </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agreements</w:t>
            </w:r>
          </w:p>
        </w:tc>
        <w:tc>
          <w:tcPr>
            <w:tcW w:w="146" w:type="dxa"/>
            <w:tcBorders/>
            <w:shd w:fill="auto" w:val="clear"/>
            <w:vAlign w:val="center"/>
          </w:tcPr>
          <w:p>
            <w:pPr>
              <w:pStyle w:val="TableContents"/>
              <w:spacing w:before="0" w:after="0"/>
              <w:ind w:left="0" w:right="0" w:hanging="0"/>
              <w:jc w:val="left"/>
              <w:rPr/>
            </w:pPr>
            <w:r>
              <w:rPr/>
              <w:t> </w:t>
            </w:r>
          </w:p>
        </w:tc>
        <w:tc>
          <w:tcPr>
            <w:tcW w:w="1913"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43"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88" w:type="dxa"/>
            <w:gridSpan w:val="2"/>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45" w:type="dxa"/>
            <w:gridSpan w:val="2"/>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firstLine="200"/>
              <w:jc w:val="left"/>
              <w:rPr/>
            </w:pPr>
            <w:r>
              <w:rPr/>
              <w:t> </w:t>
            </w:r>
          </w:p>
        </w:tc>
      </w:tr>
      <w:tr>
        <w:trPr/>
        <w:tc>
          <w:tcPr>
            <w:tcW w:w="232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&amp; agency securities</w:t>
            </w:r>
          </w:p>
        </w:tc>
        <w:tc>
          <w:tcPr>
            <w:tcW w:w="146" w:type="dxa"/>
            <w:tcBorders/>
            <w:shd w:fill="auto" w:val="clear"/>
            <w:vAlign w:val="center"/>
          </w:tcPr>
          <w:p>
            <w:pPr>
              <w:pStyle w:val="TableContents"/>
              <w:spacing w:before="0" w:after="0"/>
              <w:ind w:left="0" w:right="0" w:hanging="0"/>
              <w:jc w:val="left"/>
              <w:rPr/>
            </w:pPr>
            <w:r>
              <w:rPr/>
              <w:t> </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28,968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30,496</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1,528</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28,968</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30,496</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344"/>
        <w:gridCol w:w="146"/>
        <w:gridCol w:w="455"/>
        <w:gridCol w:w="1466"/>
        <w:gridCol w:w="168"/>
        <w:gridCol w:w="168"/>
        <w:gridCol w:w="587"/>
        <w:gridCol w:w="463"/>
        <w:gridCol w:w="168"/>
        <w:gridCol w:w="168"/>
        <w:gridCol w:w="491"/>
        <w:gridCol w:w="387"/>
        <w:gridCol w:w="168"/>
        <w:gridCol w:w="168"/>
        <w:gridCol w:w="258"/>
        <w:gridCol w:w="832"/>
        <w:gridCol w:w="168"/>
        <w:gridCol w:w="168"/>
        <w:gridCol w:w="244"/>
        <w:gridCol w:w="784"/>
        <w:gridCol w:w="404"/>
      </w:tblGrid>
      <w:tr>
        <w:trPr/>
        <w:tc>
          <w:tcPr>
            <w:tcW w:w="23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234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Remaining Contractual Maturity of the Agreements (In Thousands)</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1"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878"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8" w:type="dxa"/>
            <w:gridSpan w:val="2"/>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r>
      <w:tr>
        <w:trPr/>
        <w:tc>
          <w:tcPr>
            <w:tcW w:w="23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Overnight &amp; Continuous</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Up to 30 days</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8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30-90</w:t>
            </w:r>
            <w:r>
              <w:rPr>
                <w:rFonts w:ascii="Times New Roman" w:hAnsi="Times New Roman"/>
                <w:sz w:val="20"/>
              </w:rPr>
              <w:t xml:space="preserve"> </w:t>
            </w:r>
            <w:r>
              <w:rPr>
                <w:rFonts w:ascii="Times New Roman;serif" w:hAnsi="Times New Roman;serif"/>
                <w:b w:val="false"/>
                <w:sz w:val="20"/>
              </w:rPr>
              <w:t>days</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10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Greater Than</w:t>
              <w:br/>
              <w:t>90 days</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center"/>
              <w:rPr/>
            </w:pPr>
            <w:r>
              <w:rPr/>
              <w:t> </w:t>
            </w:r>
          </w:p>
        </w:tc>
        <w:tc>
          <w:tcPr>
            <w:tcW w:w="10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funds purchased</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22,573</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5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22,573</w:t>
            </w:r>
          </w:p>
        </w:tc>
        <w:tc>
          <w:tcPr>
            <w:tcW w:w="404" w:type="dxa"/>
            <w:tcBorders/>
            <w:shd w:fill="auto" w:val="clear"/>
            <w:vAlign w:val="center"/>
          </w:tcPr>
          <w:p>
            <w:pPr>
              <w:pStyle w:val="TableContents"/>
              <w:spacing w:before="0" w:after="0"/>
              <w:ind w:left="0" w:right="0" w:hanging="0"/>
              <w:jc w:val="left"/>
              <w:rPr/>
            </w:pPr>
            <w:r>
              <w:rPr/>
              <w:t> </w:t>
            </w:r>
          </w:p>
        </w:tc>
      </w:tr>
      <w:tr>
        <w:trPr/>
        <w:tc>
          <w:tcPr>
            <w:tcW w:w="2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agreements</w:t>
            </w:r>
          </w:p>
        </w:tc>
        <w:tc>
          <w:tcPr>
            <w:tcW w:w="146" w:type="dxa"/>
            <w:tcBorders/>
            <w:shd w:fill="auto" w:val="clear"/>
            <w:vAlign w:val="center"/>
          </w:tcPr>
          <w:p>
            <w:pPr>
              <w:pStyle w:val="TableContents"/>
              <w:spacing w:before="0" w:after="0"/>
              <w:ind w:left="0" w:right="0" w:hanging="0"/>
              <w:jc w:val="left"/>
              <w:rPr/>
            </w:pPr>
            <w:r>
              <w:rPr/>
              <w:t> </w:t>
            </w:r>
          </w:p>
        </w:tc>
        <w:tc>
          <w:tcPr>
            <w:tcW w:w="1921"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878"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8" w:type="dxa"/>
            <w:gridSpan w:val="2"/>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firstLine="200"/>
              <w:jc w:val="left"/>
              <w:rPr/>
            </w:pPr>
            <w:r>
              <w:rPr/>
              <w:t> </w:t>
            </w:r>
          </w:p>
        </w:tc>
      </w:tr>
      <w:tr>
        <w:trPr/>
        <w:tc>
          <w:tcPr>
            <w:tcW w:w="234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&amp; agency securities</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5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30,518</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31,633</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23,688</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5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30,518</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54,206</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both"/>
        <w:rPr>
          <w:rFonts w:ascii="Times New Roman" w:hAnsi="Times New Roman"/>
          <w:sz w:val="20"/>
        </w:rPr>
      </w:pPr>
      <w:r>
        <w:rPr>
          <w:rFonts w:ascii="Times New Roman;serif" w:hAnsi="Times New Roman;serif"/>
          <w:b w:val="false"/>
          <w:sz w:val="20"/>
        </w:rPr>
        <w:t>NOTE 8 SUBORDINATED NOTES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July 30, 2021, the Company announced the completion of a private placement of $35</w:t>
      </w:r>
      <w:r>
        <w:rPr>
          <w:rFonts w:ascii="Times New Roman" w:hAnsi="Times New Roman"/>
          <w:sz w:val="20"/>
        </w:rPr>
        <w:t xml:space="preserve"> </w:t>
      </w:r>
      <w:r>
        <w:rPr>
          <w:rFonts w:ascii="Times New Roman;serif" w:hAnsi="Times New Roman;serif"/>
          <w:b w:val="false"/>
          <w:sz w:val="20"/>
        </w:rPr>
        <w:t>million aggregate principal amount of its 3.25% fixed-to-floating rate subordinated notes due July 30, 2031</w:t>
      </w:r>
      <w:r>
        <w:rPr>
          <w:rFonts w:ascii="Times New Roman" w:hAnsi="Times New Roman"/>
          <w:sz w:val="20"/>
        </w:rPr>
        <w:t xml:space="preserve"> </w:t>
      </w:r>
      <w:r>
        <w:rPr>
          <w:rFonts w:ascii="Times New Roman;serif" w:hAnsi="Times New Roman;serif"/>
          <w:b w:val="false"/>
          <w:sz w:val="20"/>
        </w:rPr>
        <w:t>(the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Interest on the Notes accrues at a rate equal to (i) 3.25% per annum from the original issue date to, but excluding, the five-year anniversary, payable semi-annually</w:t>
      </w:r>
      <w:r>
        <w:rPr>
          <w:rFonts w:ascii="Times New Roman" w:hAnsi="Times New Roman"/>
          <w:sz w:val="20"/>
        </w:rPr>
        <w:t xml:space="preserve"> </w:t>
      </w:r>
      <w:r>
        <w:rPr>
          <w:rFonts w:ascii="Times New Roman;serif" w:hAnsi="Times New Roman;serif"/>
          <w:b w:val="false"/>
          <w:sz w:val="20"/>
        </w:rPr>
        <w:t>in arrears, and (ii) a floating rate per annum equal to a benchmark rate, which is expected to be the Three-Month Term SOFR (as defined in the Notes), plus a spread of 263</w:t>
      </w:r>
      <w:r>
        <w:rPr>
          <w:rFonts w:ascii="Times New Roman" w:hAnsi="Times New Roman"/>
          <w:sz w:val="20"/>
        </w:rPr>
        <w:t xml:space="preserve"> </w:t>
      </w:r>
      <w:r>
        <w:rPr>
          <w:rFonts w:ascii="Times New Roman;serif" w:hAnsi="Times New Roman;serif"/>
          <w:b w:val="false"/>
          <w:sz w:val="20"/>
        </w:rPr>
        <w:t>basis points from and including the five-year</w:t>
      </w:r>
      <w:r>
        <w:rPr>
          <w:rFonts w:ascii="Times New Roman" w:hAnsi="Times New Roman"/>
          <w:sz w:val="20"/>
        </w:rPr>
        <w:t xml:space="preserve"> </w:t>
      </w:r>
      <w:r>
        <w:rPr>
          <w:rFonts w:ascii="Times New Roman;serif" w:hAnsi="Times New Roman;serif"/>
          <w:b w:val="false"/>
          <w:sz w:val="20"/>
        </w:rPr>
        <w:t>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701"/>
        <w:gridCol w:w="146"/>
        <w:gridCol w:w="211"/>
        <w:gridCol w:w="676"/>
        <w:gridCol w:w="146"/>
        <w:gridCol w:w="146"/>
        <w:gridCol w:w="833"/>
        <w:gridCol w:w="1905"/>
        <w:gridCol w:w="166"/>
        <w:gridCol w:w="146"/>
        <w:gridCol w:w="211"/>
        <w:gridCol w:w="676"/>
        <w:gridCol w:w="146"/>
        <w:gridCol w:w="146"/>
        <w:gridCol w:w="833"/>
        <w:gridCol w:w="1905"/>
        <w:gridCol w:w="212"/>
      </w:tblGrid>
      <w:tr>
        <w:trPr/>
        <w:tc>
          <w:tcPr>
            <w:tcW w:w="1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1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31, 2022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Unamortized Note Issuance Costs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Unamortized Note Issuance Costs</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Subordinated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0" w:after="0"/>
        <w:jc w:val="both"/>
        <w:rPr>
          <w:rFonts w:ascii="Times New Roman" w:hAnsi="Times New Roman"/>
          <w:sz w:val="20"/>
        </w:rPr>
      </w:pPr>
      <w:r>
        <w:rPr>
          <w:rFonts w:ascii="Times New Roman;serif" w:hAnsi="Times New Roman;serif"/>
          <w:b w:val="false"/>
          <w:sz w:val="20"/>
        </w:rPr>
        <w:t>NOTE 10 RECENT ACCOUNTING PRONOUNCEMENTS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June 2016, the Financial Accounting Standards Board (“FASB”) issued Accounting Standards Update (“ASU”) No. 2016-13 “Financial Instruments – Credit Losses (Topic 326): Measurement of Credit Losses on Financial Instruments.” This ASU required the measurement of all expected credit losses for financial assets held at the reporting date to be based on historical experience, current conditions, and reasonable and supportable forecasts. Financial institutions and other organizations now use forward-looking information to better calculate their credit loss estimates. Many of the loss estimation techniques used prior to adoption of the ASU are still permitted, although the inputs to those techniques were changed to reflect the full amount of expected credit losses. Organizations continue to use judgment to determine which loss estimation method is appropriate for their circumstances. The ASU required enhanced disclosures to help investors and other financial statement users better understand significant estimates and judgments used in estimating credit losses, as well as the credit quality and underwriting standards of an organization’s portfolio. These disclosures included qualitative and quantitative requirements that provided additional information about the amounts recorded in the financial statements. In addition, the ASU amended the accounting for credit losses on available-for-sale debt securities and purchased financial assets with credit deterioration.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ASU was effective for SEC filers for fiscal years, and interim periods within those fiscal years, beginning after December 15, 2019 (i.e., January 1, 2020, for calendar year entities). FASB subsequently approved a delay in adoption for Smaller Reporting Companies. The Company had completed an analysis to determine that it qualifies as a Smaller Reporting Company. As such, adoption was postponed until January 1, 2023.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Current Expected Credit Losses (“CECL”) methodology applies to loans held for investment, held to maturity debt securities, and off balance-sheet credit exposures. The ASU allows for several different methods of computing the ACL: closed pool, vintage, average charge-off, migration, probability of default / loss given default, discounted cash flow, and regression. Based on its analysis of observable data, the Company concluded the average charge-off method to be the most appropriate and statistically relevant. A 20-year lookback will be utilized as the historical loss period due to its inclusion of several economic cycles and relevance to real estate secured assets.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br/>
        <w:t>The Company began working with its third-party service provider to review parallel reports in June 2019. At the end of first quarter 2022, the Company evaluated and refined its methodology and produced a parallel report for the calculation of the ACL under the ASU guidance. The Company contracted with a third party to perform an independent validation of its processes and methodology. This validation has been completed and will be performed on an annual basis.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qualitative impact of the new accounting standard will still be directed by many of the same factors that impacted the previous methodology for computing the allowance including, but not limited to, quality and experience of staff, changes in the value of collateral, concentrations of credit in loan types or industries and changes to lending policies. In addition to this, the Company will also use reasonable and supportable forecasts. Examples of this are regression analyses of data from the Federal Open Market Committee quarterly economic projections for change in real GDP and of national unemployment.</w:t>
      </w:r>
    </w:p>
    <w:p>
      <w:pPr>
        <w:pStyle w:val="TextBody"/>
        <w:spacing w:before="200" w:after="0"/>
        <w:jc w:val="both"/>
        <w:rPr>
          <w:rFonts w:ascii="Times New Roman" w:hAnsi="Times New Roman"/>
          <w:sz w:val="20"/>
        </w:rPr>
      </w:pPr>
      <w:r>
        <w:rPr>
          <w:rFonts w:ascii="Times New Roman;serif" w:hAnsi="Times New Roman;serif"/>
          <w:b w:val="false"/>
          <w:sz w:val="20"/>
        </w:rPr>
        <w:br/>
        <w:t>The Company adopted</w:t>
      </w:r>
      <w:r>
        <w:rPr>
          <w:rFonts w:ascii="Times New Roman" w:hAnsi="Times New Roman"/>
          <w:sz w:val="20"/>
        </w:rPr>
        <w:t xml:space="preserve"> </w:t>
      </w:r>
      <w:r>
        <w:rPr>
          <w:rFonts w:ascii="Times New Roman;serif" w:hAnsi="Times New Roman;serif"/>
          <w:b w:val="false"/>
          <w:sz w:val="20"/>
        </w:rPr>
        <w:t>ASU 2016-13 on January 1, 2023, using the modified retrospective method for all financial assets measured at amortized cost and off-balance sheet credit exposures. Results for reporting periods beginning after January 1, 2023 are presented under CECL while prior period amounts continue to be reported in accordance with the incurred loss accounting standards. The Company did not make any material</w:t>
      </w:r>
      <w:r>
        <w:rPr>
          <w:rFonts w:ascii="Times New Roman" w:hAnsi="Times New Roman"/>
          <w:sz w:val="20"/>
        </w:rPr>
        <w:t xml:space="preserve"> </w:t>
      </w:r>
      <w:r>
        <w:rPr>
          <w:rFonts w:ascii="Times New Roman;serif" w:hAnsi="Times New Roman;serif"/>
          <w:b w:val="false"/>
          <w:sz w:val="20"/>
        </w:rPr>
        <w:t>changes to its business practices as a result of implementing the ASU.</w:t>
      </w:r>
    </w:p>
    <w:p>
      <w:pPr>
        <w:pStyle w:val="TextBody"/>
        <w:spacing w:before="200" w:after="0"/>
        <w:jc w:val="both"/>
        <w:rPr>
          <w:rFonts w:ascii="Times New Roman" w:hAnsi="Times New Roman"/>
          <w:sz w:val="20"/>
        </w:rPr>
      </w:pPr>
      <w:r>
        <w:rPr>
          <w:rFonts w:ascii="Times New Roman;serif" w:hAnsi="Times New Roman;serif"/>
          <w:b w:val="false"/>
          <w:sz w:val="20"/>
        </w:rPr>
        <w:t>The transition adjustment of the CECL adoption included an increase in the loan allowance of $3.6</w:t>
      </w:r>
      <w:r>
        <w:rPr>
          <w:rFonts w:ascii="Times New Roman" w:hAnsi="Times New Roman"/>
          <w:sz w:val="20"/>
        </w:rPr>
        <w:t xml:space="preserve"> </w:t>
      </w:r>
      <w:r>
        <w:rPr>
          <w:rFonts w:ascii="Times New Roman;serif" w:hAnsi="Times New Roman;serif"/>
          <w:b w:val="false"/>
          <w:sz w:val="20"/>
        </w:rPr>
        <w:t>million, increase in the allowance for unfunded loan commitment and letters of credit of $0.9</w:t>
      </w:r>
      <w:r>
        <w:rPr>
          <w:rFonts w:ascii="Times New Roman" w:hAnsi="Times New Roman"/>
          <w:sz w:val="20"/>
        </w:rPr>
        <w:t xml:space="preserve"> </w:t>
      </w:r>
      <w:r>
        <w:rPr>
          <w:rFonts w:ascii="Times New Roman;serif" w:hAnsi="Times New Roman;serif"/>
          <w:b w:val="false"/>
          <w:sz w:val="20"/>
        </w:rPr>
        <w:t>million and a $3.4</w:t>
      </w:r>
      <w:r>
        <w:rPr>
          <w:rFonts w:ascii="Times New Roman" w:hAnsi="Times New Roman"/>
          <w:sz w:val="20"/>
        </w:rPr>
        <w:t xml:space="preserve"> </w:t>
      </w:r>
      <w:r>
        <w:rPr>
          <w:rFonts w:ascii="Times New Roman;serif" w:hAnsi="Times New Roman;serif"/>
          <w:b w:val="false"/>
          <w:sz w:val="20"/>
        </w:rPr>
        <w:t>million decrease to the retained earnings account to reflect the cumulative effect of adopting CECL on our Condensed Consolidated Balance Sheets, with the $1.1</w:t>
      </w:r>
      <w:r>
        <w:rPr>
          <w:rFonts w:ascii="Times New Roman" w:hAnsi="Times New Roman"/>
          <w:sz w:val="20"/>
        </w:rPr>
        <w:t xml:space="preserve"> </w:t>
      </w:r>
      <w:r>
        <w:rPr>
          <w:rFonts w:ascii="Times New Roman;serif" w:hAnsi="Times New Roman;serif"/>
          <w:b w:val="false"/>
          <w:sz w:val="20"/>
        </w:rPr>
        <w:t>million tax impact portion being recorded as part of the deferred tax asset in other assets on our Condensed Consolidated Balance Sheets.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ITEM 1 NOTES TO CONDENSED CONSOLIDATED UNAUDITED FINANCIAL STATEMENTS (Continued)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illustrates the impact of adopting the ASU:</w:t>
      </w:r>
    </w:p>
    <w:p>
      <w:pPr>
        <w:pStyle w:val="TextBody"/>
        <w:spacing w:before="200" w:after="0"/>
        <w:jc w:val="both"/>
        <w:rPr/>
      </w:pPr>
      <w:r>
        <w:rPr/>
        <w:t> </w:t>
      </w:r>
    </w:p>
    <w:tbl>
      <w:tblPr>
        <w:tblW w:w="8967" w:type="dxa"/>
        <w:jc w:val="left"/>
        <w:tblInd w:w="0" w:type="dxa"/>
        <w:tblCellMar>
          <w:top w:w="28" w:type="dxa"/>
          <w:left w:w="28" w:type="dxa"/>
          <w:bottom w:w="28" w:type="dxa"/>
          <w:right w:w="28" w:type="dxa"/>
        </w:tblCellMar>
      </w:tblPr>
      <w:tblGrid>
        <w:gridCol w:w="4066"/>
        <w:gridCol w:w="146"/>
        <w:gridCol w:w="289"/>
        <w:gridCol w:w="926"/>
        <w:gridCol w:w="146"/>
        <w:gridCol w:w="146"/>
        <w:gridCol w:w="364"/>
        <w:gridCol w:w="1166"/>
        <w:gridCol w:w="146"/>
        <w:gridCol w:w="146"/>
        <w:gridCol w:w="304"/>
        <w:gridCol w:w="911"/>
        <w:gridCol w:w="21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4"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January 1, 2023</w:t>
            </w:r>
          </w:p>
        </w:tc>
        <w:tc>
          <w:tcPr>
            <w:tcW w:w="211"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 Reported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Impact of</w:t>
            </w:r>
          </w:p>
        </w:tc>
        <w:tc>
          <w:tcPr>
            <w:tcW w:w="211"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Under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Pre-ASU 2016-13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ASU 2016-13</w:t>
            </w:r>
          </w:p>
        </w:tc>
        <w:tc>
          <w:tcPr>
            <w:tcW w:w="211"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ASU 2016-13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Adoption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Adoption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2,874</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3,501</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&amp; Industrial</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Unfunded Loan Commitment &amp; Letters of Credit</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Current Expected Credit Losses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 March 2022, the FASB issued ASU 2022-02 "Financial Instruments - Credit Losses (Topic 326): Troubled Debt Restructurings and Vintage Disclosures." This ASU eliminates the accounting guidance on troubled debt restructurings for creditors in ASC 310-40 and requires entities to evaluate all receivable modifications under ASC 310-20 to determine whether a modification made to a borrower results in a new loan or a continuation of the existing loan. The amended guidance adds enhanced disclosures for creditors with respect to loan refinancings and restructurings for borrowers experiencing financial difficulty. The amended guidance also requires disclosure of current period gross charge-offs by year of origination within the vintage disclosures required by ASC 326. The amended guidance is effective for the Company on January 1, 2023, with early adoption permitted. The Company</w:t>
      </w:r>
      <w:r>
        <w:rPr>
          <w:rFonts w:ascii="Times New Roman" w:hAnsi="Times New Roman"/>
          <w:sz w:val="20"/>
        </w:rPr>
        <w:t xml:space="preserve"> </w:t>
      </w:r>
      <w:r>
        <w:rPr>
          <w:rFonts w:ascii="Times New Roman;serif" w:hAnsi="Times New Roman;serif"/>
          <w:b w:val="false"/>
          <w:sz w:val="20"/>
        </w:rPr>
        <w:t>adopted ASU 2022-02 effective January 1, 2023. There was no financial impact as a result of adopting the standard.</w:t>
      </w:r>
    </w:p>
    <w:p>
      <w:pPr>
        <w:pStyle w:val="TextBody"/>
        <w:spacing w:before="200" w:after="0"/>
        <w:jc w:val="both"/>
        <w:rPr>
          <w:rFonts w:ascii="Times New Roman" w:hAnsi="Times New Roman"/>
          <w:sz w:val="20"/>
        </w:rPr>
      </w:pPr>
      <w:r>
        <w:rPr>
          <w:rFonts w:ascii="Times New Roman;serif" w:hAnsi="Times New Roman;serif"/>
          <w:b w:val="false"/>
          <w:sz w:val="20"/>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w:t>
      </w:r>
      <w:r>
        <w:rPr>
          <w:rFonts w:ascii="Times New Roman" w:hAnsi="Times New Roman"/>
          <w:sz w:val="20"/>
        </w:rPr>
        <w:t xml:space="preserve"> </w:t>
      </w:r>
      <w:r>
        <w:rPr>
          <w:rFonts w:ascii="Times New Roman;serif" w:hAnsi="Times New Roman;serif"/>
          <w:b w:val="false"/>
          <w:sz w:val="20"/>
        </w:rPr>
        <w:t>years. This is a change from Notice 2016-66 which classified Sec. 831(b) captives with less than a 70% claims loss ratio as a "transaction of interest." As of March 31, 2023, the most current regulations are still proposed, with comment period open through June 12, 2023. Final regulations are expected to be issued in Q4 2023. Management and its advisors are in the process of evaluating the impact of these proposed regulations.</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0"/>
        </w:rPr>
      </w:pPr>
      <w:bookmarkStart w:id="13" w:name="item2_managements_discussion_and_analy"/>
      <w:bookmarkEnd w:id="13"/>
      <w:r>
        <w:rPr>
          <w:rFonts w:ascii="Times New Roman;serif" w:hAnsi="Times New Roman;serif"/>
          <w:b w:val="false"/>
          <w:sz w:val="20"/>
        </w:rPr>
        <w:t>ITEM 2 MANAGEMENT’S DISCUSSION AND ANALYSIS OF FINANCIAL CONDITION AND RESULTS OF OPERATIONS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OVERVIEW</w:t>
      </w:r>
    </w:p>
    <w:p>
      <w:pPr>
        <w:pStyle w:val="TextBody"/>
        <w:spacing w:before="200" w:after="0"/>
        <w:jc w:val="both"/>
        <w:rPr>
          <w:rFonts w:ascii="Times New Roman" w:hAnsi="Times New Roman"/>
          <w:sz w:val="20"/>
        </w:rPr>
      </w:pPr>
      <w:r>
        <w:rPr>
          <w:rFonts w:ascii="Times New Roman;serif" w:hAnsi="Times New Roman;serif"/>
          <w:b w:val="false"/>
          <w:sz w:val="20"/>
        </w:rPr>
        <w:t>The Company continues to increase its loan production at a strong pace. Year over year, the growth has been 24.7% (excluding PPP balances) of which organic growth accounted for 19.4% (excluding PPP and acquisitions). In terms of dollars and percentage, the largest increase was in commercial real estate, $72.7 million, or 6.3%, year over year.</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F&amp;M Commercial Banking Division entered 2023 with a strong loan pipeline and demand was still active throughout F&amp;M’s footprint. Client results from 2022 and YTD performance were good; however, client concerns remain about availability of workforce, interruptions and delays in the supply chain and energy prices. Rising interest rates have appeared to slow loan demand in some sectors. Credit quality of the portfolio remains good.</w:t>
      </w:r>
    </w:p>
    <w:p>
      <w:pPr>
        <w:pStyle w:val="TextBody"/>
        <w:spacing w:before="200" w:after="0"/>
        <w:jc w:val="both"/>
        <w:rPr>
          <w:rFonts w:ascii="Times New Roman" w:hAnsi="Times New Roman"/>
          <w:sz w:val="20"/>
        </w:rPr>
      </w:pPr>
      <w:r>
        <w:rPr>
          <w:rFonts w:ascii="Times New Roman;serif" w:hAnsi="Times New Roman;serif"/>
          <w:b w:val="false"/>
          <w:sz w:val="20"/>
        </w:rPr>
        <w:t>F&amp;M Agricultural Banking Division also experienced double digit growth as comparing March 31, 2023 to March 31, 2022. Commodity prices have remained high and at profitable levels. The overall outlook for grain, livestock and Agri-businesses is optimistic for 2023 as our Ag base appears positioned to make positive financial strides. Land values have continued to remain strong. The agriculture portfolio remains healthy and concerns are manageable.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Where F&amp;M has seen a slow-down in production is in the 1-4 Family Consumer Real Estate Division. Refinances have slowed significantly with the increase in rates. Growth remains in new purchase and in home equity origination. This impact correlates to the lower gain on sale of assets, nearly $630 thousand lower than last year as of the same time period year-to-date March 31st.</w:t>
      </w:r>
    </w:p>
    <w:p>
      <w:pPr>
        <w:pStyle w:val="TextBody"/>
        <w:spacing w:before="200" w:after="0"/>
        <w:jc w:val="both"/>
        <w:rPr>
          <w:rFonts w:ascii="Times New Roman" w:hAnsi="Times New Roman"/>
          <w:sz w:val="20"/>
        </w:rPr>
      </w:pPr>
      <w:r>
        <w:rPr>
          <w:rFonts w:ascii="Times New Roman;serif" w:hAnsi="Times New Roman;serif"/>
          <w:b w:val="false"/>
          <w:sz w:val="20"/>
        </w:rPr>
        <w:t>The increased loan growth has positively impacted the net interest earnings. Net interest income was $1.9 million higher year over year. Funding of the loan growth has also resulted in increased borrowings. Increased rates have driven both deposit rates and borrowing rates significantly higher. Net Interest Margin decreased 13 basis points in comparing the quarters ended March 31, 2023, to March 31, 2022. The largest areas impacted by the increased rates is in the public fund offerings, higher net worth individuals and borrowing opportunities. The increases are beginning to show in the consumer deposits as the Bank offers special promotions to raise additional deposits to fund loan growth. The Company remains comfortable with its ability to raise funds as the Bank’s loan to deposit ratio remains within target at approximately 96%. Further discussion of the balance sheet composition movements and the impact on the earnings can be viewed in the Material Results of Operations section that follows.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Overall, net income decreased 20.2% for the first quarter of 2023 as compared to the same time period 2022. Return on Assets decreased to 0.91% as compared to 1.30% and Return on Equity decreased to 8.53% compared to 10.12% for the same time period. Year to date earnings per share are $0.47 compared to $0.62.</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mentioned previously in our comments regarding our commercial customers, F&amp;M too is experiencing pressure for staffing – both in the cost of recruiting new talent and in retaining existing. Salary expenses were $558 thousand higher in first quarter 2023 than in fourth quarter 2022 and year over year March 31st were $1.3 million higher for 2023 as compared with 2022. The operating efficiency ratio has seen a slight uptick as part of our investment into our strategic vision.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remains well capitalized as it operates in a volatile rate environment and the size and footprint of its operations continues to grow. We continue to work towards our long-term objectives while we report and recognize many of the one-time costs incurred along the way. Asset quality remains strong. Our historical prudent approach to lending remains the foundation of our operations. We continue to embrace the opportunities presented and remain diligent to accomplishing our mission.</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NATURE OF ACTIVITIES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Farmers &amp; Merchants Bancorp, Inc. (the “Company”) is a financial holding company incorporated under the laws of Ohio in 1985. Our subsidiaries are The Farmers &amp; Merchants State Bank (the “Bank”), a local independent community bank that has been primarily serving Northwest Ohio and Northeast Indiana since 1897, and Farmers &amp; Merchants Risk Management, Inc., a captive insurance company formed in December 2014 and located in Nevada. We report our financial condition and net income on a consolidated basis and we have only one segment.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executive offices are located at 307 North Defiance Street, Archbold, Ohio 43502, and our telephone number is (419) 446-2501. The Bank operates thirty-three full-service banking offices throughout Northwest Ohio and Northeast Indiana and a drive-up facility in Archbold. The Bank also operates four Loan Production Offices (LPOs), two in Ohio and one in Indiana and Michigan.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and Northeast Indiana,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pStyle w:val="TextBody"/>
        <w:spacing w:before="200" w:after="0"/>
        <w:jc w:val="both"/>
        <w:rPr>
          <w:rFonts w:ascii="Times New Roman" w:hAnsi="Times New Roman"/>
          <w:sz w:val="20"/>
        </w:rPr>
      </w:pPr>
      <w:r>
        <w:rPr>
          <w:rFonts w:ascii="Times New Roman;serif" w:hAnsi="Times New Roman;serif"/>
          <w:b w:val="false"/>
          <w:sz w:val="20"/>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 Federal Savings Bank in the 4</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 xml:space="preserve">quarter of 2021 and the addition of Peoples Federal Savings in the 4th quarter of 2022, the Bank saw an increase in fixed rate, long-term mortgage loans to our portfolio from that banking service area.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does not have a program to fund sub-prime loans. Sub-prime loans are characterized as a lending program or strategy that targets borrowers who pose a significantly higher risk of default than traditional retail banking customers.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Consumer Loans: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Maximum loan to value (LTV) for cars, SUVs, and trucks is 110% depending on whether direct or indirect.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Loans above 100% are generally the result of sales tax.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Boats, campers, motorcycles, RV's and Motor Coaches range from 80%-90% based on age of vehicle.</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1st or 2nd mortgages on 1-4 family homes maximum range from 80-85%.</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Raw land LTV maximum ranges from 65%-75% depending on whether or not the property has been improved.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Commercial/Agriculture:</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Accounts Receivable:</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Up to 80% LTV less retainages and greater than 90 days.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Inventory:</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Agriculture:</w:t>
      </w:r>
    </w:p>
    <w:p>
      <w:pPr>
        <w:pStyle w:val="TextBody"/>
        <w:spacing w:before="0" w:after="0"/>
        <w:jc w:val="both"/>
        <w:rPr>
          <w:rFonts w:ascii="Times New Roman" w:hAnsi="Times New Roman"/>
          <w:b w:val="false"/>
          <w:sz w:val="20"/>
        </w:rPr>
      </w:pPr>
      <w:r>
        <w:rPr>
          <w:rFonts w:ascii="Times New Roman" w:hAnsi="Times New Roman"/>
          <w:b w:val="false"/>
          <w:sz w:val="20"/>
        </w:rPr>
        <w:t>o</w:t>
      </w:r>
    </w:p>
    <w:p>
      <w:pPr>
        <w:pStyle w:val="TextBody"/>
        <w:spacing w:before="0" w:after="0"/>
        <w:jc w:val="both"/>
        <w:rPr>
          <w:rFonts w:ascii="Times New Roman;serif" w:hAnsi="Times New Roman;serif"/>
          <w:b w:val="false"/>
          <w:sz w:val="20"/>
        </w:rPr>
      </w:pPr>
      <w:r>
        <w:rPr>
          <w:rFonts w:ascii="Times New Roman;serif" w:hAnsi="Times New Roman;serif"/>
          <w:b w:val="false"/>
          <w:sz w:val="20"/>
        </w:rPr>
        <w:t>Livestock and grain up to 80% LTV, crops (insured) up to 75% and Warehouse Receipts up to 87%.</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Commercial:</w:t>
      </w:r>
    </w:p>
    <w:p>
      <w:pPr>
        <w:pStyle w:val="TextBody"/>
        <w:spacing w:before="0" w:after="0"/>
        <w:jc w:val="both"/>
        <w:rPr>
          <w:rFonts w:ascii="Times New Roman" w:hAnsi="Times New Roman"/>
          <w:b w:val="false"/>
          <w:sz w:val="20"/>
        </w:rPr>
      </w:pPr>
      <w:r>
        <w:rPr>
          <w:rFonts w:ascii="Times New Roman" w:hAnsi="Times New Roman"/>
          <w:b w:val="false"/>
          <w:sz w:val="20"/>
        </w:rPr>
        <w:t>o</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Maximum LTV of 50% on raw and finished goods.</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Floor plan:</w:t>
      </w:r>
    </w:p>
    <w:p>
      <w:pPr>
        <w:pStyle w:val="TextBody"/>
        <w:spacing w:before="0" w:after="0"/>
        <w:jc w:val="both"/>
        <w:rPr>
          <w:rFonts w:ascii="Times New Roman" w:hAnsi="Times New Roman"/>
          <w:b w:val="false"/>
          <w:sz w:val="20"/>
        </w:rPr>
      </w:pPr>
      <w:r>
        <w:rPr>
          <w:rFonts w:ascii="Times New Roman" w:hAnsi="Times New Roman"/>
          <w:b w:val="false"/>
          <w:sz w:val="20"/>
        </w:rPr>
        <w:t>o</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New/used vehicles to 100% of wholesale.</w:t>
      </w:r>
    </w:p>
    <w:p>
      <w:pPr>
        <w:pStyle w:val="TextBody"/>
        <w:spacing w:before="0" w:after="0"/>
        <w:jc w:val="both"/>
        <w:rPr>
          <w:rFonts w:ascii="Times New Roman" w:hAnsi="Times New Roman"/>
          <w:b w:val="false"/>
          <w:sz w:val="20"/>
        </w:rPr>
      </w:pPr>
      <w:r>
        <w:rPr>
          <w:rFonts w:ascii="Times New Roman" w:hAnsi="Times New Roman"/>
          <w:b w:val="false"/>
          <w:sz w:val="20"/>
        </w:rPr>
        <w:t>o</w:t>
      </w:r>
    </w:p>
    <w:p>
      <w:pPr>
        <w:pStyle w:val="TextBody"/>
        <w:jc w:val="both"/>
        <w:rPr>
          <w:rFonts w:ascii="Times New Roman;serif" w:hAnsi="Times New Roman;serif"/>
          <w:b w:val="false"/>
          <w:sz w:val="20"/>
        </w:rPr>
      </w:pPr>
      <w:r>
        <w:rPr>
          <w:rFonts w:ascii="Times New Roman;serif" w:hAnsi="Times New Roman;serif"/>
          <w:b w:val="false"/>
          <w:sz w:val="20"/>
        </w:rPr>
        <w:t>New/Used recreational vehicles and manufactured homes to 80% of wholesale.</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Equipment:</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New, not to exceed (NTE) 80% of invoice, used NTE 50% of listed book or 75% of appraised value.</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Restaurant equipment up to 35% of market value.</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 xml:space="preserve">Heavy trucks, titled trailers NTE 75% LTV and aircraft up to 75% of appraised value.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Real Estate:</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Maximum LTVs range from 70%-80% depending on type.</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Maximum LTV on non-traditional loan up to 85%.</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pStyle w:val="TextBody"/>
        <w:spacing w:before="200" w:after="0"/>
        <w:jc w:val="both"/>
        <w:rPr>
          <w:rFonts w:ascii="Times New Roman" w:hAnsi="Times New Roman"/>
          <w:sz w:val="20"/>
        </w:rPr>
      </w:pPr>
      <w:r>
        <w:rPr>
          <w:rFonts w:ascii="Times New Roman;serif" w:hAnsi="Times New Roman;serif"/>
          <w:b w:val="false"/>
          <w:sz w:val="20"/>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Bank’s primary market includes communities located in the Ohio counties of Champaign, Defiance, Fulton, Hancock, Henry, Lucas, Shelby,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At March 31, 2023, we had 417 full time equivalent employees. The employees are not represented by a collective bargaining unit. We provide our employees with a comprehensive benefit program, some of which is contributory. We consider our employee relations to be good.</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both"/>
        <w:rPr/>
      </w:pPr>
      <w:r>
        <w:rPr/>
        <w:t> </w:t>
      </w:r>
    </w:p>
    <w:p>
      <w:pPr>
        <w:pStyle w:val="TextBody"/>
        <w:spacing w:before="200" w:after="0"/>
        <w:jc w:val="both"/>
        <w:rPr>
          <w:rFonts w:ascii="Times New Roman" w:hAnsi="Times New Roman"/>
          <w:sz w:val="20"/>
        </w:rPr>
      </w:pPr>
      <w:r>
        <w:rPr>
          <w:rFonts w:ascii="Times New Roman;serif" w:hAnsi="Times New Roman;serif"/>
          <w:b/>
          <w:sz w:val="20"/>
        </w:rPr>
        <w:t>RECENT REGULATORY DEVELOPMENTS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CARES Act. The CARES Act, among other matters, resulted in expansion of SBA Lending Programs; provided for a financial election to suspend GAAP principles and regulatory determinations for COVID-19 related loan modifications that would otherwise be deemed Troubled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pStyle w:val="TextBody"/>
        <w:spacing w:before="200" w:after="0"/>
        <w:jc w:val="both"/>
        <w:rPr>
          <w:rFonts w:ascii="Times New Roman" w:hAnsi="Times New Roman"/>
          <w:sz w:val="20"/>
        </w:rPr>
      </w:pPr>
      <w:r>
        <w:rPr>
          <w:rFonts w:ascii="Times New Roman;serif" w:hAnsi="Times New Roman;serif"/>
          <w:b w:val="false"/>
          <w:sz w:val="20"/>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are eligible to apply for PPP: 1) 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Coronavirus Response and Relief Supplemental Appropriations Act, passed by Congress in December 2020, extended certain provisions of the CARES Act and affected the Company into 2021. Key banking provisions under this legislation include the following: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Provided an additional $284.6 billion in Paycheck Protection Program (PPP) funding for loans to small businesses, including for borrowers who have previously received a PPP loan.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one-page simplified forgiveness process for PPP loans under $150,000.</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Clarification to various CARES Act provisions, the tax treatment of PPP expenses, lender responsibilities for agent fees, and lender “hold harmless” protections under the PPP and other laws.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further optional delay in Current Expected Credit Loss (CECL) accounting until January 1, 2022 which was further delayed until January 1, 2023.</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new round of Economic Impact Payments (EIPs) for consumers, with aggressive distribution timelines and new exemptions from garnishments.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Significant added support for Community Development Financial Institutions (CDFIs) and Minority Depository Institutions (MDIs).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Funding for agricultural support programs and for renter assistance programs.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Termination of existing Federal Reserve emergency lending authority under the CARES Act, while preserving the Fed’s general 13(3) emergency authority existing prior to that Act.</w:t>
      </w:r>
    </w:p>
    <w:p>
      <w:pPr>
        <w:pStyle w:val="TextBody"/>
        <w:spacing w:before="200" w:after="0"/>
        <w:jc w:val="both"/>
        <w:rPr>
          <w:rFonts w:ascii="Times New Roman" w:hAnsi="Times New Roman"/>
          <w:sz w:val="20"/>
        </w:rPr>
      </w:pPr>
      <w:r>
        <w:rPr>
          <w:rFonts w:ascii="Times New Roman;serif" w:hAnsi="Times New Roman;serif"/>
          <w:b w:val="false"/>
          <w:sz w:val="20"/>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The Company now complies with the revised price-based new General QM Loan definition and its requirements. Since the Company sells fixed rate consumer mortgage loans to the Federal Home Loan Mortgage Corporation, it must remain attentive to their current loan underwriting requirements.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On March 30, 2023, the CFPB issued final rules which amend Regulation B to implement changes to the Equal Credit Opportunity Act (ECOA) as made by Section 1071 of the Dodd-Frank Act. Covered financial institutions are required to collect and report data on covered credit applications involving small businesses, including those businesses owned by women or minorities. Small businesses are defined as those businesses (including ag businesses) which had gross annual revenue of $5 million of less during its most recent fiscal year. Data is reported to the CFPB which will then make aggregated information publicly available. These new final rules have a phased implementation period with the largest lenders being required to collect and report data first.</w:t>
        <w:br/>
      </w:r>
      <w:r>
        <w:rPr>
          <w:rFonts w:ascii="Times New Roman" w:hAnsi="Times New Roman"/>
          <w:sz w:val="20"/>
        </w:rPr>
        <w:t> </w:t>
      </w:r>
    </w:p>
    <w:p>
      <w:pPr>
        <w:pStyle w:val="TextBody"/>
        <w:spacing w:before="200" w:after="0"/>
        <w:jc w:val="both"/>
        <w:rPr>
          <w:rFonts w:ascii="Times New Roman" w:hAnsi="Times New Roman"/>
          <w:sz w:val="20"/>
        </w:rPr>
      </w:pPr>
      <w:r>
        <w:rPr>
          <w:rFonts w:ascii="Times New Roman;serif" w:hAnsi="Times New Roman;serif"/>
          <w:b w:val="false"/>
          <w:sz w:val="20"/>
        </w:rPr>
        <w:t>Lenders that originated at least 2,500 small business loans annually must begin data collection on October 1, 2024. Lenders that originated at least 500 small business loans annually will be required to begin data collection as of April 1, 2025. For those Lenders that originated at least 100 small business loans annually, data collection will be required to begin as of January 1, 2026. The Bank is currently assessing the number of covered small business loans originated to clearly establish the date its data collection requirements must commence. Data collection and reporting of small business loans does not include nonprofit or government entities or businesses with gross annual revenues that exceed $5 million. Additionally, data collection involves demographic information collected from a loan applicant regarding that applicant’s status as a minority-owned business, a women-owned business, and LGBTQI+-owned business, as well as the applicant’s principal owners’ ethnicity, race and sex. Applicants can refuse to provide demographic information. Implementation of these final rules will involve significant changes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 processes and procedures in conjunction with new software configurations to accommodate and capture required data points regarding applications and final action taken.</w:t>
      </w:r>
    </w:p>
    <w:p>
      <w:pPr>
        <w:pStyle w:val="TextBody"/>
        <w:spacing w:before="200" w:after="0"/>
        <w:jc w:val="both"/>
        <w:rPr>
          <w:rFonts w:ascii="Times New Roman" w:hAnsi="Times New Roman"/>
          <w:sz w:val="20"/>
        </w:rPr>
      </w:pPr>
      <w:r>
        <w:rPr>
          <w:rFonts w:ascii="Times New Roman;serif" w:hAnsi="Times New Roman;serif"/>
          <w:b w:val="false"/>
          <w:sz w:val="20"/>
        </w:rPr>
        <w:t>With regard to all regulatory matters, the Bank remains committed in making good faith efforts to comply with technical requirements of the laws, rules, regulations, and guidance from both federal and state agencies which govern its activities.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both"/>
        <w:rPr/>
      </w:pPr>
      <w:r>
        <w:rPr/>
        <w:t> </w:t>
      </w:r>
    </w:p>
    <w:p>
      <w:pPr>
        <w:pStyle w:val="TextBody"/>
        <w:spacing w:before="200" w:after="0"/>
        <w:jc w:val="both"/>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ACL, the valuation of its Loan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Agricultural Loan Servicing Rights are included in Loan Servicing Rights. The Company has contracted with a third party to assist in the calculation of the valuation of the Agricultural Loan Servicing Rights. This valuation could also be subject to revision as we develop this process.</w:t>
      </w:r>
    </w:p>
    <w:p>
      <w:pPr>
        <w:pStyle w:val="TextBody"/>
        <w:spacing w:before="200" w:after="0"/>
        <w:jc w:val="both"/>
        <w:rPr>
          <w:rFonts w:ascii="Times New Roman" w:hAnsi="Times New Roman"/>
          <w:sz w:val="20"/>
        </w:rPr>
      </w:pPr>
      <w:r>
        <w:rPr>
          <w:rFonts w:ascii="Times New Roman;serif" w:hAnsi="Times New Roman;serif"/>
          <w:b w:val="false"/>
          <w:sz w:val="20"/>
        </w:rPr>
        <w:t>OREO Property held for sale is initially recorded at fair value at the date of foreclosure. Subsequent to foreclosure, valuations are periodically performed by management and the assets are carried at the lower of cost or fair value minus estimated costs to sell.</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both"/>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The net income from operations of foreclosed real estate held for sale is reported either in noninterest income or noninterest expense depending upon whether the property is in a gain or loss position overall. At March 31, 2023, December 31, 2022, and March 31, 2022 there were no OREO property holdings.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$9.7 million at March 31, 2023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ACL represents management’s estimate of probable credit losses inherent in the Bank’s loan portfolio, unfunded loan commitments, and letters of credit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pStyle w:val="TextBody"/>
        <w:spacing w:before="200" w:after="0"/>
        <w:jc w:val="both"/>
        <w:rPr>
          <w:rFonts w:ascii="Times New Roman" w:hAnsi="Times New Roman"/>
          <w:sz w:val="20"/>
        </w:rPr>
      </w:pPr>
      <w:r>
        <w:rPr>
          <w:rFonts w:ascii="Times New Roman;serif" w:hAnsi="Times New Roman;serif"/>
          <w:b w:val="false"/>
          <w:sz w:val="20"/>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loan portfolio was grouped based on loans with similar risk characteristics. The following groupings will be utilized in the CECL calculation:</w:t>
      </w:r>
    </w:p>
    <w:p>
      <w:pPr>
        <w:pStyle w:val="TextBody"/>
        <w:spacing w:before="200" w:after="0"/>
        <w:jc w:val="both"/>
        <w:rPr/>
      </w:pPr>
      <w:r>
        <w:rPr/>
        <w:t> </w:t>
      </w:r>
    </w:p>
    <w:tbl>
      <w:tblPr>
        <w:tblW w:w="6917" w:type="dxa"/>
        <w:jc w:val="left"/>
        <w:tblInd w:w="0" w:type="dxa"/>
        <w:tblCellMar>
          <w:top w:w="28" w:type="dxa"/>
          <w:left w:w="28" w:type="dxa"/>
          <w:bottom w:w="28" w:type="dxa"/>
          <w:right w:w="28" w:type="dxa"/>
        </w:tblCellMar>
      </w:tblPr>
      <w:tblGrid>
        <w:gridCol w:w="3901"/>
        <w:gridCol w:w="3016"/>
      </w:tblGrid>
      <w:tr>
        <w:trPr/>
        <w:tc>
          <w:tcPr>
            <w:tcW w:w="3901"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Multifamily</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Farmland</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Single Family HELOC</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Commercial &amp; Industrial</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&amp; Land</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Construction &amp; Land</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Consumer</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Commercial Real Estate</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Single Family Sr Lien</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Single Family Sr Lien</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Single Family Jr Lien</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Single Family Jr Lien</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&amp; Industrial</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Commercial &amp; Industrial</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Agriculture</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Agriculture</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 Construction &amp; Land</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Single Family HELOC</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Paycheck Protection Program - 100%: C&amp;I</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Construction &amp; Land</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Commercial Real Estate</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Farmland</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Single Family Sr Lien</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Single Family HELOC</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Single Family Jr Lien</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Impaired: Agriculture</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Farmland</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Consumer</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9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Multifamily</w:t>
            </w:r>
          </w:p>
        </w:tc>
        <w:tc>
          <w:tcPr>
            <w:tcW w:w="30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All groups use the average charge-off method for calculating the ACL.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Groups using the average charge-off method utilize a 20-year lookback historical loss period. This includes several economic cycles and is more appropriate for real estate secured assets. Due to the Company's loss history not being sufficient and relevant enough to predict future losses, the Company is utilizing peer data from a peer group of 327 banks in our area with asset sizes less than $5 billion. The Company will compare our loan loss reserves against peer to determine if we are in line with the group. The Company's loan portfolio has changed a lot as loan growth has occurred. Thus, we don't deem the Company's historical portfolio to be quite as indicative of the future portfolio and, subsequently, loss exposure.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reserves are calculated at the loan level and based on the note characteristics, essentially balances times loo rate + Q-factors + forward look, with the forward looking forecast eliminated after 12 months. As a percentage, the reserves are the highest against construction and land loans due to the life of loan being down and several larger loans being converted to permanent financing and therefore coming out of the construction bucket during the quarter. The second largest reserve pool is the CRE construction and land loan, which makes sense that it's less than construction and land as these are loans that will convert to normal CRE loans after construction with permanent financing already in place, typically based on some leases signed before construction starts to reduce the risk profile of the loan. CRE loans are naturally reserved higher than multifamily loans given the stability in the multifamily sector. Ag loans have a low overall reserve, but they also have the lowest loss rates. Commercial and industrial loans have a lower reserve than CRE considering the average life of loan is much less (i.e., shorter amortization and lines of credit). The other loan groups did not have material changes during the quarter. We expect the Construction groups to have the most variability in the reserve, though having those higher reserves is important during this environment of construction delays and overruns.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order to provide a consistent and supportable forward looking forecast from period-to-period, management is performing a regression analysis of the historical loss rates against the following Federal Open Market Committee (FOMC) quarterly economic projections for Change in real GDP and National Unemployment. Annual projections are broken down using a straight-line approach for quarterly changes. Accounting guidance indicates the forecast period should be reasonable and supportable. Management believes that a forecast period of 12 months is reasonable as one year corresponds to the expected change in Fed policy given the current spreads between 1- and 10-year T-bills, the Company has annual line of credit maturities on many credits which gives the Company the ability to reassess risk, and the economic forecast in general is usually only feasible out to one year.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Loans that do not share risk characteristics are evaluated on an individual basis. Loans evaluated individually are not also included in the collective evaluation. When management determines that foreclosure is probable expected credit losses are based on the fair value of the collateral at the reporting date, adjusted for selling costs as appropriate.</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troubled debt restructuring will be executed with an individual borrower or the extension or renewal options are included in the original or modified contract at the reporting date and are not unconditionally cancellable by the Company.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Inherent in most estimates is imprecision. The Bank’s ACL may include a margin for imprecision with an unallocated portion. Bank regulatory agencies and external auditors periodically review the Bank’s methodology and adequacy of the ACL. Any required changes in the ACL or loan charge-offs by these agencies or auditors may have a material effect on the ACL. For more information regarding the estimates and calculations used to establish the ACL please see Note 4 to the consolidated financial statements provided herewith.</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categories of off-balance sheet exposures are the same as the categories for the ACL presented prior. The construction funding assumptions for the first six months were based on a sample of loans in the portfolio and their weighted average draw percentages. The remaining amounts are assumed to be drawn during the second six months. For all term loan groupings that are solely term loans, (e.g., CRE, Single Family, Farmland and Consumer), we have assumed 100% utilization after one year. For HELOC, we forecast utilization will return to 2019's level of 46% (pre-pandemic), which would result in a 9% increase - we have straight-lined that over the next year. For Agriculture loans, we assume year end 2022's line of credit usage will increase to 2019's level as well given the runoff of PPP, impact of inflation on input costs, which means Ag line utilization will increase. For C&amp;I loans, we assume year end 2022's line of credit usage will increase to 2018's level given the runoff of PPP, impact of inflation on input costs, and slower inventory turns, which mean C&amp;I loans (including term debt) will increase. As the Company adjusted funding assumptions, it did not have material effects on the calculation. We have utilized internal data to make these assumptions, which we believe is representative of our portfolio.</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has also recorded an asset related to agricultural servicing rights. We are still evaluating the process of recording these rights. As such, future adjustments to the value of these rights may occur as we refine this process.</w:t>
      </w:r>
    </w:p>
    <w:p>
      <w:pPr>
        <w:pStyle w:val="TextBody"/>
        <w:spacing w:before="200" w:after="0"/>
        <w:jc w:val="both"/>
        <w:rPr>
          <w:rFonts w:ascii="Times New Roman" w:hAnsi="Times New Roman"/>
          <w:sz w:val="20"/>
        </w:rPr>
      </w:pPr>
      <w:r>
        <w:rPr>
          <w:rFonts w:ascii="Times New Roman;serif" w:hAnsi="Times New Roman;serif"/>
          <w:b w:val="false"/>
          <w:sz w:val="20"/>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Bank’s mortgage servicing rights relating to loans serviced for others represent an asset. This asset is initially capitalized and included on the Company's Condensed Consolidated Balance Sheets.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For purposes of determining impairment, the mortgage servicing assets are stratified into like groups based on loan type, term, new versus seasoned and interest rate. Management, with the advice from its third-party valuation firm, reviews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both"/>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MATERIAL CHANGES IN FINANCIAL CONDITION, LIQUIDITY AND CAPITAL RESOURCES</w:t>
      </w:r>
    </w:p>
    <w:p>
      <w:pPr>
        <w:pStyle w:val="TextBody"/>
        <w:spacing w:before="200" w:after="0"/>
        <w:jc w:val="both"/>
        <w:rPr>
          <w:rFonts w:ascii="Times New Roman" w:hAnsi="Times New Roman"/>
          <w:sz w:val="20"/>
        </w:rPr>
      </w:pPr>
      <w:r>
        <w:rPr>
          <w:rFonts w:ascii="Times New Roman;serif" w:hAnsi="Times New Roman;serif"/>
          <w:b w:val="false"/>
          <w:sz w:val="20"/>
        </w:rPr>
        <w:t>The Company plans to continue in its growth mode in 2023 led by loan growth from within our newer markets. The Bank is focused on funding the loan growth with the least expensive source of deposits, sale of securities or borrowings. While securities are generally considered as a source of cash, in the current environment, it is unlikely that they would be sold for such funding needs.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the competition for deposits has increased, the Company has increased emphasis on its liquidity position. The frequency of management meetings to evaluate liquidity has increased in order to be more responsive to opportunities and threats as they arise.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Liquidity in terms of cash and cash equivalents ended $20.1 million lower as of March 31, 2023 than it was at year end December 31, 2022. Prior year’s excess liquidity along with an increase in deposits of $44.3 million and an increase of Federal Home Loan Bank advances of $36.8 million helped to fund the $85.9 million increase in net loans since year end 2022. All loan portfolios with the exception of the Commercial and Industrial portfolio and Other portfolio increased compared to December 31, 2022 with the largest increase in the commercial real estate portfolio.</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comparing to the same prior year period, the March 31, 2023 (net of deferred fees and cost) loan balances of $2.4 billion accounted for $484.4 million or 24.7% increase when compared to 2022’s $2.0 billion. The year over year improvement was made up of a combined increase in commercial and industrial related loans of 30.1%. Individual growth was comprised of 34.5% in commercial real estate loans and 11.4% in non-real estate commercial loans. Consumer real estate loans increased by 22.7% and consumer loans by 56.8%. Agricultural related loans increased 6.7% year over year. Individual growth was comprised of 16.2% in agricultural real estate and a decrease of 6.5% in non-real estate agricultural loans. Other loans decreased by 7.2%. The Company credits the growth not only to the Peoples acquisition but also to the strong team of lenders focused on providing customers valuable localized services and thereby increasing our market share.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chart below shows the breakdown of the loan portfolio category as of March 31, for the last three years, net of deferred fees and costs.</w:t>
      </w:r>
    </w:p>
    <w:p>
      <w:pPr>
        <w:pStyle w:val="TextBody"/>
        <w:spacing w:before="0" w:after="0"/>
        <w:jc w:val="both"/>
        <w:rPr/>
      </w:pPr>
      <w:r>
        <w:rPr/>
        <w:t> </w:t>
      </w:r>
    </w:p>
    <w:tbl>
      <w:tblPr>
        <w:tblW w:w="8817" w:type="dxa"/>
        <w:jc w:val="left"/>
        <w:tblInd w:w="0" w:type="dxa"/>
        <w:tblCellMar>
          <w:top w:w="28" w:type="dxa"/>
          <w:left w:w="28" w:type="dxa"/>
          <w:bottom w:w="28" w:type="dxa"/>
          <w:right w:w="28" w:type="dxa"/>
        </w:tblCellMar>
      </w:tblPr>
      <w:tblGrid>
        <w:gridCol w:w="3511"/>
        <w:gridCol w:w="146"/>
        <w:gridCol w:w="257"/>
        <w:gridCol w:w="1138"/>
        <w:gridCol w:w="146"/>
        <w:gridCol w:w="146"/>
        <w:gridCol w:w="257"/>
        <w:gridCol w:w="1138"/>
        <w:gridCol w:w="146"/>
        <w:gridCol w:w="146"/>
        <w:gridCol w:w="257"/>
        <w:gridCol w:w="1138"/>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6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2021</w:t>
            </w:r>
          </w:p>
        </w:tc>
        <w:tc>
          <w:tcPr>
            <w:tcW w:w="391" w:type="dxa"/>
            <w:tcBorders/>
            <w:shd w:fill="auto" w:val="cle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502,968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410,064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175,481</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195,901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179,639</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100,147</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1,223,163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909,408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617,512</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200,253</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54,559</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14,088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Loans, net of deferred fees and costs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2,446,652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1,962,220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1,341,679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is a contractual maturity schedule by major category of loans excluding fair value adjustments as of March 31, 2023.</w:t>
      </w:r>
    </w:p>
    <w:p>
      <w:pPr>
        <w:pStyle w:val="TextBody"/>
        <w:spacing w:before="0" w:after="0"/>
        <w:jc w:val="both"/>
        <w:rPr/>
      </w:pPr>
      <w:r>
        <w:rPr/>
        <w:t> </w:t>
      </w:r>
    </w:p>
    <w:tbl>
      <w:tblPr>
        <w:tblW w:w="7816" w:type="dxa"/>
        <w:jc w:val="left"/>
        <w:tblInd w:w="0" w:type="dxa"/>
        <w:tblCellMar>
          <w:top w:w="28" w:type="dxa"/>
          <w:left w:w="28" w:type="dxa"/>
          <w:bottom w:w="28" w:type="dxa"/>
          <w:right w:w="28" w:type="dxa"/>
        </w:tblCellMar>
      </w:tblPr>
      <w:tblGrid>
        <w:gridCol w:w="2281"/>
        <w:gridCol w:w="146"/>
        <w:gridCol w:w="211"/>
        <w:gridCol w:w="676"/>
        <w:gridCol w:w="146"/>
        <w:gridCol w:w="146"/>
        <w:gridCol w:w="233"/>
        <w:gridCol w:w="862"/>
        <w:gridCol w:w="146"/>
        <w:gridCol w:w="146"/>
        <w:gridCol w:w="249"/>
        <w:gridCol w:w="921"/>
        <w:gridCol w:w="146"/>
        <w:gridCol w:w="146"/>
        <w:gridCol w:w="249"/>
        <w:gridCol w:w="921"/>
        <w:gridCol w:w="19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98"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After One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After Five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Within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 Within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Years Within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0"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After</w:t>
            </w:r>
          </w:p>
        </w:tc>
        <w:tc>
          <w:tcPr>
            <w:tcW w:w="1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One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Five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Fifteen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Fifteen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314,762</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159,334</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3,491</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364,855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228,690</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1,123</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Management feels confident that liquidity needs for future growth can be met through additional maturities from the security portfolio, increased deposits and additional borrowings. For short term needs, the Bank has $88 million and $73 million of unsecured borrowing capacity through its correspondent banks as of March 31, 2023 and December 31, 2022 respectively. The Bank also had access to $130.4 million through a Cash Management Advance with the Federal Home Loan Bank as of March 31, 2023 and December 31, 2022.</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While the security portfolio has been utilized to fund loan growth in previous periods, additional sources have been cultivated during 2021, 2022, and 2023. The security portfolio decreased $17.8 million in the first three months of 2023 from year end 2022 due to the sale of $21.6 million of securities which was partially offset by an $8.9 million decrease in unrealized losses. The security portfolio decreased $41.0 million from March 2022 due to an increase of gross unrealized losses of $44.4 million. The amount of pledged investment securities increased by $29.2 million as compared to year end and $41.3 million as compared to March 31, 2022. As of March 31, 2023, pledged investment securities totaled $164.0 million.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Bank, an additional $113 thousand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pStyle w:val="TextBody"/>
        <w:spacing w:before="200" w:after="0"/>
        <w:jc w:val="both"/>
        <w:rPr>
          <w:rFonts w:ascii="Times New Roman" w:hAnsi="Times New Roman"/>
          <w:sz w:val="20"/>
        </w:rPr>
      </w:pPr>
      <w:r>
        <w:rPr>
          <w:rFonts w:ascii="Times New Roman;serif" w:hAnsi="Times New Roman;serif"/>
          <w:b w:val="false"/>
          <w:sz w:val="20"/>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With the exception of FHLB stocks, carried at cost, which is shown as other securities, all of the Company’s security portfolio is categorized as “available-for-sale” and as such is recorded at fair value.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Overall total assets increased 1.8% since year end 2022 and grew 14.3% since March 31, 2022. The largest growth in both periods was in the loan portfolios. Goodwill also increased significantly compared to March 31, 2022. Refer to Note 2 for information on assets acquired from OFSI, PFSB and PPSF.</w:t>
      </w:r>
    </w:p>
    <w:p>
      <w:pPr>
        <w:pStyle w:val="TextBody"/>
        <w:spacing w:before="200" w:after="0"/>
        <w:jc w:val="both"/>
        <w:rPr>
          <w:rFonts w:ascii="Times New Roman" w:hAnsi="Times New Roman"/>
          <w:sz w:val="20"/>
        </w:rPr>
      </w:pPr>
      <w:r>
        <w:rPr>
          <w:rFonts w:ascii="Times New Roman;serif" w:hAnsi="Times New Roman;serif"/>
          <w:b w:val="false"/>
          <w:sz w:val="20"/>
        </w:rPr>
        <w:t>Federal Home Loan Bank advances accounted for the largest growth within liabilities, up 28.9% or $36.8 million since year end and 625.3% or $141.7 million over March 31, 2022 balances. Deposits also experienced growth, up 1.8% or $44.3 million since year end 2022 and 11.5% or $259.6 million over March 31, 2022. Refer to Note 2 for information on liabilities acquired from OFSI, PFSB and PPSF. The growth of deposits correlated to a "flight to safety" scenario as the stock market continues to experience some volatility. This growth aided the Company’s liquidity position and helped to fund the loan growth for the periods along with usage of Federal Home Loan Bank advances and federal funds purchased.</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Shareholders’ equity increased by $7.6 million as of the first quarter of 2023 compared to year end 2022. Earnings exceeded dividend declarations during the three months ended March 31, 2023. Accumulated other comprehensive loss decreased in unrealized loss position by $7.0 million from December 2022 to an unrealized loss of $31.2 million on March 31, 2023. The implementation of ASU 2016-13 (CECL) resulted in an entry which reduced retained earnings $3.4 million dollars on January</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1, 2023. This adjustment is permitted to be spread over three years when calculating regulatory capital. Dividends declared remained unchanged from the previous quarter at $0.21 per share. Compared to March 31, 2022, shareholders’ equity increased 6.7% or $19.3 million. Profits were lower year to date March 2023 than year to date March 2022 by $1.6 million.</w:t>
      </w:r>
    </w:p>
    <w:p>
      <w:pPr>
        <w:pStyle w:val="TextBody"/>
        <w:spacing w:before="200" w:after="0"/>
        <w:jc w:val="both"/>
        <w:rPr>
          <w:rFonts w:ascii="Times New Roman" w:hAnsi="Times New Roman"/>
          <w:sz w:val="20"/>
        </w:rPr>
      </w:pPr>
      <w:r>
        <w:rPr>
          <w:rFonts w:ascii="Times New Roman;serif" w:hAnsi="Times New Roman;serif"/>
          <w:b w:val="false"/>
          <w:sz w:val="20"/>
        </w:rPr>
        <w:t>Basel III regulatory capital requirements include a capital conservation buffer of 2.5%. As of March 31, 2023, the Company and the Bank are both positioned well above the current requirement.</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Holding Company has sufficient liquidity to maintain its dividend policy without relying on the upstreaming of dividends from the Bank.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continues to be well-capitalized at March 31, 2023 in accordance with Federal regulatory capital requirements as the capital ratios below show:</w:t>
      </w:r>
    </w:p>
    <w:p>
      <w:pPr>
        <w:pStyle w:val="TextBody"/>
        <w:spacing w:before="0" w:after="0"/>
        <w:jc w:val="both"/>
        <w:rPr/>
      </w:pPr>
      <w:r>
        <w:rPr/>
        <w:t> </w:t>
      </w:r>
    </w:p>
    <w:tbl>
      <w:tblPr>
        <w:tblW w:w="4045" w:type="dxa"/>
        <w:jc w:val="left"/>
        <w:tblInd w:w="0" w:type="dxa"/>
        <w:tblCellMar>
          <w:top w:w="28" w:type="dxa"/>
          <w:left w:w="28" w:type="dxa"/>
          <w:bottom w:w="28" w:type="dxa"/>
          <w:right w:w="28" w:type="dxa"/>
        </w:tblCellMar>
      </w:tblPr>
      <w:tblGrid>
        <w:gridCol w:w="2866"/>
        <w:gridCol w:w="146"/>
        <w:gridCol w:w="146"/>
        <w:gridCol w:w="571"/>
        <w:gridCol w:w="316"/>
      </w:tblGrid>
      <w:tr>
        <w:trPr/>
        <w:tc>
          <w:tcPr>
            <w:tcW w:w="2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Tier I Leverage Ratio</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 Based Capital Tier I</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Risk Based Capital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Equity/Total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 Conservation Buffer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MATERIAL CHANGES IN RESULTS OF OPERATIONS</w:t>
      </w:r>
      <w:r>
        <w:rPr>
          <w:rFonts w:ascii="Times New Roman" w:hAnsi="Times New Roman"/>
          <w:sz w:val="20"/>
        </w:rPr>
        <w:t xml:space="preserve"> </w:t>
      </w:r>
    </w:p>
    <w:p>
      <w:pPr>
        <w:pStyle w:val="TextBody"/>
        <w:spacing w:before="200" w:after="0"/>
        <w:jc w:val="both"/>
        <w:rPr>
          <w:rFonts w:ascii="Times New Roman;serif" w:hAnsi="Times New Roman;serif"/>
          <w:b/>
          <w:sz w:val="20"/>
          <w:u w:val="single"/>
        </w:rPr>
      </w:pPr>
      <w:r>
        <w:rPr>
          <w:rFonts w:ascii="Times New Roman;serif" w:hAnsi="Times New Roman;serif"/>
          <w:b/>
          <w:sz w:val="20"/>
          <w:u w:val="single"/>
        </w:rPr>
        <w:t>Comparison of Results of Interest Earnings and Expenses for three month periods ended March 31, 2023 and 2022</w:t>
      </w:r>
    </w:p>
    <w:p>
      <w:pPr>
        <w:pStyle w:val="TextBody"/>
        <w:spacing w:before="200" w:after="0"/>
        <w:jc w:val="both"/>
        <w:rPr>
          <w:rFonts w:ascii="Times New Roman;serif" w:hAnsi="Times New Roman;serif"/>
          <w:b/>
          <w:sz w:val="20"/>
        </w:rPr>
      </w:pPr>
      <w:r>
        <w:rPr>
          <w:rFonts w:ascii="Times New Roman;serif" w:hAnsi="Times New Roman;serif"/>
          <w:b/>
          <w:sz w:val="20"/>
        </w:rPr>
        <w:t>Interest Income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When comparing first quarter 2023 to first quarter 2022, average loan balances with the acquisitions of PPSF grew $489.6 million with average quarterly PPP loans decreasing $854 thousand. This represented a 25.7% increase in a one-year time period. Interest income on loan balances experienced an increase of $9.2 million as compared to the quarter ended March 31, 2022. This increase was partly the result of the growth in the average quarterly loan balances, 5.3% of which was directly attributable to the Company’s recent acquisition and 19.4% of which was due to organic loan growth within the Bank’s broader markets. PPP loan balances at the end of March 2023 were $6 thousand compared to $463 thousand at the end of March 2022. PPP loan income for the quarter included no interest income nor net fee income compared to $2 thousand of loan interest income and $67 thousand of net fee income for 2022.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available-for-sale securities portfolio decreased in average balances by $24.7 million when comparing to the same quarter in 2022 while the income increased $234 thousand over first quarter 2022. Federal funds sold and interest-bearing deposits decreased in average balances by $98.8 million as compared to the same quarter in 2022 with increased income of $421 thousand for the current quarter. The decreased balances have been used to fund loan growth. Refer to Note 2 Business Combination and Asset Purchase for information on assets acquired from PPSF.</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overall total average balance of the Bank’s earning assets increased by $366.2 million and interest income for the quarter comparisons was higher for first quarter 2023 by 45.2% or $9.9 million as compared to first quarter 2022. Increases in the prime lending rate between periods has contributed to approximately 48% of the growth.</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Annualized yield, for the quarter ended March 31, 2023, was 4.41% as compared to 3.47% for the quarter ended March 31, 2022. The following charts demonstrate the value of increased loan balances accounted for 56.8% of the increased interest income while rate increases accounted for the remaining 43.2%. The yields on tax-exempt securities and the portion of the tax-exempt IDB loans included in loans have been tax adjusted based on a 21% tax rate in the charts to follow.</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737"/>
        <w:gridCol w:w="146"/>
        <w:gridCol w:w="288"/>
        <w:gridCol w:w="1276"/>
        <w:gridCol w:w="199"/>
        <w:gridCol w:w="199"/>
        <w:gridCol w:w="373"/>
        <w:gridCol w:w="1188"/>
        <w:gridCol w:w="146"/>
        <w:gridCol w:w="146"/>
        <w:gridCol w:w="321"/>
        <w:gridCol w:w="1024"/>
        <w:gridCol w:w="323"/>
        <w:gridCol w:w="174"/>
        <w:gridCol w:w="321"/>
        <w:gridCol w:w="1024"/>
        <w:gridCol w:w="320"/>
      </w:tblGrid>
      <w:tr>
        <w:trPr/>
        <w:tc>
          <w:tcPr>
            <w:tcW w:w="27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27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5" w:type="dxa"/>
            <w:gridSpan w:val="2"/>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345" w:type="dxa"/>
            <w:gridSpan w:val="2"/>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r>
      <w:tr>
        <w:trPr/>
        <w:tc>
          <w:tcPr>
            <w:tcW w:w="273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52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Quarter to Date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Annualized Yield/Rate</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Earning Assets:</w:t>
            </w:r>
          </w:p>
        </w:tc>
        <w:tc>
          <w:tcPr>
            <w:tcW w:w="146" w:type="dxa"/>
            <w:tcBorders/>
            <w:shd w:fill="auto" w:val="clear"/>
            <w:vAlign w:val="center"/>
          </w:tcPr>
          <w:p>
            <w:pPr>
              <w:pStyle w:val="TableContents"/>
              <w:spacing w:before="0" w:after="0"/>
              <w:ind w:left="0" w:right="0" w:hanging="0"/>
              <w:jc w:val="left"/>
              <w:rPr/>
            </w:pPr>
            <w:r>
              <w:rPr/>
              <w:t> </w:t>
            </w:r>
          </w:p>
        </w:tc>
        <w:tc>
          <w:tcPr>
            <w:tcW w:w="15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 Balance</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Interest/Dividends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Loans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2,397,061</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Taxable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397,480</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Tax-exempt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26,352</w:t>
            </w:r>
          </w:p>
        </w:tc>
        <w:tc>
          <w:tcPr>
            <w:tcW w:w="199"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 funds sold &amp; other</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68,557</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0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Earning Assets</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2,889,450</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3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both"/>
        <w:rPr/>
      </w:pPr>
      <w:r>
        <w:rPr/>
        <w:t> </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Change in Interest Income Quarter to Date March 31, 2023 Compared to March 31, 2022</w:t>
      </w:r>
    </w:p>
    <w:p>
      <w:pPr>
        <w:pStyle w:val="TextBody"/>
        <w:spacing w:before="0" w:after="0"/>
        <w:jc w:val="both"/>
        <w:rPr/>
      </w:pPr>
      <w:r>
        <w:rPr/>
        <w:t> </w:t>
      </w:r>
    </w:p>
    <w:tbl>
      <w:tblPr>
        <w:tblW w:w="7337" w:type="dxa"/>
        <w:jc w:val="left"/>
        <w:tblInd w:w="0" w:type="dxa"/>
        <w:tblCellMar>
          <w:top w:w="28" w:type="dxa"/>
          <w:left w:w="28" w:type="dxa"/>
          <w:bottom w:w="28" w:type="dxa"/>
          <w:right w:w="28" w:type="dxa"/>
        </w:tblCellMar>
      </w:tblPr>
      <w:tblGrid>
        <w:gridCol w:w="2851"/>
        <w:gridCol w:w="146"/>
        <w:gridCol w:w="328"/>
        <w:gridCol w:w="887"/>
        <w:gridCol w:w="146"/>
        <w:gridCol w:w="146"/>
        <w:gridCol w:w="311"/>
        <w:gridCol w:w="844"/>
        <w:gridCol w:w="166"/>
        <w:gridCol w:w="146"/>
        <w:gridCol w:w="311"/>
        <w:gridCol w:w="844"/>
        <w:gridCol w:w="21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12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Earning Assets: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Change Due </w:t>
              <w:br/>
              <w:t>to Volume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Change Due </w:t>
              <w:br/>
              <w:t>to Rate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Loans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3,998</w:t>
            </w:r>
          </w:p>
        </w:tc>
        <w:tc>
          <w:tcPr>
            <w:tcW w:w="21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Taxable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21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Tax-exempt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 funds sold &amp; other</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Earning Assets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Interest Expense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Offsetting the higher interest income for the quarter was an increase in interest expense in 2023 of $8.0 million or 378.3% compared to first quarter 2022. Since 2022, average interest-bearing deposit balances have increased $227.2 million or 13.0% and the Company recognized $6.8 million more in interest expense for the most recent quarter. March 2022 saw the first rate change since March of 2020 with an increase of 25 basis points which was followed by an increase of 50 basis points in May and four increases of 75 basis points in June, July, September and November with a final 50 basis point increase in December. To date in 2023, there have been two increases of 25 basis points in February and March. Deposit rates have been adjusted numerous times with all of the rate increases. Interest expense on FHLB borrowings and other borrowings increased $945 thousand in the first quarter 2023 over the same time frame in 2022 due to borrowings taken on from the Peoples acquisition and new FHLB borrowings in 2022 and 2023 used to fund loan growth. Interest expense on fed funds purchased and securities sold under agreement to repurchase increased $253 thousand compared to first quarter 2022. Interest expense on subordinated notes was $15 thousand higher for the most recent quarter. Refer to Note 8 for additional information on subordinated notes. Liabilities assumed from OFSI, PFSB and PPSF can be seen in Note 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959"/>
        <w:gridCol w:w="146"/>
        <w:gridCol w:w="292"/>
        <w:gridCol w:w="1294"/>
        <w:gridCol w:w="202"/>
        <w:gridCol w:w="202"/>
        <w:gridCol w:w="292"/>
        <w:gridCol w:w="938"/>
        <w:gridCol w:w="146"/>
        <w:gridCol w:w="146"/>
        <w:gridCol w:w="329"/>
        <w:gridCol w:w="1053"/>
        <w:gridCol w:w="326"/>
        <w:gridCol w:w="175"/>
        <w:gridCol w:w="329"/>
        <w:gridCol w:w="1053"/>
        <w:gridCol w:w="323"/>
      </w:tblGrid>
      <w:tr>
        <w:trPr/>
        <w:tc>
          <w:tcPr>
            <w:tcW w:w="29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29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r>
      <w:tr>
        <w:trPr/>
        <w:tc>
          <w:tcPr>
            <w:tcW w:w="295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2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Quarter to Date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Annualized Yield/Rate</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Bearing Liabilities:</w:t>
            </w:r>
          </w:p>
        </w:tc>
        <w:tc>
          <w:tcPr>
            <w:tcW w:w="146" w:type="dxa"/>
            <w:tcBorders/>
            <w:shd w:fill="auto" w:val="clear"/>
            <w:vAlign w:val="center"/>
          </w:tcPr>
          <w:p>
            <w:pPr>
              <w:pStyle w:val="TableContents"/>
              <w:spacing w:before="0" w:after="0"/>
              <w:ind w:left="0" w:right="0" w:hanging="0"/>
              <w:jc w:val="left"/>
              <w:rPr/>
            </w:pPr>
            <w:r>
              <w:rPr/>
              <w:t> </w:t>
            </w:r>
          </w:p>
        </w:tc>
        <w:tc>
          <w:tcPr>
            <w:tcW w:w="15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Average Balance</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Savings deposits</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1,400,769</w:t>
            </w:r>
          </w:p>
        </w:tc>
        <w:tc>
          <w:tcPr>
            <w:tcW w:w="202"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time deposits</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579,409</w:t>
            </w:r>
          </w:p>
        </w:tc>
        <w:tc>
          <w:tcPr>
            <w:tcW w:w="202"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borrowed money</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132,494</w:t>
            </w:r>
          </w:p>
        </w:tc>
        <w:tc>
          <w:tcPr>
            <w:tcW w:w="202"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 funds purchased &amp; securities</w:t>
            </w:r>
          </w:p>
        </w:tc>
        <w:tc>
          <w:tcPr>
            <w:tcW w:w="146" w:type="dxa"/>
            <w:tcBorders/>
            <w:shd w:fill="auto" w:val="clear"/>
            <w:vAlign w:val="center"/>
          </w:tcPr>
          <w:p>
            <w:pPr>
              <w:pStyle w:val="TableContents"/>
              <w:spacing w:before="0" w:after="0"/>
              <w:ind w:left="0" w:right="0" w:hanging="0"/>
              <w:jc w:val="left"/>
              <w:rPr/>
            </w:pPr>
            <w:r>
              <w:rPr/>
              <w:t> </w:t>
            </w:r>
          </w:p>
        </w:tc>
        <w:tc>
          <w:tcPr>
            <w:tcW w:w="1586"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2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firstLine="100"/>
              <w:jc w:val="left"/>
              <w:rPr/>
            </w:pPr>
            <w:r>
              <w:rPr/>
              <w:t> </w:t>
            </w:r>
          </w:p>
        </w:tc>
      </w:tr>
      <w:tr>
        <w:trPr/>
        <w:tc>
          <w:tcPr>
            <w:tcW w:w="2959"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sold under agreement to repurchase</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12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38,853</w:t>
            </w:r>
          </w:p>
        </w:tc>
        <w:tc>
          <w:tcPr>
            <w:tcW w:w="202"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Subordinated notes</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34,596</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Bearing Liabilities</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2,186,121</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u w:val="single"/>
        </w:rPr>
      </w:pPr>
      <w:r>
        <w:rPr>
          <w:rFonts w:ascii="Times New Roman;serif" w:hAnsi="Times New Roman;serif"/>
          <w:b w:val="false"/>
          <w:sz w:val="20"/>
          <w:u w:val="single"/>
        </w:rPr>
        <w:t>Change in Interest Expense Quarter to Date March 31, 2023 Compared to March 31, 2022</w:t>
      </w:r>
    </w:p>
    <w:p>
      <w:pPr>
        <w:pStyle w:val="TextBody"/>
        <w:spacing w:before="0" w:after="0"/>
        <w:jc w:val="both"/>
        <w:rPr/>
      </w:pPr>
      <w:r>
        <w:rPr/>
        <w:t> </w:t>
      </w:r>
    </w:p>
    <w:tbl>
      <w:tblPr>
        <w:tblW w:w="7532" w:type="dxa"/>
        <w:jc w:val="left"/>
        <w:tblInd w:w="0" w:type="dxa"/>
        <w:tblCellMar>
          <w:top w:w="28" w:type="dxa"/>
          <w:left w:w="28" w:type="dxa"/>
          <w:bottom w:w="28" w:type="dxa"/>
          <w:right w:w="28" w:type="dxa"/>
        </w:tblCellMar>
      </w:tblPr>
      <w:tblGrid>
        <w:gridCol w:w="2986"/>
        <w:gridCol w:w="146"/>
        <w:gridCol w:w="328"/>
        <w:gridCol w:w="887"/>
        <w:gridCol w:w="146"/>
        <w:gridCol w:w="146"/>
        <w:gridCol w:w="384"/>
        <w:gridCol w:w="771"/>
        <w:gridCol w:w="146"/>
        <w:gridCol w:w="146"/>
        <w:gridCol w:w="311"/>
        <w:gridCol w:w="844"/>
        <w:gridCol w:w="291"/>
      </w:tblGrid>
      <w:tr>
        <w:trPr/>
        <w:tc>
          <w:tcPr>
            <w:tcW w:w="2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9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09"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Bearing Liabilities: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Change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5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Change Due </w:t>
              <w:br/>
              <w:t>to Volume</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5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Change Due </w:t>
              <w:br/>
              <w:t>to Rate</w:t>
            </w:r>
          </w:p>
        </w:tc>
        <w:tc>
          <w:tcPr>
            <w:tcW w:w="2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Savings deposits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4,306</w:t>
            </w:r>
          </w:p>
        </w:tc>
        <w:tc>
          <w:tcPr>
            <w:tcW w:w="2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time deposits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2,235</w:t>
            </w:r>
          </w:p>
        </w:tc>
        <w:tc>
          <w:tcPr>
            <w:tcW w:w="2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borrowed money</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2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 funds purchased &amp; securities</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sold under agreement to repurchase</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8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291" w:type="dxa"/>
            <w:tcBorders/>
            <w:shd w:fill="auto" w:val="cle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Subordinated notes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Bearing Liabilities</w:t>
            </w:r>
          </w:p>
        </w:tc>
        <w:tc>
          <w:tcPr>
            <w:tcW w:w="146" w:type="dxa"/>
            <w:tcBorders/>
            <w:shd w:fill="auto" w:val="clear"/>
            <w:vAlign w:val="center"/>
          </w:tcPr>
          <w:p>
            <w:pPr>
              <w:pStyle w:val="TableContents"/>
              <w:spacing w:before="0" w:after="0"/>
              <w:ind w:left="0" w:right="0" w:hanging="0"/>
              <w:jc w:val="left"/>
              <w:rPr/>
            </w:pPr>
            <w:r>
              <w:rPr/>
              <w:t> </w:t>
            </w:r>
          </w:p>
        </w:tc>
        <w:tc>
          <w:tcPr>
            <w:tcW w:w="3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7,337</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Overall, net interest spread for the first quarter 2023 was 46 basis points lower than last year. As the following chart indicates, the improvement in yields on interest earning assets did not offset the increased cost of funds when comparing to the same period a year ago. Competition for deposits is intense with most competitors offering special rates for specific terms.</w:t>
      </w:r>
    </w:p>
    <w:p>
      <w:pPr>
        <w:pStyle w:val="TextBody"/>
        <w:spacing w:before="0" w:after="0"/>
        <w:jc w:val="both"/>
        <w:rPr/>
      </w:pPr>
      <w:r>
        <w:rPr/>
        <w:t> </w:t>
      </w:r>
    </w:p>
    <w:tbl>
      <w:tblPr>
        <w:tblW w:w="8152" w:type="dxa"/>
        <w:jc w:val="left"/>
        <w:tblInd w:w="0" w:type="dxa"/>
        <w:tblCellMar>
          <w:top w:w="28" w:type="dxa"/>
          <w:left w:w="28" w:type="dxa"/>
          <w:bottom w:w="28" w:type="dxa"/>
          <w:right w:w="28" w:type="dxa"/>
        </w:tblCellMar>
      </w:tblPr>
      <w:tblGrid>
        <w:gridCol w:w="2671"/>
        <w:gridCol w:w="146"/>
        <w:gridCol w:w="331"/>
        <w:gridCol w:w="1064"/>
        <w:gridCol w:w="271"/>
        <w:gridCol w:w="146"/>
        <w:gridCol w:w="331"/>
        <w:gridCol w:w="1064"/>
        <w:gridCol w:w="271"/>
        <w:gridCol w:w="146"/>
        <w:gridCol w:w="331"/>
        <w:gridCol w:w="1064"/>
        <w:gridCol w:w="316"/>
      </w:tblGrid>
      <w:tr>
        <w:trPr/>
        <w:tc>
          <w:tcPr>
            <w:tcW w:w="2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Interest/Dividend income/yield</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0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0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0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Expense/cost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Interest Spread</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Interest Margin</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Net Interest Income</w:t>
      </w:r>
    </w:p>
    <w:p>
      <w:pPr>
        <w:pStyle w:val="TextBody"/>
        <w:spacing w:before="200" w:after="0"/>
        <w:jc w:val="both"/>
        <w:rPr>
          <w:rFonts w:ascii="Times New Roman" w:hAnsi="Times New Roman"/>
          <w:sz w:val="20"/>
        </w:rPr>
      </w:pPr>
      <w:r>
        <w:rPr>
          <w:rFonts w:ascii="Times New Roman;serif" w:hAnsi="Times New Roman;serif"/>
          <w:b w:val="false"/>
          <w:sz w:val="20"/>
        </w:rPr>
        <w:t>Net interest income increased $1.9 million for the first quarter 2023 over the same time frame in 2022 with the increase in interest income of $9.9 million offset by the higher interest expense of $8.0 million as previously mentioned. As the new loans added in 2023 and 2024 generate more income, management expects the benefits of the Company’s strategy of repositioning the balance sheet to continue to increase net interest income. In terms of net interest margin, the Bank recognizes competition for deposits is increasing and higher interest rates are putting pressure on the margin which may lead to a further tightening.</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sz w:val="20"/>
          <w:u w:val="single"/>
        </w:rPr>
      </w:pPr>
      <w:r>
        <w:rPr>
          <w:rFonts w:ascii="Times New Roman;serif" w:hAnsi="Times New Roman;serif"/>
          <w:b/>
          <w:sz w:val="20"/>
          <w:u w:val="single"/>
        </w:rPr>
        <w:t>Comparison of Noninterest Results of Operations for three month periods ended March 31, 2023 and 2022</w:t>
      </w:r>
    </w:p>
    <w:p>
      <w:pPr>
        <w:pStyle w:val="TextBody"/>
        <w:spacing w:before="200" w:after="0"/>
        <w:jc w:val="both"/>
        <w:rPr>
          <w:rFonts w:ascii="Times New Roman;serif" w:hAnsi="Times New Roman;serif"/>
          <w:b/>
          <w:sz w:val="20"/>
        </w:rPr>
      </w:pPr>
      <w:r>
        <w:rPr>
          <w:rFonts w:ascii="Times New Roman;serif" w:hAnsi="Times New Roman;serif"/>
          <w:b/>
          <w:sz w:val="20"/>
        </w:rPr>
        <w:t>Provision Expense</w:t>
      </w:r>
    </w:p>
    <w:p>
      <w:pPr>
        <w:pStyle w:val="TextBody"/>
        <w:spacing w:before="200" w:after="0"/>
        <w:jc w:val="both"/>
        <w:rPr>
          <w:rFonts w:ascii="Times New Roman" w:hAnsi="Times New Roman"/>
          <w:sz w:val="20"/>
        </w:rPr>
      </w:pPr>
      <w:r>
        <w:rPr>
          <w:rFonts w:ascii="Times New Roman;serif" w:hAnsi="Times New Roman;serif"/>
          <w:b w:val="false"/>
          <w:sz w:val="20"/>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consumer loan portfolio accounted for the largest component of charge-offs and recoveries for first quarter of 2023 and 2022. The commercial real estate portfolio is currently creating a large impact on the ACL due to the loan growth.</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Total provision for credit losses was $237 thousand higher for the first quarter 2023 as compared to the same quarter 2022. Management continues to monitor asset quality, making adjustments to the provision as necessary. The impact of higher interest rates and inflation are taken into consideration when reviewing qualitative factors. Loan charge-offs were $28 thousand higher in first quarter 2023 than the same quarter 2022. Recoveries were $19 thousand higher in first quarter 2023 as compared to first quarter 2022. Combined net charge-offs were $9 thousand higher in first quarter 2023 than the same time period 2022.</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Past due loans, which include no deferrals related to COVID-19, increased $11.1 million at March 31, 2023 as compared to March 31, 2022. The largest changes were attributed to the increase of past due balances in the agricultural portfolio, agricultural real estate portfolio, commercial real estate portfolio and consumer real estate portfolio.</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breaks down the activity within the ACL for each loan portfolio class and shows the contribution provided by both recoveries and the provision, along with the reduction of the allowance caused by charge-offs. The time period covered is for three months ended March 31, 2023, 2022, and 2021.</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585"/>
        <w:gridCol w:w="293"/>
        <w:gridCol w:w="1297"/>
        <w:gridCol w:w="271"/>
        <w:gridCol w:w="146"/>
        <w:gridCol w:w="293"/>
        <w:gridCol w:w="1297"/>
        <w:gridCol w:w="271"/>
        <w:gridCol w:w="146"/>
        <w:gridCol w:w="293"/>
        <w:gridCol w:w="1297"/>
        <w:gridCol w:w="1016"/>
      </w:tblGrid>
      <w:tr>
        <w:trPr/>
        <w:tc>
          <w:tcPr>
            <w:tcW w:w="358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3585" w:type="dxa"/>
            <w:tcBorders/>
            <w:shd w:fill="auto" w:val="clear"/>
            <w:vAlign w:val="center"/>
          </w:tcPr>
          <w:p>
            <w:pPr>
              <w:pStyle w:val="TableContents"/>
              <w:spacing w:before="0" w:after="0"/>
              <w:ind w:left="0" w:right="0" w:hanging="0"/>
              <w:jc w:val="left"/>
              <w:rPr/>
            </w:pPr>
            <w:r>
              <w:rPr/>
              <w:t> </w:t>
            </w:r>
          </w:p>
        </w:tc>
        <w:tc>
          <w:tcPr>
            <w:tcW w:w="560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5" w:type="dxa"/>
            <w:tcBorders/>
            <w:shd w:fill="auto" w:val="cle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br/>
              <w:t> March 31, 2021</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Loans, net of deferred fees and costs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2,446,652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1,962,220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1,341,679</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Daily average of outstanding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2,397,061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1,907,478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1,328,571</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Nonaccrual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7,713</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8,139</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Nonperforming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7,713</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8,139</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283"/>
              <w:ind w:left="0" w:right="0" w:hanging="0"/>
              <w:rPr>
                <w:sz w:val="4"/>
                <w:szCs w:val="4"/>
              </w:rPr>
            </w:pPr>
            <w:r>
              <w:rPr>
                <w:sz w:val="4"/>
                <w:szCs w:val="4"/>
              </w:rPr>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1016" w:type="dxa"/>
            <w:tcBorders/>
            <w:shd w:fill="auto" w:val="clear"/>
            <w:vAlign w:val="center"/>
          </w:tcPr>
          <w:p>
            <w:pPr>
              <w:pStyle w:val="TableContents"/>
              <w:spacing w:before="0" w:after="0"/>
              <w:ind w:left="0" w:right="0" w:hanging="0"/>
              <w:jc w:val="righ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 - January 1,</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20,313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16,242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13,672</w:t>
            </w:r>
          </w:p>
        </w:tc>
        <w:tc>
          <w:tcPr>
            <w:tcW w:w="1016" w:type="dxa"/>
            <w:tcBorders/>
            <w:shd w:fill="auto" w:val="cle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Adjustment for accounting change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200"/>
              <w:jc w:val="left"/>
              <w:rPr/>
            </w:pPr>
            <w:r>
              <w:rPr/>
              <w:t> </w:t>
            </w:r>
          </w:p>
        </w:tc>
      </w:tr>
      <w:tr>
        <w:trPr/>
        <w:tc>
          <w:tcPr>
            <w:tcW w:w="358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Charged off:</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1016" w:type="dxa"/>
            <w:tcBorders/>
            <w:shd w:fill="auto" w:val="clear"/>
            <w:vAlign w:val="center"/>
          </w:tcPr>
          <w:p>
            <w:pPr>
              <w:pStyle w:val="TableContents"/>
              <w:spacing w:before="0" w:after="0"/>
              <w:ind w:left="0" w:right="0" w:firstLine="800"/>
              <w:jc w:val="righ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Agriculture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Agricultural</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809</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Consumer</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283"/>
              <w:ind w:left="0" w:right="0" w:hanging="0"/>
              <w:rPr>
                <w:sz w:val="4"/>
                <w:szCs w:val="4"/>
              </w:rPr>
            </w:pPr>
            <w:r>
              <w:rPr>
                <w:sz w:val="4"/>
                <w:szCs w:val="4"/>
              </w:rPr>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1,013</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8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Loan Recoveries:</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1016" w:type="dxa"/>
            <w:tcBorders/>
            <w:shd w:fill="auto" w:val="clear"/>
            <w:vAlign w:val="center"/>
          </w:tcPr>
          <w:p>
            <w:pPr>
              <w:pStyle w:val="TableContents"/>
              <w:spacing w:before="0" w:after="0"/>
              <w:ind w:left="0" w:right="0" w:firstLine="800"/>
              <w:jc w:val="righ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Agriculture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Agricultural</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Consumer</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85" w:type="dxa"/>
            <w:tcBorders/>
            <w:shd w:fill="auto" w:val="clear"/>
            <w:vAlign w:val="center"/>
          </w:tcPr>
          <w:p>
            <w:pPr>
              <w:pStyle w:val="TableContents"/>
              <w:spacing w:before="0" w:after="283"/>
              <w:ind w:left="0" w:right="0" w:firstLine="200"/>
              <w:rPr>
                <w:sz w:val="4"/>
                <w:szCs w:val="4"/>
              </w:rPr>
            </w:pPr>
            <w:r>
              <w:rPr>
                <w:sz w:val="4"/>
                <w:szCs w:val="4"/>
              </w:rPr>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8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Charge Offs (Recoveries):</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shd w:fill="auto" w:val="clear"/>
            <w:vAlign w:val="center"/>
          </w:tcPr>
          <w:p>
            <w:pPr>
              <w:pStyle w:val="TableContents"/>
              <w:spacing w:before="0" w:after="0"/>
              <w:ind w:left="0" w:right="0" w:hanging="0"/>
              <w:jc w:val="right"/>
              <w:rPr/>
            </w:pPr>
            <w:r>
              <w:rPr/>
              <w:t> </w:t>
            </w:r>
          </w:p>
        </w:tc>
        <w:tc>
          <w:tcPr>
            <w:tcW w:w="1016" w:type="dxa"/>
            <w:tcBorders/>
            <w:shd w:fill="auto" w:val="clear"/>
            <w:vAlign w:val="center"/>
          </w:tcPr>
          <w:p>
            <w:pPr>
              <w:pStyle w:val="TableContents"/>
              <w:spacing w:before="0" w:after="0"/>
              <w:ind w:left="0" w:right="0" w:firstLine="800"/>
              <w:jc w:val="righ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01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Agriculture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Agricultural</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01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Consumer</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947</w:t>
            </w:r>
          </w:p>
        </w:tc>
        <w:tc>
          <w:tcPr>
            <w:tcW w:w="1016" w:type="dxa"/>
            <w:tcBorders/>
            <w:shd w:fill="auto" w:val="clear"/>
            <w:vAlign w:val="center"/>
          </w:tcPr>
          <w:p>
            <w:pPr>
              <w:pStyle w:val="TableContents"/>
              <w:spacing w:before="0" w:after="0"/>
              <w:ind w:left="0" w:right="0" w:firstLine="800"/>
              <w:jc w:val="left"/>
              <w:rPr/>
            </w:pPr>
            <w:r>
              <w:rPr/>
              <w:t> </w:t>
            </w:r>
          </w:p>
        </w:tc>
      </w:tr>
      <w:tr>
        <w:trPr/>
        <w:tc>
          <w:tcPr>
            <w:tcW w:w="3585"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Loan Losses - March 31,</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16,771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14,425</w:t>
            </w:r>
          </w:p>
        </w:tc>
        <w:tc>
          <w:tcPr>
            <w:tcW w:w="1016" w:type="dxa"/>
            <w:tcBorders/>
            <w:shd w:fill="auto" w:val="cle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Unfunded Loan Commitments</w:t>
              <w:br/>
              <w:t>   &amp; Letters of Credit - March 31,</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Allowance for Credit Losses - March 31,</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26,862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17,847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15,477</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Ratio of Net Charge-offs to Average Outstanding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Ratio of Nonaccrual Loans to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0.61</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Ratio of the Allowance for Loan Losses </w:t>
              <w:br/>
              <w:t>   to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0.85</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Ratio of the Allowance for Loan Losses to </w:t>
              <w:br/>
              <w:t>   Nonaccrual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319.38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198.29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177.24</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Ratio of the Allowance for Loan Losses to</w:t>
              <w:br/>
              <w:t>   Nonperforming Loans*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319.38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198.29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177.24</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Nonperforming loans are defined as all loans on nonaccrual, plus any loans 90 days past due not on nonaccrual.</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Loans classified as nonaccrual were lower as of March 31, 2023 at $7.7 million as compared to $8.6 million as of March 31, 2022. The agricultural real estate portfolio decreased $759 thousand and the commercial real estate portfolio decreased $885 thousand as compared to March 31, 2022. These decreases offset the increases in the other portfolios.</w:t>
      </w:r>
    </w:p>
    <w:p>
      <w:pPr>
        <w:pStyle w:val="TextBody"/>
        <w:spacing w:before="20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presents the balances for allowance for credit losses by loan type at March 31, 2023 and March 31, 2022.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856"/>
        <w:gridCol w:w="146"/>
        <w:gridCol w:w="306"/>
        <w:gridCol w:w="985"/>
        <w:gridCol w:w="146"/>
        <w:gridCol w:w="146"/>
        <w:gridCol w:w="307"/>
        <w:gridCol w:w="1206"/>
        <w:gridCol w:w="271"/>
        <w:gridCol w:w="146"/>
        <w:gridCol w:w="306"/>
        <w:gridCol w:w="985"/>
        <w:gridCol w:w="146"/>
        <w:gridCol w:w="146"/>
        <w:gridCol w:w="307"/>
        <w:gridCol w:w="1206"/>
        <w:gridCol w:w="594"/>
      </w:tblGrid>
      <w:tr>
        <w:trPr/>
        <w:tc>
          <w:tcPr>
            <w:tcW w:w="2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2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r>
        <w:trPr/>
        <w:tc>
          <w:tcPr>
            <w:tcW w:w="2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 Applicable To: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 of Loan Category</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 of Loan Category</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Real Estate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5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 Real Estate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5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Agricultural</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5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46.34</w:t>
            </w:r>
          </w:p>
        </w:tc>
        <w:tc>
          <w:tcPr>
            <w:tcW w:w="5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and Industrial</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5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5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59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Allowance for Loan Losses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firstLine="200"/>
              <w:jc w:val="left"/>
              <w:rPr/>
            </w:pPr>
            <w:r>
              <w:rPr/>
              <w:t> </w:t>
            </w:r>
          </w:p>
        </w:tc>
      </w:tr>
      <w:tr>
        <w:trPr/>
        <w:tc>
          <w:tcPr>
            <w:tcW w:w="28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Off Balance Sheet Commitments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firstLine="400"/>
              <w:jc w:val="left"/>
              <w:rPr/>
            </w:pPr>
            <w:r>
              <w:rPr/>
              <w:t> </w:t>
            </w:r>
          </w:p>
        </w:tc>
      </w:tr>
      <w:tr>
        <w:trPr/>
        <w:tc>
          <w:tcPr>
            <w:tcW w:w="28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Noninterest Income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Noninterest income was down $166 thousand for the first quarter 2023 over the same time frame in 2022. The Company has seen a decrease in its mortgage production volume and the gain on the sale of these loans was $630 thousand lower for the first quarter 2023 over the same period in 2022. Loan originations on loans held for sale for the first quarter 2023 were $6.5 million with proceeds from sale at $6.5 million for 2023 compared to 2022’s first quarter activity of $26.2 million in originations and $28.5 million in sales. Loan originations driven by the refinance activity associated with the reduction in interest rates has slowed. The mortgages sold were both 1-4 family and agricultural real estate loans originated for sale.</w:t>
      </w:r>
    </w:p>
    <w:p>
      <w:pPr>
        <w:pStyle w:val="TextBody"/>
        <w:spacing w:before="200" w:after="0"/>
        <w:jc w:val="both"/>
        <w:rPr>
          <w:rFonts w:ascii="Times New Roman" w:hAnsi="Times New Roman"/>
          <w:sz w:val="20"/>
        </w:rPr>
      </w:pPr>
      <w:r>
        <w:rPr>
          <w:rFonts w:ascii="Times New Roman;serif" w:hAnsi="Times New Roman;serif"/>
          <w:b w:val="false"/>
          <w:sz w:val="20"/>
        </w:rPr>
        <w:t>Combined service fees increased by $1.4 million as compared to first quarter 2022. Debit card income increased by $75 thousand and bank owned life insurance cash surrender value increased $39 thousand. Also contributing to the increase was overdraft and returned check charges which increased $39 thousand compared to first quarter 2022. Servicing rights income for 1-4 family and agricultural real estate loans increased $1.4 million. Fee income from credit cards decreased by $132 thousand as compared to first quarter 2022.</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first quarter of 2023 and 2022, loan servicing rights caused a net $1.4 million in income and $45 thousand in income, respectively. The higher capitalized additions for 2023 are attributed to $1.5 million of rights related to agricultural loans. Amortization of agricultural rights was $36 thousand for the first quarter of 2023. As the Company continues to develop its process for valuing agricultural servicing rights, it may be necessary to adjust their value in future periods. For loans of 15 years and less, the market value of the mortgage servicing rights was 1.04% in the first quarter 2023 versus 1.09% in first quarter 2022. For loans over 15 years, the value was 1.33% versus 1.336% for the same periods respectively. A valuation allowance of $414 thousand was established during 2021. During the first quarter of 2022, $134 thousand of the valuation allowance was reversed. At March 31, 2023 the carrying value was no longer below the market value and no valuation allowance was required.</w:t>
      </w:r>
    </w:p>
    <w:p>
      <w:pPr>
        <w:pStyle w:val="TextBody"/>
        <w:spacing w:before="0" w:after="0"/>
        <w:jc w:val="both"/>
        <w:rPr/>
      </w:pPr>
      <w:r>
        <w:rPr/>
        <w:t> </w:t>
      </w:r>
    </w:p>
    <w:tbl>
      <w:tblPr>
        <w:tblW w:w="5253" w:type="dxa"/>
        <w:jc w:val="left"/>
        <w:tblInd w:w="0" w:type="dxa"/>
        <w:tblCellMar>
          <w:top w:w="28" w:type="dxa"/>
          <w:left w:w="28" w:type="dxa"/>
          <w:bottom w:w="28" w:type="dxa"/>
          <w:right w:w="28" w:type="dxa"/>
        </w:tblCellMar>
      </w:tblPr>
      <w:tblGrid>
        <w:gridCol w:w="3166"/>
        <w:gridCol w:w="211"/>
        <w:gridCol w:w="571"/>
        <w:gridCol w:w="166"/>
        <w:gridCol w:w="146"/>
        <w:gridCol w:w="211"/>
        <w:gridCol w:w="571"/>
        <w:gridCol w:w="211"/>
      </w:tblGrid>
      <w:tr>
        <w:trPr/>
        <w:tc>
          <w:tcPr>
            <w:tcW w:w="3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left"/>
              <w:rPr/>
            </w:pPr>
            <w:r>
              <w:rPr/>
              <w:t> </w:t>
            </w:r>
          </w:p>
        </w:tc>
        <w:tc>
          <w:tcPr>
            <w:tcW w:w="1876"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w:t>
            </w:r>
          </w:p>
        </w:tc>
        <w:tc>
          <w:tcPr>
            <w:tcW w:w="21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pPr>
            <w:r>
              <w:rPr/>
              <w:t> </w:t>
            </w:r>
          </w:p>
        </w:tc>
        <w:tc>
          <w:tcPr>
            <w:tcW w:w="1876"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pPr>
            <w:r>
              <w:rPr/>
              <w:t> </w:t>
            </w:r>
          </w:p>
        </w:tc>
        <w:tc>
          <w:tcPr>
            <w:tcW w:w="78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3,571</w:t>
            </w:r>
          </w:p>
        </w:tc>
        <w:tc>
          <w:tcPr>
            <w:tcW w:w="21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Additions</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21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March 31,</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3,616</w:t>
            </w:r>
          </w:p>
        </w:tc>
        <w:tc>
          <w:tcPr>
            <w:tcW w:w="21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Loan Servicing Rights net, March 31,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Noninterest Expense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first quarter 2023, noninterest expenses were $3.5 million higher than for the same quarter in 2022. Salaries, wages, and employee benefits (includes normal merit increases, restricted stock expense, incentive payout and all employee benefits) increased $1.3 million in total. This was comprised of increased salaries of $1.3 million and increased benefits of $111 thousand. The increase was due to the investment in people for our strategic growth initiative. Advertising and public relations expense increased $216 thousand. Data processing expenses increased $122 thousand. Credit card expense increased $469 thousand related to the conversion of our credit card platform. The conversion expense also included a scorecard conversion expense of $108 thousand that represented awards to customers that the Company paid to honor rather than allowing them to be lost in the conversion. FDIC assessment expense increased $192 thousand.</w:t>
      </w:r>
    </w:p>
    <w:p>
      <w:pPr>
        <w:pStyle w:val="TextBody"/>
        <w:spacing w:before="200" w:after="0"/>
        <w:jc w:val="both"/>
        <w:rPr>
          <w:rFonts w:ascii="Times New Roman;serif" w:hAnsi="Times New Roman;serif"/>
          <w:b/>
          <w:sz w:val="20"/>
        </w:rPr>
      </w:pPr>
      <w:r>
        <w:rPr>
          <w:rFonts w:ascii="Times New Roman;serif" w:hAnsi="Times New Roman;serif"/>
          <w:b/>
          <w:sz w:val="20"/>
        </w:rPr>
        <w:t>Income Taxes</w:t>
      </w:r>
    </w:p>
    <w:p>
      <w:pPr>
        <w:pStyle w:val="TextBody"/>
        <w:spacing w:before="200" w:after="0"/>
        <w:jc w:val="both"/>
        <w:rPr>
          <w:rFonts w:ascii="Times New Roman" w:hAnsi="Times New Roman"/>
          <w:sz w:val="20"/>
        </w:rPr>
      </w:pPr>
      <w:r>
        <w:rPr>
          <w:rFonts w:ascii="Times New Roman;serif" w:hAnsi="Times New Roman;serif"/>
          <w:b w:val="false"/>
          <w:sz w:val="20"/>
        </w:rPr>
        <w:t>Income tax expense was $368 thousand lower for the first quarter 2023 compared to the same quarter in 2022. Effective tax rates were 19.67% and 19.41% for first quarter 2023 and 2022 respectively.</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Net Income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Results overall, net income in the first quarter of 2023 was down $1.6 million as compared to the same quarter last year. As mentioned prior, the Company incurred a one-time expense this quarter of $541 thousand related to our credit card platform. A loss of $891 thousand arising from the sale of $21.6 million of investments was also recognized in the first quarter. The Company has done an exceptional job of growing loans while keeping past dues low. The Company remains strong, stable, and well capitalized and has the capacity to continue to cover the increased costs of expansion.</w:t>
      </w:r>
    </w:p>
    <w:p>
      <w:pPr>
        <w:pStyle w:val="TextBody"/>
        <w:spacing w:before="0" w:after="0"/>
        <w:jc w:val="both"/>
        <w:rPr/>
      </w:pPr>
      <w:r>
        <w:rPr/>
        <w:t> </w:t>
      </w:r>
    </w:p>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FORWARD LOOKING STATEMENTS</w:t>
      </w:r>
    </w:p>
    <w:p>
      <w:pPr>
        <w:pStyle w:val="TextBody"/>
        <w:spacing w:before="200" w:after="0"/>
        <w:jc w:val="both"/>
        <w:rPr>
          <w:rFonts w:ascii="Times New Roman;serif" w:hAnsi="Times New Roman;serif"/>
          <w:b w:val="false"/>
          <w:sz w:val="20"/>
        </w:rPr>
      </w:pPr>
      <w:bookmarkStart w:id="14" w:name="end_of_mda"/>
      <w:bookmarkEnd w:id="14"/>
      <w:r>
        <w:rPr>
          <w:rFonts w:ascii="Times New Roman;serif" w:hAnsi="Times New Roman;serif"/>
          <w:b w:val="false"/>
          <w:sz w:val="20"/>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pStyle w:val="TextBody"/>
        <w:spacing w:before="20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0"/>
        </w:rPr>
      </w:pPr>
      <w:bookmarkStart w:id="15" w:name="item_3_qualitative_quantitative_disclosu"/>
      <w:bookmarkEnd w:id="15"/>
      <w:r>
        <w:rPr>
          <w:rFonts w:ascii="Times New Roman;serif" w:hAnsi="Times New Roman;serif"/>
          <w:b w:val="false"/>
          <w:sz w:val="20"/>
        </w:rPr>
        <w:t>ITEM 3 QUALITATIVE AND QUANTITATIVE DISCLOSURES ABOUT MARKET RISK</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pStyle w:val="TextBody"/>
        <w:spacing w:before="200" w:after="0"/>
        <w:jc w:val="both"/>
        <w:rPr>
          <w:rFonts w:ascii="Times New Roman" w:hAnsi="Times New Roman"/>
          <w:sz w:val="20"/>
        </w:rPr>
      </w:pPr>
      <w:r>
        <w:rPr>
          <w:rFonts w:ascii="Times New Roman;serif" w:hAnsi="Times New Roman;serif"/>
          <w:b w:val="false"/>
          <w:sz w:val="20"/>
        </w:rPr>
        <w:t>Interest rate risk is managed within an overall asset/liability framework. The principal objectives of asset/liability management are to manage sensitivity of net interest spreads and net income to potential changes in interest rates.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shocks presented below assume an immediate change of rate in the percentages and directions shown covering a twelve month period:</w:t>
      </w:r>
    </w:p>
    <w:p>
      <w:pPr>
        <w:pStyle w:val="TextBody"/>
        <w:spacing w:before="0" w:after="0"/>
        <w:jc w:val="both"/>
        <w:rPr/>
      </w:pPr>
      <w:r>
        <w:rPr/>
        <w:t> </w:t>
      </w:r>
    </w:p>
    <w:tbl>
      <w:tblPr>
        <w:tblW w:w="7631" w:type="dxa"/>
        <w:jc w:val="left"/>
        <w:tblInd w:w="0" w:type="dxa"/>
        <w:tblCellMar>
          <w:top w:w="28" w:type="dxa"/>
          <w:left w:w="28" w:type="dxa"/>
          <w:bottom w:w="28" w:type="dxa"/>
          <w:right w:w="28" w:type="dxa"/>
        </w:tblCellMar>
      </w:tblPr>
      <w:tblGrid>
        <w:gridCol w:w="1336"/>
        <w:gridCol w:w="146"/>
        <w:gridCol w:w="1156"/>
        <w:gridCol w:w="146"/>
        <w:gridCol w:w="871"/>
        <w:gridCol w:w="146"/>
        <w:gridCol w:w="1066"/>
        <w:gridCol w:w="146"/>
        <w:gridCol w:w="176"/>
        <w:gridCol w:w="949"/>
        <w:gridCol w:w="146"/>
        <w:gridCol w:w="146"/>
        <w:gridCol w:w="1201"/>
      </w:tblGrid>
      <w:tr>
        <w:trPr/>
        <w:tc>
          <w:tcPr>
            <w:tcW w:w="1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2638" w:type="dxa"/>
            <w:gridSpan w:val="3"/>
            <w:tcBorders/>
            <w:shd w:fill="auto" w:val="clear"/>
            <w:vAlign w:val="center"/>
          </w:tcPr>
          <w:p>
            <w:pPr>
              <w:pStyle w:val="TableContents"/>
              <w:spacing w:before="0" w:after="0"/>
              <w:ind w:left="0" w:right="0" w:hanging="0"/>
              <w:jc w:val="center"/>
              <w:rPr>
                <w:rFonts w:ascii="Times New Roman;serif" w:hAnsi="Times New Roman;serif"/>
                <w:b w:val="false"/>
                <w:sz w:val="20"/>
                <w:u w:val="single"/>
              </w:rPr>
            </w:pPr>
            <w:r>
              <w:rPr>
                <w:rFonts w:ascii="Times New Roman;serif" w:hAnsi="Times New Roman;serif"/>
                <w:b w:val="false"/>
                <w:sz w:val="20"/>
                <w:u w:val="single"/>
              </w:rPr>
              <w:t>Interest Rate Shock</w:t>
              <w:br/>
              <w:t>on Net Interest Margin</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8" w:type="dxa"/>
            <w:gridSpan w:val="5"/>
            <w:tcBorders/>
            <w:shd w:fill="auto" w:val="clear"/>
            <w:vAlign w:val="center"/>
          </w:tcPr>
          <w:p>
            <w:pPr>
              <w:pStyle w:val="TableContents"/>
              <w:spacing w:before="0" w:after="0"/>
              <w:ind w:left="0" w:right="0" w:hanging="0"/>
              <w:jc w:val="center"/>
              <w:rPr>
                <w:rFonts w:ascii="Times New Roman;serif" w:hAnsi="Times New Roman;serif"/>
                <w:b w:val="false"/>
                <w:sz w:val="20"/>
                <w:u w:val="single"/>
              </w:rPr>
            </w:pPr>
            <w:r>
              <w:rPr>
                <w:rFonts w:ascii="Times New Roman;serif" w:hAnsi="Times New Roman;serif"/>
                <w:b w:val="false"/>
                <w:sz w:val="20"/>
                <w:u w:val="single"/>
              </w:rPr>
              <w:t>Interest Rate Shock</w:t>
              <w:br/>
              <w:t>on Net Interest Income</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Net Interest</w:t>
            </w:r>
          </w:p>
        </w:tc>
        <w:tc>
          <w:tcPr>
            <w:tcW w:w="146" w:type="dxa"/>
            <w:tcBorders/>
            <w:shd w:fill="auto" w:val="clear"/>
            <w:vAlign w:val="center"/>
          </w:tcPr>
          <w:p>
            <w:pPr>
              <w:pStyle w:val="TableContents"/>
              <w:spacing w:before="0" w:after="0"/>
              <w:ind w:left="0" w:right="0" w:hanging="0"/>
              <w:jc w:val="center"/>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 to</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Rate</w:t>
            </w:r>
          </w:p>
        </w:tc>
        <w:tc>
          <w:tcPr>
            <w:tcW w:w="146" w:type="dxa"/>
            <w:tcBorders/>
            <w:shd w:fill="auto" w:val="clear"/>
            <w:vAlign w:val="center"/>
          </w:tcPr>
          <w:p>
            <w:pPr>
              <w:pStyle w:val="TableContents"/>
              <w:spacing w:before="0" w:after="0"/>
              <w:ind w:left="0" w:right="0" w:hanging="0"/>
              <w:jc w:val="center"/>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Rate</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Cumulative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 to</w:t>
            </w:r>
          </w:p>
        </w:tc>
      </w:tr>
      <w:tr>
        <w:trPr/>
        <w:tc>
          <w:tcPr>
            <w:tcW w:w="1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Margin (Ratio)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Flat 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Changes by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 ($000)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Flat Rate</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3.94%</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3.64%</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Rising</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1.95%</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3.95%</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3.95%</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Rising</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108,652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2.53%</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3.93%</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3.44%</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Rising</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2.54%</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3.80%</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Flat</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3.53%</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-6.98%</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Falling</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-5.65%</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3.31%</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-12.89%</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Falling</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-10.26%</w:t>
            </w:r>
          </w:p>
        </w:tc>
      </w:tr>
      <w:tr>
        <w:trPr/>
        <w:tc>
          <w:tcPr>
            <w:tcW w:w="13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-18.23%</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Falling</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-3.00%</w:t>
            </w:r>
          </w:p>
        </w:tc>
        <w:tc>
          <w:tcPr>
            <w:tcW w:w="14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-14.40%</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shock chart currently shows a widening in net interest margin over the next twelve months in a rising rate environment and a tightening in a falling rate environment. The rising rate scenarios are predicted to expand the net interest margin and produce higher levels of net interest income. In a rising 200 and 300 basis point increase, the model is indicating our deposit costs are rising more than asset yields. Cost of funds are at 1.85% for the year so the shock of 200 basis points is where the Bank can take partial advantage and reprice some funds to match the level of shock. Once the shocks are falling over 200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Overall, the Company must concentrate on increasing loan spreads on variable loans and limit the increase on cost of funds where possible.</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both"/>
        <w:rPr/>
      </w:pPr>
      <w:r>
        <w:rPr/>
        <w:t> </w:t>
      </w:r>
    </w:p>
    <w:p>
      <w:pPr>
        <w:pStyle w:val="TextBody"/>
        <w:spacing w:before="0" w:after="0"/>
        <w:jc w:val="both"/>
        <w:rPr>
          <w:rFonts w:ascii="Times New Roman" w:hAnsi="Times New Roman"/>
          <w:sz w:val="20"/>
        </w:rPr>
      </w:pPr>
      <w:bookmarkStart w:id="16" w:name="item_4_controls_procedures"/>
      <w:bookmarkEnd w:id="16"/>
      <w:r>
        <w:rPr>
          <w:rFonts w:ascii="Times New Roman;serif" w:hAnsi="Times New Roman;serif"/>
          <w:b w:val="false"/>
          <w:sz w:val="20"/>
        </w:rPr>
        <w:t>ITEM 4 CONTROLS AND PROCEDURES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pStyle w:val="TextBody"/>
        <w:spacing w:before="200" w:after="0"/>
        <w:jc w:val="both"/>
        <w:rPr>
          <w:rFonts w:ascii="Times New Roman" w:hAnsi="Times New Roman"/>
          <w:sz w:val="20"/>
        </w:rPr>
      </w:pPr>
      <w:bookmarkStart w:id="17" w:name="part_ii_or_information"/>
      <w:bookmarkEnd w:id="17"/>
      <w:r>
        <w:rPr>
          <w:rFonts w:ascii="Times New Roman;serif" w:hAnsi="Times New Roman;serif"/>
          <w:b w:val="false"/>
          <w:sz w:val="20"/>
        </w:rPr>
        <w:t>PART II OTHER</w:t>
      </w:r>
      <w:r>
        <w:rPr>
          <w:rFonts w:ascii="Times New Roman" w:hAnsi="Times New Roman"/>
          <w:sz w:val="20"/>
        </w:rPr>
        <w:t xml:space="preserve"> </w:t>
      </w:r>
      <w:r>
        <w:rPr>
          <w:rFonts w:ascii="Times New Roman;serif" w:hAnsi="Times New Roman;serif"/>
          <w:b w:val="false"/>
          <w:sz w:val="20"/>
        </w:rPr>
        <w:t>INFORMATION</w:t>
      </w:r>
    </w:p>
    <w:p>
      <w:pPr>
        <w:pStyle w:val="TextBody"/>
        <w:spacing w:before="200" w:after="0"/>
        <w:jc w:val="both"/>
        <w:rPr>
          <w:rFonts w:ascii="Times New Roman;serif" w:hAnsi="Times New Roman;serif"/>
          <w:b w:val="false"/>
          <w:sz w:val="20"/>
        </w:rPr>
      </w:pPr>
      <w:bookmarkStart w:id="18" w:name="item_1_legal_proceedings"/>
      <w:bookmarkEnd w:id="18"/>
      <w:r>
        <w:rPr>
          <w:rFonts w:ascii="Times New Roman;serif" w:hAnsi="Times New Roman;serif"/>
          <w:b w:val="false"/>
          <w:sz w:val="20"/>
        </w:rPr>
        <w:t>ITEM 1 LEGAL 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both"/>
        <w:rPr>
          <w:rFonts w:ascii="Times New Roman;serif" w:hAnsi="Times New Roman;serif"/>
          <w:b w:val="false"/>
          <w:sz w:val="20"/>
        </w:rPr>
      </w:pPr>
      <w:bookmarkStart w:id="19" w:name="item_1a_risk_factors"/>
      <w:bookmarkEnd w:id="19"/>
      <w:r>
        <w:rPr>
          <w:rFonts w:ascii="Times New Roman;serif" w:hAnsi="Times New Roman;serif"/>
          <w:b w:val="false"/>
          <w:sz w:val="20"/>
        </w:rPr>
        <w:t>ITEM 1A RISK FACTORS</w:t>
      </w:r>
    </w:p>
    <w:p>
      <w:pPr>
        <w:pStyle w:val="TextBody"/>
        <w:spacing w:before="200" w:after="0"/>
        <w:jc w:val="both"/>
        <w:rPr>
          <w:rFonts w:ascii="Times New Roman" w:hAnsi="Times New Roman"/>
          <w:sz w:val="20"/>
        </w:rPr>
      </w:pPr>
      <w:r>
        <w:rPr>
          <w:rFonts w:ascii="Times New Roman;serif" w:hAnsi="Times New Roman;serif"/>
          <w:b w:val="false"/>
          <w:sz w:val="20"/>
        </w:rPr>
        <w:t>Except as indicated below, there have been no material changes in the Company’s risk factors from those disclosed in the Company’s Annual Report on Form 10-K for the year</w:t>
      </w:r>
      <w:r>
        <w:rPr>
          <w:rFonts w:ascii="Times New Roman" w:hAnsi="Times New Roman"/>
          <w:sz w:val="20"/>
        </w:rPr>
        <w:t xml:space="preserve"> </w:t>
      </w:r>
      <w:r>
        <w:rPr>
          <w:rFonts w:ascii="Times New Roman;serif" w:hAnsi="Times New Roman;serif"/>
          <w:b w:val="false"/>
          <w:sz w:val="20"/>
        </w:rPr>
        <w:t>ended December 31, 2022.</w:t>
      </w:r>
    </w:p>
    <w:p>
      <w:pPr>
        <w:pStyle w:val="TextBody"/>
        <w:spacing w:before="200" w:after="0"/>
        <w:jc w:val="both"/>
        <w:rPr>
          <w:rFonts w:ascii="Times New Roman;serif" w:hAnsi="Times New Roman;serif"/>
          <w:b/>
          <w:sz w:val="20"/>
        </w:rPr>
      </w:pPr>
      <w:r>
        <w:rPr>
          <w:rFonts w:ascii="Times New Roman;serif" w:hAnsi="Times New Roman;serif"/>
          <w:b/>
          <w:sz w:val="20"/>
        </w:rPr>
        <w:t>Recent Events Impacting the Financial Services Industry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Recent events impacting the financial services industry, including the failures of Silicon Valley Bank and Signature Bank, have resulted in decreased confidence in banks among consumer and commercial depositors, other counterparties and investors, as well as significant disruption, volatility and reduced valuations of equity and other securities of banks in the capital markets. These events occurred during a period of rapidly rising interest rates which, among other things, has resulted in unrealized losses in longer duration securities and loans held by banks, more competition for bank deposits and may increase the risk of a potential recession. These recent events have, and could continue to, adversely impact the market price and volatility of the Company's common stock.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recent events may also result in potentially adverse changes to laws or regulations governing banks and bank holding companies or result in the impositions of restrictions through supervisory or enforcement activities, including higher capital requirements, which could have a material impact on our business. Inability to access short-term funding or the loss of client deposits could increase our cost of funding, limit access to capital markets or negatively impact our overall liquidity or capitalization. Moreover, we may be impacted by concerns regarding the soundness or creditworthiness of other financial institutions, which can cause substantial and cascading disruption within the financial markets and increased expenses. In addition, the cost of resolving the recent bank failures may prompt the FDIC to increase its premiums above the recently increased levels or to issue additional special assessments.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both"/>
        <w:rPr/>
      </w:pPr>
      <w:r>
        <w:rPr/>
        <w:t> </w:t>
      </w:r>
    </w:p>
    <w:p>
      <w:pPr>
        <w:pStyle w:val="TextBody"/>
        <w:spacing w:before="200" w:after="0"/>
        <w:jc w:val="both"/>
        <w:rPr>
          <w:rFonts w:ascii="Times New Roman;serif" w:hAnsi="Times New Roman;serif"/>
          <w:b w:val="false"/>
          <w:sz w:val="20"/>
        </w:rPr>
      </w:pPr>
      <w:bookmarkStart w:id="20" w:name="item_2_unregistered_sales_equity_securit"/>
      <w:bookmarkEnd w:id="20"/>
      <w:r>
        <w:rPr>
          <w:rFonts w:ascii="Times New Roman;serif" w:hAnsi="Times New Roman;serif"/>
          <w:b w:val="false"/>
          <w:sz w:val="20"/>
        </w:rPr>
        <w:t>ITEM 2 UNREGISTERED SALES OF EQUITY SECURITIES AND USE OF PROCEEDS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Treasury stock repurchased the quarter ended March 31, 2023.</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751"/>
        <w:gridCol w:w="146"/>
        <w:gridCol w:w="463"/>
        <w:gridCol w:w="1100"/>
        <w:gridCol w:w="146"/>
        <w:gridCol w:w="146"/>
        <w:gridCol w:w="394"/>
        <w:gridCol w:w="943"/>
        <w:gridCol w:w="146"/>
        <w:gridCol w:w="146"/>
        <w:gridCol w:w="641"/>
        <w:gridCol w:w="1526"/>
        <w:gridCol w:w="146"/>
        <w:gridCol w:w="146"/>
        <w:gridCol w:w="340"/>
        <w:gridCol w:w="1831"/>
        <w:gridCol w:w="194"/>
      </w:tblGrid>
      <w:tr>
        <w:trPr/>
        <w:tc>
          <w:tcPr>
            <w:tcW w:w="1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 Total Number of</w:t>
              <w:br/>
              <w:t>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 Average Price</w:t>
              <w:br/>
              <w:t>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(c) Total Number</w:t>
              <w:br/>
              <w:t>of Shares Purchased as Part</w:t>
              <w:br/>
              <w:t>of Publicly Announced Plan</w:t>
              <w:br/>
              <w:t xml:space="preserve">or Programs </w:t>
            </w:r>
            <w:r>
              <w:rPr>
                <w:rFonts w:ascii="Times New Roman;serif" w:hAnsi="Times New Roman;serif"/>
                <w:b w:val="false"/>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 Maximum</w:t>
              <w:br/>
              <w:t>Number</w:t>
              <w:br/>
              <w:t>of Shares that may yet be</w:t>
              <w:br/>
              <w:t>purchased under the Plans or</w:t>
              <w:br/>
              <w:t>Programs</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1/1/2023 to 1/31/2023</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left"/>
              <w:rPr/>
            </w:pPr>
            <w:r>
              <w:rPr/>
              <w:t> </w:t>
            </w:r>
          </w:p>
        </w:tc>
        <w:tc>
          <w:tcPr>
            <w:tcW w:w="1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8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94" w:type="dxa"/>
            <w:tcBorders/>
            <w:shd w:fill="auto" w:val="clear"/>
            <w:vAlign w:val="center"/>
          </w:tcPr>
          <w:p>
            <w:pPr>
              <w:pStyle w:val="TableContents"/>
              <w:spacing w:before="0" w:after="0"/>
              <w:ind w:left="0" w:right="0" w:hanging="0"/>
              <w:jc w:val="left"/>
              <w:rPr/>
            </w:pPr>
            <w:r>
              <w:rPr/>
              <w:t> </w:t>
            </w:r>
          </w:p>
        </w:tc>
      </w:tr>
      <w:tr>
        <w:trPr/>
        <w:tc>
          <w:tcPr>
            <w:tcW w:w="1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1" w:type="dxa"/>
            <w:gridSpan w:val="2"/>
            <w:tcBorders/>
            <w:shd w:fill="auto" w:val="clear"/>
            <w:vAlign w:val="center"/>
          </w:tcPr>
          <w:p>
            <w:pPr>
              <w:pStyle w:val="TableContents"/>
              <w:spacing w:before="0" w:after="0"/>
              <w:ind w:left="0" w:right="0" w:hanging="0"/>
              <w:jc w:val="right"/>
              <w:rPr/>
            </w:pPr>
            <w:r>
              <w:rPr/>
              <w:t> </w:t>
            </w:r>
          </w:p>
        </w:tc>
        <w:tc>
          <w:tcPr>
            <w:tcW w:w="194" w:type="dxa"/>
            <w:tcBorders/>
            <w:shd w:fill="auto" w:val="clear"/>
            <w:vAlign w:val="center"/>
          </w:tcPr>
          <w:p>
            <w:pPr>
              <w:pStyle w:val="TableContents"/>
              <w:spacing w:before="0" w:after="0"/>
              <w:ind w:left="0" w:right="0" w:hanging="0"/>
              <w:jc w:val="right"/>
              <w:rPr/>
            </w:pPr>
            <w:r>
              <w:rPr/>
              <w:t> </w:t>
            </w:r>
          </w:p>
        </w:tc>
      </w:tr>
      <w:tr>
        <w:trPr/>
        <w:tc>
          <w:tcPr>
            <w:tcW w:w="1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2/1/2023 to 2/28/2023</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left"/>
              <w:rPr/>
            </w:pPr>
            <w:r>
              <w:rPr/>
              <w:t> </w:t>
            </w:r>
          </w:p>
        </w:tc>
        <w:tc>
          <w:tcPr>
            <w:tcW w:w="15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8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94" w:type="dxa"/>
            <w:tcBorders/>
            <w:shd w:fill="auto" w:val="clear"/>
            <w:vAlign w:val="center"/>
          </w:tcPr>
          <w:p>
            <w:pPr>
              <w:pStyle w:val="TableContents"/>
              <w:spacing w:before="0" w:after="0"/>
              <w:ind w:left="0" w:right="0" w:hanging="0"/>
              <w:jc w:val="left"/>
              <w:rPr/>
            </w:pPr>
            <w:r>
              <w:rPr/>
              <w:t> </w:t>
            </w:r>
          </w:p>
        </w:tc>
      </w:tr>
      <w:tr>
        <w:trPr/>
        <w:tc>
          <w:tcPr>
            <w:tcW w:w="1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3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1" w:type="dxa"/>
            <w:gridSpan w:val="2"/>
            <w:tcBorders/>
            <w:shd w:fill="auto" w:val="clear"/>
            <w:vAlign w:val="center"/>
          </w:tcPr>
          <w:p>
            <w:pPr>
              <w:pStyle w:val="TableContents"/>
              <w:spacing w:before="0" w:after="0"/>
              <w:ind w:left="0" w:right="0" w:hanging="0"/>
              <w:jc w:val="right"/>
              <w:rPr/>
            </w:pPr>
            <w:r>
              <w:rPr/>
              <w:t> </w:t>
            </w:r>
          </w:p>
        </w:tc>
        <w:tc>
          <w:tcPr>
            <w:tcW w:w="194" w:type="dxa"/>
            <w:tcBorders/>
            <w:shd w:fill="auto" w:val="clear"/>
            <w:vAlign w:val="center"/>
          </w:tcPr>
          <w:p>
            <w:pPr>
              <w:pStyle w:val="TableContents"/>
              <w:spacing w:before="0" w:after="0"/>
              <w:ind w:left="0" w:right="0" w:hanging="0"/>
              <w:jc w:val="right"/>
              <w:rPr/>
            </w:pPr>
            <w:r>
              <w:rPr/>
              <w:t> </w:t>
            </w:r>
          </w:p>
        </w:tc>
      </w:tr>
      <w:tr>
        <w:trPr/>
        <w:tc>
          <w:tcPr>
            <w:tcW w:w="1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3/1/2023 to 3/31/2023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From time to time, the Company purchases shares in the market pursuant to a stock repurchase program publicly announced on January 24, 2023. On that date, the Board of Directors authorized the repurchase of 650,000 common shares between January 24, 2023 and December 31, 2023.</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jc w:val="both"/>
        <w:rPr>
          <w:rFonts w:ascii="Times New Roman;serif" w:hAnsi="Times New Roman;serif"/>
          <w:b w:val="false"/>
          <w:sz w:val="20"/>
        </w:rPr>
      </w:pPr>
      <w:r>
        <w:rPr>
          <w:rFonts w:ascii="Times New Roman;serif" w:hAnsi="Times New Roman;serif"/>
          <w:b w:val="false"/>
          <w:sz w:val="20"/>
        </w:rPr>
        <w:t>Shares which are returned to account for tax payable on vested stock awards are outside of the Company’s stock repurchase program.</w:t>
      </w:r>
    </w:p>
    <w:p>
      <w:pPr>
        <w:pStyle w:val="TextBody"/>
        <w:spacing w:before="200" w:after="0"/>
        <w:jc w:val="both"/>
        <w:rPr>
          <w:rFonts w:ascii="Times New Roman" w:hAnsi="Times New Roman"/>
          <w:sz w:val="20"/>
        </w:rPr>
      </w:pPr>
      <w:bookmarkStart w:id="21" w:name="item_3_defaults_upon_senior_securities"/>
      <w:bookmarkEnd w:id="21"/>
      <w:r>
        <w:rPr>
          <w:rFonts w:ascii="Times New Roman;serif" w:hAnsi="Times New Roman;serif"/>
          <w:b w:val="false"/>
          <w:sz w:val="20"/>
        </w:rPr>
        <w:t>ITEM 3 DEFAULTS UPON</w:t>
      </w:r>
      <w:r>
        <w:rPr>
          <w:rFonts w:ascii="Times New Roman" w:hAnsi="Times New Roman"/>
          <w:sz w:val="20"/>
        </w:rPr>
        <w:t xml:space="preserve"> </w:t>
      </w:r>
      <w:r>
        <w:rPr>
          <w:rFonts w:ascii="Times New Roman;serif" w:hAnsi="Times New Roman;serif"/>
          <w:b w:val="false"/>
          <w:sz w:val="20"/>
        </w:rPr>
        <w:t>SENIOR SECURITIES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0" w:after="0"/>
        <w:jc w:val="both"/>
        <w:rPr/>
      </w:pPr>
      <w:r>
        <w:rPr/>
        <w:t> </w:t>
      </w:r>
    </w:p>
    <w:p>
      <w:pPr>
        <w:pStyle w:val="TextBody"/>
        <w:spacing w:before="0" w:after="0"/>
        <w:jc w:val="both"/>
        <w:rPr>
          <w:rFonts w:ascii="Times New Roman" w:hAnsi="Times New Roman"/>
          <w:sz w:val="20"/>
        </w:rPr>
      </w:pPr>
      <w:bookmarkStart w:id="22" w:name="item_4_mine_safety_disclosures"/>
      <w:bookmarkEnd w:id="22"/>
      <w:r>
        <w:rPr>
          <w:rFonts w:ascii="Times New Roman;serif" w:hAnsi="Times New Roman;serif"/>
          <w:b w:val="false"/>
          <w:sz w:val="20"/>
        </w:rPr>
        <w:t>ITEM 4 MINE SAFETY DISCLOSURES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both"/>
        <w:rPr/>
      </w:pPr>
      <w:r>
        <w:rPr/>
        <w:t> </w:t>
      </w:r>
    </w:p>
    <w:p>
      <w:pPr>
        <w:pStyle w:val="TextBody"/>
        <w:spacing w:before="0" w:after="0"/>
        <w:jc w:val="both"/>
        <w:rPr>
          <w:rFonts w:ascii="Times New Roman" w:hAnsi="Times New Roman"/>
          <w:sz w:val="20"/>
        </w:rPr>
      </w:pPr>
      <w:bookmarkStart w:id="23" w:name="item_5_or_information"/>
      <w:bookmarkEnd w:id="23"/>
      <w:r>
        <w:rPr>
          <w:rFonts w:ascii="Times New Roman;serif" w:hAnsi="Times New Roman;serif"/>
          <w:b w:val="false"/>
          <w:sz w:val="20"/>
        </w:rPr>
        <w:t>ITEM 5 OTHER INFORMATION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None </w:t>
      </w:r>
    </w:p>
    <w:p>
      <w:pPr>
        <w:pStyle w:val="TextBody"/>
        <w:spacing w:before="0" w:after="0"/>
        <w:jc w:val="both"/>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0"/>
        </w:rPr>
      </w:pPr>
      <w:bookmarkStart w:id="24" w:name="item_6_exhibits"/>
      <w:bookmarkEnd w:id="24"/>
      <w:r>
        <w:rPr>
          <w:rFonts w:ascii="Times New Roman;serif" w:hAnsi="Times New Roman;serif"/>
          <w:b w:val="false"/>
          <w:sz w:val="20"/>
        </w:rPr>
        <w:t>ITEM 6 EXHIBITS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708"/>
        <w:gridCol w:w="146"/>
        <w:gridCol w:w="9351"/>
      </w:tblGrid>
      <w:tr>
        <w:trPr/>
        <w:tc>
          <w:tcPr>
            <w:tcW w:w="7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51" w:type="dxa"/>
            <w:tcBorders/>
            <w:shd w:fill="auto" w:val="clear"/>
            <w:vAlign w:val="center"/>
          </w:tcPr>
          <w:p>
            <w:pPr>
              <w:pStyle w:val="TableContents"/>
              <w:spacing w:before="0" w:after="283"/>
              <w:rPr>
                <w:sz w:val="4"/>
                <w:szCs w:val="4"/>
              </w:rPr>
            </w:pPr>
            <w:r>
              <w:rPr>
                <w:sz w:val="4"/>
                <w:szCs w:val="4"/>
              </w:rPr>
            </w:r>
          </w:p>
        </w:tc>
      </w:tr>
      <w:tr>
        <w:trPr/>
        <w:tc>
          <w:tcPr>
            <w:tcW w:w="70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3.1</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r:id="rId2">
              <w:r>
                <w:rPr>
                  <w:rStyle w:val="InternetLink"/>
                  <w:rFonts w:ascii="Times New Roman;serif" w:hAnsi="Times New Roman;serif"/>
                  <w:b w:val="false"/>
                  <w:sz w:val="20"/>
                  <w:u w:val="single"/>
                </w:rPr>
                <w:t>Amended Articles of Incorporation of the Registrant (incorporated by reference to Exhibit 3.1 to Registrant’s Quarterly Report on Form 10-Q filed with the Commission on October 25, 2017).</w:t>
              </w:r>
            </w:hyperlink>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r:id="rId3">
              <w:r>
                <w:rPr>
                  <w:rStyle w:val="InternetLink"/>
                  <w:rFonts w:ascii="Times New Roman;serif" w:hAnsi="Times New Roman;serif"/>
                  <w:b w:val="false"/>
                  <w:sz w:val="20"/>
                  <w:u w:val="single"/>
                </w:rPr>
                <w:t>Amended and Restated Code of Regulations of the Registrant (incorporated by reference to Exhibit 3.2 to Registrant's Quarterly Report on Form 10-Q filed with the Commission on July 26, 2017).</w:t>
              </w:r>
            </w:hyperlink>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r:id="rId4">
              <w:r>
                <w:rPr>
                  <w:rStyle w:val="InternetLink"/>
                  <w:rFonts w:ascii="Times New Roman;serif" w:hAnsi="Times New Roman;serif"/>
                  <w:b w:val="false"/>
                  <w:sz w:val="20"/>
                  <w:u w:val="single"/>
                </w:rPr>
                <w:t>Description of Registrant’s Common Stock (incorporated by reference to Exhibit 4.1 to Registrant's Annual Report on Form 10-K filed with the Commission on February 26, 2020).</w:t>
              </w:r>
            </w:hyperlink>
          </w:p>
        </w:tc>
      </w:tr>
      <w:tr>
        <w:trPr/>
        <w:tc>
          <w:tcPr>
            <w:tcW w:w="70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31.1</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w:anchor="fmao-ex31_1.htm">
              <w:r>
                <w:rPr>
                  <w:rStyle w:val="InternetLink"/>
                  <w:rFonts w:ascii="Times New Roman;serif" w:hAnsi="Times New Roman;serif"/>
                  <w:b w:val="false"/>
                  <w:sz w:val="20"/>
                  <w:u w:val="single"/>
                </w:rPr>
                <w:t>Rule 13-a-14(a) Certification - CEO</w:t>
              </w:r>
            </w:hyperlink>
          </w:p>
        </w:tc>
      </w:tr>
      <w:tr>
        <w:trPr/>
        <w:tc>
          <w:tcPr>
            <w:tcW w:w="70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31.2</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w:anchor="fmao-ex31_2.htm">
              <w:r>
                <w:rPr>
                  <w:rStyle w:val="InternetLink"/>
                  <w:rFonts w:ascii="Times New Roman;serif" w:hAnsi="Times New Roman;serif"/>
                  <w:b w:val="false"/>
                  <w:sz w:val="20"/>
                  <w:u w:val="single"/>
                </w:rPr>
                <w:t>Rule 13-a-14(a) Certification - CFO</w:t>
              </w:r>
            </w:hyperlink>
          </w:p>
        </w:tc>
      </w:tr>
      <w:tr>
        <w:trPr/>
        <w:tc>
          <w:tcPr>
            <w:tcW w:w="70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32.1</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w:anchor="fmao-ex32_1.htm">
              <w:r>
                <w:rPr>
                  <w:rStyle w:val="InternetLink"/>
                  <w:rFonts w:ascii="Times New Roman;serif" w:hAnsi="Times New Roman;serif"/>
                  <w:b w:val="false"/>
                  <w:sz w:val="20"/>
                  <w:u w:val="single"/>
                </w:rPr>
                <w:t>Section 1350 Certification - CEO</w:t>
              </w:r>
            </w:hyperlink>
          </w:p>
        </w:tc>
      </w:tr>
      <w:tr>
        <w:trPr/>
        <w:tc>
          <w:tcPr>
            <w:tcW w:w="70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32.2</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hyperlink w:anchor="fmao-ex32_2.htm">
              <w:r>
                <w:rPr>
                  <w:rStyle w:val="InternetLink"/>
                  <w:rFonts w:ascii="Times New Roman;serif" w:hAnsi="Times New Roman;serif"/>
                  <w:b w:val="false"/>
                  <w:sz w:val="20"/>
                  <w:u w:val="single"/>
                </w:rPr>
                <w:t>Section 1350 Certification - CFO</w:t>
              </w:r>
            </w:hyperlink>
          </w:p>
        </w:tc>
      </w:tr>
      <w:tr>
        <w:trPr/>
        <w:tc>
          <w:tcPr>
            <w:tcW w:w="708"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pPr>
            <w:r>
              <w:rPr/>
              <w:t> </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r>
              <w:rPr>
                <w:rFonts w:ascii="Times New Roman" w:hAnsi="Times New Roman"/>
                <w:sz w:val="20"/>
              </w:rPr>
              <w:t> </w:t>
            </w:r>
            <w:r>
              <w:rPr>
                <w:rFonts w:ascii="Times New Roman;serif" w:hAnsi="Times New Roman;serif"/>
                <w:b w:val="false"/>
                <w:sz w:val="13"/>
              </w:rPr>
              <w:t>(1)</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Schema Document </w:t>
            </w:r>
            <w:r>
              <w:rPr>
                <w:rFonts w:ascii="Times New Roman;serif" w:hAnsi="Times New Roman;serif"/>
                <w:b w:val="false"/>
                <w:sz w:val="13"/>
              </w:rPr>
              <w:t>(1)</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Calculation Linkbase Document </w:t>
            </w:r>
            <w:r>
              <w:rPr>
                <w:rFonts w:ascii="Times New Roman;serif" w:hAnsi="Times New Roman;serif"/>
                <w:b w:val="false"/>
                <w:sz w:val="13"/>
              </w:rPr>
              <w:t>(1)</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Definition Linkbase Document </w:t>
            </w:r>
            <w:r>
              <w:rPr>
                <w:rFonts w:ascii="Times New Roman;serif" w:hAnsi="Times New Roman;serif"/>
                <w:b w:val="false"/>
                <w:sz w:val="13"/>
              </w:rPr>
              <w:t>(1)</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Label Linkbase Document </w:t>
            </w:r>
            <w:r>
              <w:rPr>
                <w:rFonts w:ascii="Times New Roman;serif" w:hAnsi="Times New Roman;serif"/>
                <w:b w:val="false"/>
                <w:sz w:val="13"/>
              </w:rPr>
              <w:t>(1)</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Inline XBRL Taxonomy Extension Presentation Linkbase Document </w:t>
            </w:r>
            <w:r>
              <w:rPr>
                <w:rFonts w:ascii="Times New Roman;serif" w:hAnsi="Times New Roman;serif"/>
                <w:b w:val="false"/>
                <w:sz w:val="13"/>
              </w:rPr>
              <w:t>(1)</w:t>
            </w:r>
          </w:p>
        </w:tc>
      </w:tr>
      <w:tr>
        <w:trPr/>
        <w:tc>
          <w:tcPr>
            <w:tcW w:w="708"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both"/>
              <w:rPr/>
            </w:pPr>
            <w:r>
              <w:rPr/>
              <w:t> </w:t>
            </w:r>
          </w:p>
        </w:tc>
        <w:tc>
          <w:tcPr>
            <w:tcW w:w="935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cover page from the Company’s Quarterly Report on Form 10-Q for the quarter ended March 31, 2023, has been formatted in Inline XBRL.</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3"/>
        </w:rPr>
        <w:t xml:space="preserve">(1) </w:t>
      </w:r>
      <w:r>
        <w:rPr>
          <w:rFonts w:ascii="Times New Roman;serif" w:hAnsi="Times New Roman;serif"/>
          <w:b w:val="false"/>
          <w:sz w:val="20"/>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both"/>
        <w:rPr/>
      </w:pPr>
      <w:r>
        <w:rPr/>
        <w:t> </w:t>
      </w:r>
    </w:p>
    <w:p>
      <w:pPr>
        <w:pStyle w:val="TextBody"/>
        <w:spacing w:before="0" w:after="0"/>
        <w:jc w:val="left"/>
        <w:rPr>
          <w:rFonts w:ascii="Times New Roman" w:hAnsi="Times New Roman"/>
          <w:sz w:val="20"/>
        </w:rPr>
      </w:pPr>
      <w:bookmarkStart w:id="25" w:name="signatures"/>
      <w:bookmarkEnd w:id="25"/>
      <w:r>
        <w:rPr>
          <w:rFonts w:ascii="Times New Roman;serif" w:hAnsi="Times New Roman;serif"/>
          <w:b w:val="false"/>
          <w:sz w:val="20"/>
        </w:rPr>
        <w:t>SIGNATURES</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SIGNATURES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5460" w:type="dxa"/>
        <w:jc w:val="left"/>
        <w:tblInd w:w="0" w:type="dxa"/>
        <w:tblCellMar>
          <w:top w:w="28" w:type="dxa"/>
          <w:left w:w="28" w:type="dxa"/>
          <w:bottom w:w="28" w:type="dxa"/>
          <w:right w:w="28" w:type="dxa"/>
        </w:tblCellMar>
      </w:tblPr>
      <w:tblGrid>
        <w:gridCol w:w="556"/>
        <w:gridCol w:w="1141"/>
        <w:gridCol w:w="406"/>
        <w:gridCol w:w="146"/>
        <w:gridCol w:w="3211"/>
      </w:tblGrid>
      <w:tr>
        <w:trPr/>
        <w:tc>
          <w:tcPr>
            <w:tcW w:w="55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Farmers &amp; Merchants Bancorp, Inc.,</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pPr>
            <w:r>
              <w:rPr/>
              <w:t> </w:t>
            </w:r>
          </w:p>
        </w:tc>
      </w:tr>
      <w:tr>
        <w:trPr/>
        <w:tc>
          <w:tcPr>
            <w:tcW w:w="55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Date:</w:t>
            </w:r>
          </w:p>
        </w:tc>
        <w:tc>
          <w:tcPr>
            <w:tcW w:w="11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May 8, 2023</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33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Lars B. Eller</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Lars B. Eller</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pPr>
            <w:r>
              <w:rPr/>
              <w:t> </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pPr>
            <w:r>
              <w:rPr/>
              <w:t> </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pPr>
            <w:r>
              <w:rPr/>
              <w:t> </w:t>
            </w:r>
          </w:p>
        </w:tc>
      </w:tr>
      <w:tr>
        <w:trPr/>
        <w:tc>
          <w:tcPr>
            <w:tcW w:w="55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Date:</w:t>
            </w:r>
          </w:p>
        </w:tc>
        <w:tc>
          <w:tcPr>
            <w:tcW w:w="11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May 8, 2023</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33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Barbara J. Britenriker</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Barbara J. Britenriker</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Executive Vice-President and</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pPr>
            <w:r>
              <w:rPr/>
              <w:t> </w:t>
            </w:r>
          </w:p>
        </w:tc>
      </w:tr>
    </w:tbl>
    <w:p>
      <w:pPr>
        <w:pStyle w:val="TextBody"/>
        <w:spacing w:before="0" w:after="0"/>
        <w:jc w:val="both"/>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r>
        <w:br w:type="page"/>
      </w:r>
    </w:p>
    <w:p>
      <w:pPr>
        <w:pStyle w:val="TextBody"/>
        <w:spacing w:before="0" w:after="0"/>
        <w:jc w:val="left"/>
        <w:rPr>
          <w:rFonts w:ascii="Times New Roman;serif" w:hAnsi="Times New Roman;serif"/>
          <w:b/>
          <w:sz w:val="20"/>
        </w:rPr>
      </w:pPr>
      <w:bookmarkStart w:id="26" w:name="fmao-ex31_1.htm"/>
      <w:bookmarkStart w:id="27" w:name="ksfmaoex31_1"/>
      <w:bookmarkEnd w:id="26"/>
      <w:bookmarkEnd w:id="27"/>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Lars B. Eller, President and CEO of Farmers &amp; Merchants Bancorp, Inc., certify that:</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Farmers &amp; Merchants Bancorp, Inc.;</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sz w:val="20"/>
        </w:rPr>
      </w:pPr>
      <w:r>
        <w:rPr>
          <w:rFonts w:ascii="Times New Roman" w:hAnsi="Times New Roman"/>
          <w:b w:val="false"/>
          <w:sz w:val="20"/>
        </w:rPr>
        <w:t>3.</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sz w:val="20"/>
        </w:rPr>
      </w:pPr>
      <w:r>
        <w:rPr>
          <w:rFonts w:ascii="Times New Roman" w:hAnsi="Times New Roman"/>
          <w:b w:val="false"/>
          <w:sz w:val="20"/>
        </w:rPr>
        <w:t>4.</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both"/>
        <w:rPr>
          <w:rFonts w:ascii="Times New Roman" w:hAnsi="Times New Roman"/>
          <w:b w:val="false"/>
          <w:sz w:val="20"/>
        </w:rPr>
      </w:pPr>
      <w:r>
        <w:rPr>
          <w:rFonts w:ascii="Times New Roman" w:hAnsi="Times New Roman"/>
          <w:b w:val="false"/>
          <w:sz w:val="20"/>
        </w:rPr>
        <w:t>c.</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both"/>
        <w:rPr>
          <w:rFonts w:ascii="Times New Roman" w:hAnsi="Times New Roman"/>
          <w:b w:val="false"/>
          <w:sz w:val="20"/>
        </w:rPr>
      </w:pPr>
      <w:r>
        <w:rPr>
          <w:rFonts w:ascii="Times New Roman" w:hAnsi="Times New Roman"/>
          <w:b w:val="false"/>
          <w:sz w:val="20"/>
        </w:rPr>
        <w:t>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sz w:val="20"/>
        </w:rPr>
      </w:pPr>
      <w:r>
        <w:rPr>
          <w:rFonts w:ascii="Times New Roman" w:hAnsi="Times New Roman"/>
          <w:b w:val="false"/>
          <w:sz w:val="20"/>
        </w:rPr>
        <w:t>5.</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controls over financial reporting which are reasonably likely to adversely affect the registrant's ability to record, process, summarize and report financial information; and </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tbl>
      <w:tblPr>
        <w:tblW w:w="4953" w:type="dxa"/>
        <w:jc w:val="left"/>
        <w:tblInd w:w="0" w:type="dxa"/>
        <w:tblCellMar>
          <w:top w:w="28" w:type="dxa"/>
          <w:left w:w="28" w:type="dxa"/>
          <w:bottom w:w="28" w:type="dxa"/>
          <w:right w:w="28" w:type="dxa"/>
        </w:tblCellMar>
      </w:tblPr>
      <w:tblGrid>
        <w:gridCol w:w="601"/>
        <w:gridCol w:w="1141"/>
        <w:gridCol w:w="3211"/>
      </w:tblGrid>
      <w:tr>
        <w:trPr/>
        <w:tc>
          <w:tcPr>
            <w:tcW w:w="60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60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Date:</w:t>
            </w:r>
            <w:r>
              <w:rPr>
                <w:rFonts w:ascii="Times New Roman" w:hAnsi="Times New Roman"/>
                <w:sz w:val="20"/>
              </w:rPr>
              <w:t xml:space="preserve"> </w:t>
            </w:r>
          </w:p>
        </w:tc>
        <w:tc>
          <w:tcPr>
            <w:tcW w:w="11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May 8, 2023</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Lars B. Eller</w:t>
            </w:r>
          </w:p>
        </w:tc>
      </w:tr>
      <w:tr>
        <w:trPr/>
        <w:tc>
          <w:tcPr>
            <w:tcW w:w="601"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Lars B. Eller</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rFonts w:ascii="Times New Roman;serif" w:hAnsi="Times New Roman;serif"/>
          <w:b/>
          <w:sz w:val="20"/>
        </w:rPr>
      </w:pPr>
      <w:bookmarkStart w:id="28" w:name="fmao-ex31_2.htm"/>
      <w:bookmarkStart w:id="29" w:name="ksfmaoex31_2"/>
      <w:bookmarkEnd w:id="28"/>
      <w:bookmarkEnd w:id="29"/>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Barbara J. Britenriker, Executive Vice President and CFO of Farmers &amp; Merchants Bancorp, Inc., certify that:</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Farmers &amp; Merchants Bancorp, Inc.;</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sz w:val="20"/>
        </w:rPr>
      </w:pPr>
      <w:r>
        <w:rPr>
          <w:rFonts w:ascii="Times New Roman" w:hAnsi="Times New Roman"/>
          <w:b w:val="false"/>
          <w:sz w:val="20"/>
        </w:rPr>
        <w:t>3.</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sz w:val="20"/>
        </w:rPr>
      </w:pPr>
      <w:r>
        <w:rPr>
          <w:rFonts w:ascii="Times New Roman" w:hAnsi="Times New Roman"/>
          <w:b w:val="false"/>
          <w:sz w:val="20"/>
        </w:rPr>
        <w:t>4.</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both"/>
        <w:rPr>
          <w:rFonts w:ascii="Times New Roman" w:hAnsi="Times New Roman"/>
          <w:b w:val="false"/>
          <w:sz w:val="20"/>
        </w:rPr>
      </w:pPr>
      <w:r>
        <w:rPr>
          <w:rFonts w:ascii="Times New Roman" w:hAnsi="Times New Roman"/>
          <w:b w:val="false"/>
          <w:sz w:val="20"/>
        </w:rPr>
        <w:t>c.</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240" w:after="0"/>
        <w:jc w:val="both"/>
        <w:rPr>
          <w:rFonts w:ascii="Times New Roman" w:hAnsi="Times New Roman"/>
          <w:b w:val="false"/>
          <w:sz w:val="20"/>
        </w:rPr>
      </w:pPr>
      <w:r>
        <w:rPr>
          <w:rFonts w:ascii="Times New Roman" w:hAnsi="Times New Roman"/>
          <w:b w:val="false"/>
          <w:sz w:val="20"/>
        </w:rPr>
        <w:t>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sz w:val="20"/>
        </w:rPr>
      </w:pPr>
      <w:r>
        <w:rPr>
          <w:rFonts w:ascii="Times New Roman" w:hAnsi="Times New Roman"/>
          <w:b w:val="false"/>
          <w:sz w:val="20"/>
        </w:rPr>
        <w:t>5.</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controls over financial reporting which are reasonably likely to adversely affect the registrant's ability to record, process, summarize and report financial information; and </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tbl>
      <w:tblPr>
        <w:tblW w:w="4233" w:type="dxa"/>
        <w:jc w:val="left"/>
        <w:tblInd w:w="0" w:type="dxa"/>
        <w:tblCellMar>
          <w:top w:w="28" w:type="dxa"/>
          <w:left w:w="28" w:type="dxa"/>
          <w:bottom w:w="28" w:type="dxa"/>
          <w:right w:w="28" w:type="dxa"/>
        </w:tblCellMar>
      </w:tblPr>
      <w:tblGrid>
        <w:gridCol w:w="556"/>
        <w:gridCol w:w="1141"/>
        <w:gridCol w:w="2536"/>
      </w:tblGrid>
      <w:tr>
        <w:trPr/>
        <w:tc>
          <w:tcPr>
            <w:tcW w:w="55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253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Barbara J. Britenriker</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Barbara J. Britenriker</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both"/>
        <w:rPr/>
      </w:pPr>
      <w:r>
        <w:rPr/>
        <w:t> </w:t>
      </w:r>
    </w:p>
    <w:p>
      <w:pPr>
        <w:pStyle w:val="HorizontalLine"/>
        <w:rPr/>
      </w:pPr>
      <w:r>
        <w:rPr/>
      </w:r>
      <w:r>
        <w:br w:type="page"/>
      </w:r>
    </w:p>
    <w:p>
      <w:pPr>
        <w:pStyle w:val="TextBody"/>
        <w:spacing w:before="0" w:after="0"/>
        <w:jc w:val="left"/>
        <w:rPr>
          <w:rFonts w:ascii="Times New Roman;serif" w:hAnsi="Times New Roman;serif"/>
          <w:b/>
          <w:sz w:val="20"/>
        </w:rPr>
      </w:pPr>
      <w:bookmarkStart w:id="30" w:name="fmao-ex32_1.htm"/>
      <w:bookmarkStart w:id="31" w:name="ksfmaoex32_1"/>
      <w:bookmarkEnd w:id="30"/>
      <w:bookmarkEnd w:id="31"/>
      <w:r>
        <w:rPr>
          <w:rFonts w:ascii="Times New Roman;serif" w:hAnsi="Times New Roman;serif"/>
          <w:b/>
          <w:sz w:val="20"/>
        </w:rPr>
        <w:t>Exhibit 32.1</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CERTIFICATION OF PRINCIPAL EXECUTIVE OFFICER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PURSUANT TO 18 U.S.C. SECTION 1350</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In connection with the Quarterly Report of Farmers &amp; Merchants Bancorp, Inc. on Form 10-Q for the period ending March 31, 2023, as filed with the Securities and Exchange Commission ("the report"), I, Lars B. Eller, President and Chief Executive Officer, certify, pursuant to 18 U.S.C. Section 1350, as adopted pursuant to Section 906 of the Sarbanes-Oxley Act of 2002, that: </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Farmers &amp; Merchants Bancorp, Inc. as of the dates and for the periods expressed in the Report.</w:t>
      </w:r>
    </w:p>
    <w:p>
      <w:pPr>
        <w:pStyle w:val="TextBody"/>
        <w:spacing w:before="0" w:after="0"/>
        <w:jc w:val="both"/>
        <w:rPr/>
      </w:pPr>
      <w:r>
        <w:rPr/>
        <w:t> </w:t>
      </w:r>
    </w:p>
    <w:tbl>
      <w:tblPr>
        <w:tblW w:w="4953" w:type="dxa"/>
        <w:jc w:val="left"/>
        <w:tblInd w:w="0" w:type="dxa"/>
        <w:tblCellMar>
          <w:top w:w="28" w:type="dxa"/>
          <w:left w:w="28" w:type="dxa"/>
          <w:bottom w:w="28" w:type="dxa"/>
          <w:right w:w="28" w:type="dxa"/>
        </w:tblCellMar>
      </w:tblPr>
      <w:tblGrid>
        <w:gridCol w:w="601"/>
        <w:gridCol w:w="1141"/>
        <w:gridCol w:w="3211"/>
      </w:tblGrid>
      <w:tr>
        <w:trPr/>
        <w:tc>
          <w:tcPr>
            <w:tcW w:w="60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60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Date:</w:t>
            </w:r>
            <w:r>
              <w:rPr>
                <w:rFonts w:ascii="Times New Roman" w:hAnsi="Times New Roman"/>
                <w:sz w:val="20"/>
              </w:rPr>
              <w:t xml:space="preserve"> </w:t>
            </w:r>
          </w:p>
        </w:tc>
        <w:tc>
          <w:tcPr>
            <w:tcW w:w="11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May 8, 2023</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/s/ Lars B. Eller</w:t>
            </w:r>
          </w:p>
        </w:tc>
      </w:tr>
      <w:tr>
        <w:trPr/>
        <w:tc>
          <w:tcPr>
            <w:tcW w:w="601"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both"/>
              <w:rPr/>
            </w:pPr>
            <w:r>
              <w:rPr/>
              <w:t> </w:t>
            </w:r>
          </w:p>
        </w:tc>
        <w:tc>
          <w:tcPr>
            <w:tcW w:w="32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Lars B. Eller</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pStyle w:val="TextBody"/>
        <w:spacing w:before="0" w:after="0"/>
        <w:jc w:val="both"/>
        <w:rPr/>
      </w:pPr>
      <w:r>
        <w:rPr/>
        <w:t> </w:t>
      </w:r>
    </w:p>
    <w:p>
      <w:pPr>
        <w:pStyle w:val="TextBody"/>
        <w:spacing w:before="0" w:after="200"/>
        <w:jc w:val="left"/>
        <w:rPr/>
      </w:pPr>
      <w:r>
        <w:rPr/>
        <w:t> </w:t>
      </w:r>
    </w:p>
    <w:p>
      <w:pPr>
        <w:pStyle w:val="HorizontalLine"/>
        <w:rPr/>
      </w:pPr>
      <w:r>
        <w:rPr/>
      </w:r>
      <w:r>
        <w:br w:type="page"/>
      </w:r>
    </w:p>
    <w:p>
      <w:pPr>
        <w:pStyle w:val="TextBody"/>
        <w:spacing w:before="0" w:after="0"/>
        <w:jc w:val="left"/>
        <w:rPr>
          <w:rFonts w:ascii="Times New Roman;serif" w:hAnsi="Times New Roman;serif"/>
          <w:b/>
          <w:sz w:val="20"/>
        </w:rPr>
      </w:pPr>
      <w:bookmarkStart w:id="32" w:name="fmao-ex32_2.htm"/>
      <w:bookmarkStart w:id="33" w:name="ksfmaoex32_2"/>
      <w:bookmarkEnd w:id="32"/>
      <w:bookmarkEnd w:id="33"/>
      <w:r>
        <w:rPr>
          <w:rFonts w:ascii="Times New Roman;serif" w:hAnsi="Times New Roman;serif"/>
          <w:b/>
          <w:sz w:val="20"/>
        </w:rPr>
        <w:t>Exhibit 32.2</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CERTIFICATION OF PRINCIPAL EXECUTIVE OFFICER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PURSUANT TO 18 U.S.C. SECTION 1350</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In connection with the Quarterly Report of Farmers &amp; Merchants Bancorp, Inc. on Form 10-Q for the period ending March 31, 2023, as filed with the Securities and Exchange Commission ("the report"), I, Barbara J. Britenriker, Executive Vice President and Chief Financial Officer, certify, pursuant to 18 U.S.C. Section 1350, as adopted pursuant to Section 906 of the Sarbanes-Oxley Act of 2002, that: </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Farmers &amp; Merchants Bancorp, Inc. as of the dates and for the periods expressed in the Report.</w:t>
      </w:r>
    </w:p>
    <w:p>
      <w:pPr>
        <w:pStyle w:val="TextBody"/>
        <w:spacing w:before="0" w:after="0"/>
        <w:jc w:val="both"/>
        <w:rPr/>
      </w:pPr>
      <w:r>
        <w:rPr/>
        <w:t> </w:t>
      </w:r>
    </w:p>
    <w:tbl>
      <w:tblPr>
        <w:tblW w:w="4233" w:type="dxa"/>
        <w:jc w:val="left"/>
        <w:tblInd w:w="0" w:type="dxa"/>
        <w:tblCellMar>
          <w:top w:w="28" w:type="dxa"/>
          <w:left w:w="28" w:type="dxa"/>
          <w:bottom w:w="28" w:type="dxa"/>
          <w:right w:w="28" w:type="dxa"/>
        </w:tblCellMar>
      </w:tblPr>
      <w:tblGrid>
        <w:gridCol w:w="556"/>
        <w:gridCol w:w="1141"/>
        <w:gridCol w:w="2536"/>
      </w:tblGrid>
      <w:tr>
        <w:trPr/>
        <w:tc>
          <w:tcPr>
            <w:tcW w:w="55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253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Barbara J. Britenriker</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Barbara J. Britenriker</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pStyle w:val="TextBody"/>
        <w:spacing w:before="0" w:after="0"/>
        <w:jc w:val="both"/>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2966/000119312517318709/d447990dex31.htm" TargetMode="External"/><Relationship Id="rId3" Type="http://schemas.openxmlformats.org/officeDocument/2006/relationships/hyperlink" Target="https://www.sec.gov/Archives/edgar/data/792966/000119312517235925/d422994dex32.htm" TargetMode="External"/><Relationship Id="rId4" Type="http://schemas.openxmlformats.org/officeDocument/2006/relationships/hyperlink" Target="https://www.sec.gov/Archives/edgar/data/792966/000156459020006695/fmao-ex41_28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29719</Words>
  <CharactersWithSpaces>190506</CharactersWithSpaces>
  <Paragraphs>14957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