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81280</wp:posOffset>
            </wp:positionV>
            <wp:extent cx="1903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121285</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4160"/>
        <w:spacing w:after="0"/>
        <w:tabs>
          <w:tab w:leader="none" w:pos="69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4149090</wp:posOffset>
            </wp:positionH>
            <wp:positionV relativeFrom="paragraph">
              <wp:posOffset>-5080</wp:posOffset>
            </wp:positionV>
            <wp:extent cx="228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91440</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FARMERS &amp; MERCHANTS BANCORP,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90170</wp:posOffset>
            </wp:positionV>
            <wp:extent cx="1903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5" w:lineRule="exact"/>
        <w:rPr>
          <w:sz w:val="24"/>
          <w:szCs w:val="24"/>
          <w:color w:val="auto"/>
        </w:rPr>
      </w:pPr>
    </w:p>
    <w:tbl>
      <w:tblPr>
        <w:tblLayout w:type="fixed"/>
        <w:tblInd w:w="1160" w:type="dxa"/>
        <w:tblCellMar>
          <w:top w:w="0" w:type="dxa"/>
          <w:left w:w="0" w:type="dxa"/>
          <w:bottom w:w="0" w:type="dxa"/>
          <w:right w:w="0" w:type="dxa"/>
        </w:tblCellMar>
      </w:tblPr>
      <w:tr>
        <w:trPr>
          <w:trHeight w:val="214"/>
        </w:trPr>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OHIO</w:t>
            </w:r>
          </w:p>
        </w:tc>
        <w:tc>
          <w:tcPr>
            <w:tcW w:w="422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34-1469491</w:t>
            </w:r>
          </w:p>
        </w:tc>
      </w:tr>
      <w:tr>
        <w:trPr>
          <w:trHeight w:val="148"/>
        </w:trPr>
        <w:tc>
          <w:tcPr>
            <w:tcW w:w="3600" w:type="dxa"/>
            <w:vAlign w:val="bottom"/>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220" w:type="dxa"/>
            <w:vAlign w:val="bottom"/>
          </w:tcPr>
          <w:p>
            <w:pPr>
              <w:jc w:val="center"/>
              <w:ind w:left="30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220" w:type="dxa"/>
            <w:vAlign w:val="bottom"/>
          </w:tcPr>
          <w:p>
            <w:pPr>
              <w:jc w:val="center"/>
              <w:ind w:left="301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307 North Defiance Street, Archbold, Ohio</w:t>
            </w:r>
          </w:p>
        </w:tc>
        <w:tc>
          <w:tcPr>
            <w:tcW w:w="4220" w:type="dxa"/>
            <w:vAlign w:val="bottom"/>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43502</w:t>
            </w:r>
          </w:p>
        </w:tc>
      </w:tr>
      <w:tr>
        <w:trPr>
          <w:trHeight w:val="190"/>
        </w:trPr>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220" w:type="dxa"/>
            <w:vAlign w:val="bottom"/>
          </w:tcPr>
          <w:p>
            <w:pPr>
              <w:jc w:val="center"/>
              <w:ind w:left="30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14"/>
        </w:trPr>
        <w:tc>
          <w:tcPr>
            <w:tcW w:w="3600" w:type="dxa"/>
            <w:vAlign w:val="bottom"/>
          </w:tcPr>
          <w:p>
            <w:pPr>
              <w:spacing w:after="0"/>
              <w:rPr>
                <w:sz w:val="24"/>
                <w:szCs w:val="24"/>
                <w:color w:val="auto"/>
              </w:rPr>
            </w:pPr>
          </w:p>
        </w:tc>
        <w:tc>
          <w:tcPr>
            <w:tcW w:w="4220" w:type="dxa"/>
            <w:vAlign w:val="bottom"/>
          </w:tcPr>
          <w:p>
            <w:pPr>
              <w:jc w:val="right"/>
              <w:ind w:right="2719"/>
              <w:spacing w:after="0"/>
              <w:rPr>
                <w:sz w:val="20"/>
                <w:szCs w:val="20"/>
                <w:color w:val="auto"/>
              </w:rPr>
            </w:pPr>
            <w:r>
              <w:rPr>
                <w:rFonts w:ascii="Times New Roman" w:cs="Times New Roman" w:eastAsia="Times New Roman" w:hAnsi="Times New Roman"/>
                <w:sz w:val="18"/>
                <w:szCs w:val="18"/>
                <w:b w:val="1"/>
                <w:bCs w:val="1"/>
                <w:color w:val="auto"/>
              </w:rPr>
              <w:t>(419) 446-2501</w:t>
            </w:r>
          </w:p>
        </w:tc>
      </w:tr>
    </w:tbl>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107950</wp:posOffset>
            </wp:positionV>
            <wp:extent cx="1903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930" w:type="dxa"/>
        <w:tblCellMar>
          <w:top w:w="0" w:type="dxa"/>
          <w:left w:w="0" w:type="dxa"/>
          <w:bottom w:w="0" w:type="dxa"/>
          <w:right w:w="0" w:type="dxa"/>
        </w:tblCellMar>
      </w:tblPr>
      <w:tr>
        <w:trPr>
          <w:trHeight w:val="219"/>
        </w:trPr>
        <w:tc>
          <w:tcPr>
            <w:tcW w:w="2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246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Name of Each Exchange</w:t>
            </w:r>
          </w:p>
        </w:tc>
      </w:tr>
      <w:tr>
        <w:trPr>
          <w:trHeight w:val="192"/>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FMAO</w:t>
            </w:r>
          </w:p>
        </w:tc>
        <w:tc>
          <w:tcPr>
            <w:tcW w:w="2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NASDAQ Capital Market</w:t>
            </w:r>
          </w:p>
        </w:tc>
      </w:tr>
    </w:tbl>
    <w:p>
      <w:pPr>
        <w:spacing w:after="0" w:line="189"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47"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7260" w:type="dxa"/>
            <w:vAlign w:val="bottom"/>
            <w:gridSpan w:val="3"/>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44"/>
        </w:trPr>
        <w:tc>
          <w:tcPr>
            <w:tcW w:w="7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the number of shares of each of the issuers’ classes of common stock, as of the latest practicable date:</w:t>
            </w: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9"/>
        </w:trPr>
        <w:tc>
          <w:tcPr>
            <w:tcW w:w="1900" w:type="dxa"/>
            <w:vAlign w:val="bottom"/>
          </w:tcPr>
          <w:p>
            <w:pPr>
              <w:spacing w:after="0"/>
              <w:rPr>
                <w:sz w:val="21"/>
                <w:szCs w:val="21"/>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3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13,760,896</w:t>
            </w:r>
          </w:p>
        </w:tc>
        <w:tc>
          <w:tcPr>
            <w:tcW w:w="780" w:type="dxa"/>
            <w:vAlign w:val="bottom"/>
          </w:tcPr>
          <w:p>
            <w:pPr>
              <w:spacing w:after="0"/>
              <w:rPr>
                <w:sz w:val="21"/>
                <w:szCs w:val="21"/>
                <w:color w:val="auto"/>
              </w:rPr>
            </w:pPr>
          </w:p>
        </w:tc>
      </w:tr>
      <w:tr>
        <w:trPr>
          <w:trHeight w:val="217"/>
        </w:trPr>
        <w:tc>
          <w:tcPr>
            <w:tcW w:w="1900" w:type="dxa"/>
            <w:vAlign w:val="bottom"/>
          </w:tcPr>
          <w:p>
            <w:pPr>
              <w:spacing w:after="0"/>
              <w:rPr>
                <w:sz w:val="18"/>
                <w:szCs w:val="18"/>
                <w:color w:val="auto"/>
              </w:rPr>
            </w:pPr>
          </w:p>
        </w:tc>
        <w:tc>
          <w:tcPr>
            <w:tcW w:w="5360" w:type="dxa"/>
            <w:vAlign w:val="bottom"/>
            <w:gridSpan w:val="2"/>
          </w:tcPr>
          <w:p>
            <w:pPr>
              <w:jc w:val="center"/>
              <w:ind w:right="3380"/>
              <w:spacing w:after="0"/>
              <w:rPr>
                <w:sz w:val="20"/>
                <w:szCs w:val="20"/>
                <w:color w:val="auto"/>
              </w:rPr>
            </w:pPr>
            <w:r>
              <w:rPr>
                <w:rFonts w:ascii="Times New Roman" w:cs="Times New Roman" w:eastAsia="Times New Roman" w:hAnsi="Times New Roman"/>
                <w:sz w:val="16"/>
                <w:szCs w:val="16"/>
                <w:color w:val="auto"/>
                <w:w w:val="97"/>
              </w:rPr>
              <w:t>Class</w:t>
            </w:r>
          </w:p>
        </w:tc>
        <w:tc>
          <w:tcPr>
            <w:tcW w:w="24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Outstanding as of October 23, 2026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FARMERS &amp; MERCHANTS BANCORP,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INDEX</w:t>
      </w:r>
    </w:p>
    <w:tbl>
      <w:tblPr>
        <w:tblLayout w:type="fixed"/>
        <w:tblInd w:w="660" w:type="dxa"/>
        <w:tblCellMar>
          <w:top w:w="0" w:type="dxa"/>
          <w:left w:w="0" w:type="dxa"/>
          <w:bottom w:w="0" w:type="dxa"/>
          <w:right w:w="0" w:type="dxa"/>
        </w:tblCellMar>
      </w:tblPr>
      <w:tr>
        <w:trPr>
          <w:trHeight w:val="185"/>
        </w:trPr>
        <w:tc>
          <w:tcPr>
            <w:tcW w:w="156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Form 10-Q Items</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w w:val="91"/>
              </w:rPr>
              <w:t>Page</w:t>
            </w:r>
          </w:p>
        </w:tc>
      </w:tr>
      <w:tr>
        <w:trPr>
          <w:trHeight w:val="196"/>
        </w:trPr>
        <w:tc>
          <w:tcPr>
            <w:tcW w:w="124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PART I.</w:t>
            </w:r>
          </w:p>
        </w:tc>
        <w:tc>
          <w:tcPr>
            <w:tcW w:w="320" w:type="dxa"/>
            <w:vAlign w:val="bottom"/>
          </w:tcPr>
          <w:p>
            <w:pPr>
              <w:spacing w:after="0"/>
              <w:rPr>
                <w:sz w:val="17"/>
                <w:szCs w:val="17"/>
                <w:color w:val="auto"/>
              </w:rPr>
            </w:pPr>
          </w:p>
        </w:tc>
        <w:tc>
          <w:tcPr>
            <w:tcW w:w="228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9"/>
              </w:rPr>
              <w:t>FINANCIAL INFORMATION</w:t>
            </w:r>
          </w:p>
        </w:tc>
        <w:tc>
          <w:tcPr>
            <w:tcW w:w="5800" w:type="dxa"/>
            <w:vAlign w:val="bottom"/>
            <w:gridSpan w:val="9"/>
          </w:tcPr>
          <w:p>
            <w:pPr>
              <w:spacing w:after="0"/>
              <w:rPr>
                <w:sz w:val="17"/>
                <w:szCs w:val="17"/>
                <w:color w:val="auto"/>
              </w:rPr>
            </w:pPr>
          </w:p>
        </w:tc>
        <w:tc>
          <w:tcPr>
            <w:tcW w:w="64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080" w:type="dxa"/>
            <w:vAlign w:val="bottom"/>
            <w:tcBorders>
              <w:lef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8"/>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0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w w:val="99"/>
              </w:rPr>
              <w:t>Condensed Consolidated Balance Sheets - September 30, 2026 and December 31, 2025</w:t>
            </w:r>
          </w:p>
        </w:tc>
        <w:tc>
          <w:tcPr>
            <w:tcW w:w="1780" w:type="dxa"/>
            <w:vAlign w:val="bottom"/>
            <w:gridSpan w:val="3"/>
          </w:tcPr>
          <w:p>
            <w:pPr>
              <w:spacing w:after="0"/>
              <w:rPr>
                <w:sz w:val="24"/>
                <w:szCs w:val="24"/>
                <w:color w:val="auto"/>
              </w:rPr>
            </w:pP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3</w:t>
            </w:r>
          </w:p>
        </w:tc>
      </w:tr>
      <w:tr>
        <w:trPr>
          <w:trHeight w:val="317"/>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rPr>
              <w:t>Condensed Consolidated Statements of Income - Three and Nine Months Ended September 30, 2026 and</w:t>
            </w:r>
          </w:p>
        </w:tc>
        <w:tc>
          <w:tcPr>
            <w:tcW w:w="64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9"/>
              </w:rPr>
              <w:t>September 30, 2025</w:t>
            </w:r>
          </w:p>
        </w:tc>
        <w:tc>
          <w:tcPr>
            <w:tcW w:w="6420" w:type="dxa"/>
            <w:vAlign w:val="bottom"/>
            <w:gridSpan w:val="13"/>
          </w:tcPr>
          <w:p>
            <w:pPr>
              <w:spacing w:after="0"/>
              <w:rPr>
                <w:sz w:val="17"/>
                <w:szCs w:val="17"/>
                <w:color w:val="auto"/>
              </w:rPr>
            </w:pPr>
          </w:p>
        </w:tc>
        <w:tc>
          <w:tcPr>
            <w:tcW w:w="64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318"/>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 Three and Nine Months Ended September 30,</w:t>
            </w:r>
          </w:p>
        </w:tc>
        <w:tc>
          <w:tcPr>
            <w:tcW w:w="64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60" w:type="dxa"/>
            <w:vAlign w:val="bottom"/>
            <w:tcBorders>
              <w:top w:val="single" w:sz="8" w:color="auto"/>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rPr>
              <w:t>2026 and September 30, 2025</w:t>
            </w:r>
          </w:p>
        </w:tc>
        <w:tc>
          <w:tcPr>
            <w:tcW w:w="20" w:type="dxa"/>
            <w:vAlign w:val="bottom"/>
          </w:tcPr>
          <w:p>
            <w:pPr>
              <w:spacing w:after="0"/>
              <w:rPr>
                <w:sz w:val="17"/>
                <w:szCs w:val="17"/>
                <w:color w:val="auto"/>
              </w:rPr>
            </w:pPr>
          </w:p>
        </w:tc>
        <w:tc>
          <w:tcPr>
            <w:tcW w:w="64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8"/>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rPr>
              <w:t>Condensed Consolidated Statements of Changes to Stockholders’ Equity - Three and Nine Months Ended</w:t>
            </w:r>
          </w:p>
        </w:tc>
        <w:tc>
          <w:tcPr>
            <w:tcW w:w="64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September 30, 2026 and September 30, 2025</w:t>
            </w:r>
          </w:p>
        </w:tc>
        <w:tc>
          <w:tcPr>
            <w:tcW w:w="64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08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 Nine Months Ended September 30, 2026 and September</w:t>
            </w:r>
          </w:p>
        </w:tc>
        <w:tc>
          <w:tcPr>
            <w:tcW w:w="64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30, 2025</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318"/>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w w:val="99"/>
              </w:rPr>
              <w:t>Notes to Condensed Consolidated Financial Statements</w:t>
            </w:r>
          </w:p>
        </w:tc>
        <w:tc>
          <w:tcPr>
            <w:tcW w:w="4080" w:type="dxa"/>
            <w:vAlign w:val="bottom"/>
            <w:gridSpan w:val="6"/>
          </w:tcPr>
          <w:p>
            <w:pPr>
              <w:spacing w:after="0"/>
              <w:rPr>
                <w:sz w:val="24"/>
                <w:szCs w:val="24"/>
                <w:color w:val="auto"/>
              </w:rPr>
            </w:pP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11</w:t>
            </w: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46</w:t>
            </w: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60" w:type="dxa"/>
            <w:vAlign w:val="bottom"/>
            <w:tcBorders>
              <w:top w:val="single" w:sz="8" w:color="auto"/>
              <w:bottom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w w:val="99"/>
              </w:rPr>
              <w:t>Qualitative and Quantitative Disclosures About Market Risk</w:t>
            </w:r>
          </w:p>
        </w:tc>
        <w:tc>
          <w:tcPr>
            <w:tcW w:w="2080" w:type="dxa"/>
            <w:vAlign w:val="bottom"/>
            <w:tcBorders>
              <w:top w:val="single" w:sz="8" w:color="auto"/>
            </w:tcBorders>
            <w:gridSpan w:val="2"/>
          </w:tcPr>
          <w:p>
            <w:pPr>
              <w:spacing w:after="0"/>
              <w:rPr>
                <w:sz w:val="24"/>
                <w:szCs w:val="24"/>
                <w:color w:val="auto"/>
              </w:rPr>
            </w:pPr>
          </w:p>
        </w:tc>
        <w:tc>
          <w:tcPr>
            <w:tcW w:w="1640" w:type="dxa"/>
            <w:vAlign w:val="bottom"/>
            <w:gridSpan w:val="2"/>
          </w:tcPr>
          <w:p>
            <w:pPr>
              <w:spacing w:after="0"/>
              <w:rPr>
                <w:sz w:val="24"/>
                <w:szCs w:val="24"/>
                <w:color w:val="auto"/>
              </w:rPr>
            </w:pP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71</w:t>
            </w: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Controls and Procedures</w:t>
            </w:r>
          </w:p>
        </w:tc>
        <w:tc>
          <w:tcPr>
            <w:tcW w:w="20" w:type="dxa"/>
            <w:vAlign w:val="bottom"/>
            <w:tcBorders>
              <w:bottom w:val="single" w:sz="8" w:color="0000EE"/>
            </w:tcBorders>
          </w:tcPr>
          <w:p>
            <w:pPr>
              <w:spacing w:after="0"/>
              <w:rPr>
                <w:sz w:val="24"/>
                <w:szCs w:val="24"/>
                <w:color w:val="auto"/>
              </w:rPr>
            </w:pPr>
          </w:p>
        </w:tc>
        <w:tc>
          <w:tcPr>
            <w:tcW w:w="6280" w:type="dxa"/>
            <w:vAlign w:val="bottom"/>
            <w:gridSpan w:val="11"/>
          </w:tcPr>
          <w:p>
            <w:pPr>
              <w:spacing w:after="0"/>
              <w:rPr>
                <w:sz w:val="24"/>
                <w:szCs w:val="24"/>
                <w:color w:val="auto"/>
              </w:rPr>
            </w:pP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72</w:t>
            </w:r>
          </w:p>
        </w:tc>
      </w:tr>
      <w:tr>
        <w:trPr>
          <w:trHeight w:val="318"/>
        </w:trPr>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 II.</w:t>
            </w:r>
          </w:p>
        </w:tc>
        <w:tc>
          <w:tcPr>
            <w:tcW w:w="80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72</w:t>
            </w: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560" w:type="dxa"/>
            <w:vAlign w:val="bottom"/>
            <w:tcBorders>
              <w:top w:val="single" w:sz="8" w:color="auto"/>
            </w:tcBorders>
            <w:gridSpan w:val="4"/>
          </w:tcPr>
          <w:p>
            <w:pPr>
              <w:spacing w:after="0"/>
              <w:rPr>
                <w:sz w:val="24"/>
                <w:szCs w:val="24"/>
                <w:color w:val="auto"/>
              </w:rPr>
            </w:pPr>
          </w:p>
        </w:tc>
        <w:tc>
          <w:tcPr>
            <w:tcW w:w="6180" w:type="dxa"/>
            <w:vAlign w:val="bottom"/>
            <w:gridSpan w:val="10"/>
          </w:tcPr>
          <w:p>
            <w:pPr>
              <w:spacing w:after="0"/>
              <w:rPr>
                <w:sz w:val="24"/>
                <w:szCs w:val="24"/>
                <w:color w:val="auto"/>
              </w:rPr>
            </w:pP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72</w:t>
            </w:r>
          </w:p>
        </w:tc>
      </w:tr>
      <w:tr>
        <w:trPr>
          <w:trHeight w:val="318"/>
        </w:trPr>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80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72</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73</w:t>
            </w: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4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3740" w:type="dxa"/>
            <w:vAlign w:val="bottom"/>
            <w:gridSpan w:val="5"/>
          </w:tcPr>
          <w:p>
            <w:pPr>
              <w:spacing w:after="0"/>
              <w:rPr>
                <w:sz w:val="24"/>
                <w:szCs w:val="24"/>
                <w:color w:val="auto"/>
              </w:rPr>
            </w:pP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73</w:t>
            </w: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Borders>
              <w:top w:val="single" w:sz="8" w:color="auto"/>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Mine Safety Disclosures</w:t>
            </w:r>
          </w:p>
        </w:tc>
        <w:tc>
          <w:tcPr>
            <w:tcW w:w="580" w:type="dxa"/>
            <w:vAlign w:val="bottom"/>
            <w:tcBorders>
              <w:top w:val="single" w:sz="8" w:color="auto"/>
            </w:tcBorders>
            <w:gridSpan w:val="4"/>
          </w:tcPr>
          <w:p>
            <w:pPr>
              <w:spacing w:after="0"/>
              <w:rPr>
                <w:sz w:val="24"/>
                <w:szCs w:val="24"/>
                <w:color w:val="auto"/>
              </w:rPr>
            </w:pPr>
          </w:p>
        </w:tc>
        <w:tc>
          <w:tcPr>
            <w:tcW w:w="5720" w:type="dxa"/>
            <w:vAlign w:val="bottom"/>
            <w:gridSpan w:val="8"/>
          </w:tcPr>
          <w:p>
            <w:pPr>
              <w:spacing w:after="0"/>
              <w:rPr>
                <w:sz w:val="24"/>
                <w:szCs w:val="24"/>
                <w:color w:val="auto"/>
              </w:rPr>
            </w:pP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73</w:t>
            </w: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Other Information</w:t>
            </w:r>
          </w:p>
        </w:tc>
        <w:tc>
          <w:tcPr>
            <w:tcW w:w="6760" w:type="dxa"/>
            <w:vAlign w:val="bottom"/>
            <w:gridSpan w:val="15"/>
          </w:tcPr>
          <w:p>
            <w:pPr>
              <w:spacing w:after="0"/>
              <w:rPr>
                <w:sz w:val="24"/>
                <w:szCs w:val="24"/>
                <w:color w:val="auto"/>
              </w:rPr>
            </w:pP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73</w:t>
            </w: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Exhibits</w:t>
            </w: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74</w:t>
            </w:r>
          </w:p>
        </w:tc>
      </w:tr>
      <w:tr>
        <w:trPr>
          <w:trHeight w:val="318"/>
        </w:trPr>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Signatures</w:t>
            </w:r>
          </w:p>
        </w:tc>
        <w:tc>
          <w:tcPr>
            <w:tcW w:w="800" w:type="dxa"/>
            <w:vAlign w:val="bottom"/>
            <w:gridSpan w:val="2"/>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85" w:right="6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PART 1 - FINANCIAL INFORMATION</w:t>
            </w: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60" w:type="dxa"/>
            <w:vAlign w:val="bottom"/>
          </w:tcPr>
          <w:p>
            <w:pPr>
              <w:spacing w:after="0"/>
              <w:rPr>
                <w:sz w:val="20"/>
                <w:szCs w:val="20"/>
                <w:color w:val="auto"/>
              </w:rPr>
            </w:pPr>
          </w:p>
        </w:tc>
        <w:tc>
          <w:tcPr>
            <w:tcW w:w="4020" w:type="dxa"/>
            <w:vAlign w:val="bottom"/>
            <w:gridSpan w:val="4"/>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September 30, 2026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09"/>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205,125</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97,249</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Federal funds sold</w:t>
            </w: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686</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0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205,811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97,718</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455,977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422,072</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securities, at cost</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10,681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13,032</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Loans held for sale</w:t>
            </w: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3,934</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Loans, net of allowance for credit losses of $27,802 and $27,688</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2,709,358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2,685,990</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Premises and equipment</w:t>
            </w: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31,864</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86,358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86,358</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 servicing rights</w:t>
            </w: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5,175</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48,751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47,410</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44,450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39,331</w:t>
            </w:r>
          </w:p>
        </w:tc>
        <w:tc>
          <w:tcPr>
            <w:tcW w:w="0" w:type="dxa"/>
            <w:vAlign w:val="bottom"/>
          </w:tcPr>
          <w:p>
            <w:pPr>
              <w:spacing w:after="0"/>
              <w:rPr>
                <w:sz w:val="1"/>
                <w:szCs w:val="1"/>
                <w:color w:val="auto"/>
              </w:rPr>
            </w:pPr>
          </w:p>
        </w:tc>
      </w:tr>
      <w:tr>
        <w:trPr>
          <w:trHeight w:val="24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3,599,055</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3,434,382</w:t>
            </w:r>
          </w:p>
        </w:tc>
        <w:tc>
          <w:tcPr>
            <w:tcW w:w="0" w:type="dxa"/>
            <w:vAlign w:val="bottom"/>
          </w:tcPr>
          <w:p>
            <w:pPr>
              <w:spacing w:after="0"/>
              <w:rPr>
                <w:sz w:val="1"/>
                <w:szCs w:val="1"/>
                <w:color w:val="auto"/>
              </w:rPr>
            </w:pPr>
          </w:p>
        </w:tc>
      </w:tr>
      <w:tr>
        <w:trPr>
          <w:trHeight w:val="413"/>
        </w:trPr>
        <w:tc>
          <w:tcPr>
            <w:tcW w:w="7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Noninterest-bearing</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518,286</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527,327</w:t>
            </w:r>
          </w:p>
        </w:tc>
        <w:tc>
          <w:tcPr>
            <w:tcW w:w="0" w:type="dxa"/>
            <w:vAlign w:val="bottom"/>
          </w:tcPr>
          <w:p>
            <w:pPr>
              <w:spacing w:after="0"/>
              <w:rPr>
                <w:sz w:val="1"/>
                <w:szCs w:val="1"/>
                <w:color w:val="auto"/>
              </w:rPr>
            </w:pPr>
          </w:p>
        </w:tc>
      </w:tr>
      <w:tr>
        <w:trPr>
          <w:trHeight w:val="216"/>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Interest-bearing</w:t>
            </w: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NOW accounts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952,573</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876,151</w:t>
            </w:r>
          </w:p>
        </w:tc>
        <w:tc>
          <w:tcPr>
            <w:tcW w:w="0" w:type="dxa"/>
            <w:vAlign w:val="bottom"/>
          </w:tcPr>
          <w:p>
            <w:pPr>
              <w:spacing w:after="0"/>
              <w:rPr>
                <w:sz w:val="1"/>
                <w:szCs w:val="1"/>
                <w:color w:val="auto"/>
              </w:rPr>
            </w:pPr>
          </w:p>
        </w:tc>
      </w:tr>
      <w:tr>
        <w:trPr>
          <w:trHeight w:val="216"/>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Savings</w:t>
            </w: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803,763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729,472</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Time</w:t>
            </w: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687,870</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597,785</w:t>
            </w:r>
          </w:p>
        </w:tc>
        <w:tc>
          <w:tcPr>
            <w:tcW w:w="0" w:type="dxa"/>
            <w:vAlign w:val="bottom"/>
          </w:tcPr>
          <w:p>
            <w:pPr>
              <w:spacing w:after="0"/>
              <w:rPr>
                <w:sz w:val="1"/>
                <w:szCs w:val="1"/>
                <w:color w:val="auto"/>
              </w:rPr>
            </w:pPr>
          </w:p>
        </w:tc>
      </w:tr>
      <w:tr>
        <w:trPr>
          <w:trHeight w:val="210"/>
        </w:trPr>
        <w:tc>
          <w:tcPr>
            <w:tcW w:w="7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deposits</w:t>
            </w: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2,962,492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2,730,735</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15,168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37,718</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 Home Loan Bank (FHLB) advances</w:t>
            </w: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167,903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227,377</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35,000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34,933</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 payable</w:t>
            </w: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28,166</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29,632</w:t>
            </w:r>
          </w:p>
        </w:tc>
        <w:tc>
          <w:tcPr>
            <w:tcW w:w="0" w:type="dxa"/>
            <w:vAlign w:val="bottom"/>
          </w:tcPr>
          <w:p>
            <w:pPr>
              <w:spacing w:after="0"/>
              <w:rPr>
                <w:sz w:val="1"/>
                <w:szCs w:val="1"/>
                <w:color w:val="auto"/>
              </w:rPr>
            </w:pPr>
          </w:p>
        </w:tc>
      </w:tr>
      <w:tr>
        <w:trPr>
          <w:trHeight w:val="210"/>
        </w:trPr>
        <w:tc>
          <w:tcPr>
            <w:tcW w:w="7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3,212,128</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3,063,520</w:t>
            </w:r>
          </w:p>
        </w:tc>
        <w:tc>
          <w:tcPr>
            <w:tcW w:w="0" w:type="dxa"/>
            <w:vAlign w:val="bottom"/>
          </w:tcPr>
          <w:p>
            <w:pPr>
              <w:spacing w:after="0"/>
              <w:rPr>
                <w:sz w:val="1"/>
                <w:szCs w:val="1"/>
                <w:color w:val="auto"/>
              </w:rPr>
            </w:pPr>
          </w:p>
        </w:tc>
      </w:tr>
      <w:tr>
        <w:trPr>
          <w:trHeight w:val="209"/>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060" w:type="dxa"/>
            <w:vAlign w:val="bottom"/>
            <w:shd w:val="clear" w:color="auto" w:fill="CFF0FC"/>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 No par value; authorized 40,000,000 shares; issued</w:t>
            </w:r>
          </w:p>
        </w:tc>
        <w:tc>
          <w:tcPr>
            <w:tcW w:w="16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14,564,425 shares; outstanding 13,762,268 shares 9/30/26 and</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13,748,074 shares 12/31/25</w:t>
            </w:r>
          </w:p>
        </w:tc>
        <w:tc>
          <w:tcPr>
            <w:tcW w:w="160" w:type="dxa"/>
            <w:vAlign w:val="bottom"/>
            <w:shd w:val="clear" w:color="auto" w:fill="CFF0FC"/>
          </w:tcPr>
          <w:p>
            <w:pPr>
              <w:spacing w:after="0"/>
              <w:rPr>
                <w:sz w:val="20"/>
                <w:szCs w:val="20"/>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134,761</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135,531</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Treasury stock - 802,157 shares 9/30/26 and 816,351 shares 12/31/25</w:t>
            </w: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282,446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257,855</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386,927</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370,862</w:t>
            </w:r>
          </w:p>
        </w:tc>
        <w:tc>
          <w:tcPr>
            <w:tcW w:w="0" w:type="dxa"/>
            <w:vAlign w:val="bottom"/>
          </w:tcPr>
          <w:p>
            <w:pPr>
              <w:spacing w:after="0"/>
              <w:rPr>
                <w:sz w:val="1"/>
                <w:szCs w:val="1"/>
                <w:color w:val="auto"/>
              </w:rPr>
            </w:pPr>
          </w:p>
        </w:tc>
      </w:tr>
      <w:tr>
        <w:trPr>
          <w:trHeight w:val="232"/>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3,599,055</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3,434,382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-5722620</wp:posOffset>
            </wp:positionV>
            <wp:extent cx="111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-4059555</wp:posOffset>
            </wp:positionV>
            <wp:extent cx="111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-4042410</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-2662555</wp:posOffset>
            </wp:positionV>
            <wp:extent cx="111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-1830705</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-159385</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-13335</wp:posOffset>
            </wp:positionV>
            <wp:extent cx="2657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Unaudited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-116205</wp:posOffset>
            </wp:positionV>
            <wp:extent cx="2657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The December 31, 2025, Condensed Consolidated Balance Sheet has been derived from the audited Consolidated Balance Sheet as of that date.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 Thousands, Except Per Share</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306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4"/>
          </w:tcPr>
          <w:p>
            <w:pPr>
              <w:jc w:val="center"/>
              <w:ind w:left="990"/>
              <w:spacing w:after="0"/>
              <w:rPr>
                <w:sz w:val="20"/>
                <w:szCs w:val="20"/>
                <w:color w:val="auto"/>
              </w:rPr>
            </w:pPr>
            <w:r>
              <w:rPr>
                <w:rFonts w:ascii="Times New Roman" w:cs="Times New Roman" w:eastAsia="Times New Roman" w:hAnsi="Times New Roman"/>
                <w:sz w:val="18"/>
                <w:szCs w:val="18"/>
                <w:color w:val="auto"/>
                <w:w w:val="99"/>
              </w:rPr>
              <w:t>Data)</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5"/>
          </w:tcPr>
          <w:p>
            <w:pPr>
              <w:jc w:val="center"/>
              <w:ind w:right="1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42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30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including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122,727</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Debt securities:</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Municipalities and corporate bonds</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Federal funds sold and other</w:t>
            </w:r>
          </w:p>
        </w:tc>
        <w:tc>
          <w:tcPr>
            <w:tcW w:w="1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interest income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4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agreements to repurchase</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Borrowed funds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Subordinated notes</w:t>
            </w:r>
          </w:p>
        </w:tc>
        <w:tc>
          <w:tcPr>
            <w:tcW w:w="1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interest expense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17,052</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14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Interest Income - Before Provision for Credit</w:t>
            </w: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29,940</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26,901</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86,302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(Recovery of) Credit Losses - Loans</w:t>
            </w:r>
          </w:p>
        </w:tc>
        <w:tc>
          <w:tcPr>
            <w:tcW w:w="1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14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Provision for (Recovery of) Credit Losses - Off</w:t>
            </w:r>
          </w:p>
        </w:tc>
        <w:tc>
          <w:tcPr>
            <w:tcW w:w="100" w:type="dxa"/>
            <w:vAlign w:val="bottom"/>
            <w:shd w:val="clear" w:color="auto" w:fill="CFF0FC"/>
          </w:tcPr>
          <w:p>
            <w:pPr>
              <w:spacing w:after="0"/>
              <w:rPr>
                <w:sz w:val="16"/>
                <w:szCs w:val="16"/>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25"/>
        </w:trPr>
        <w:tc>
          <w:tcPr>
            <w:tcW w:w="5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Sheet Credit Exposures</w:t>
            </w:r>
          </w:p>
        </w:tc>
        <w:tc>
          <w:tcPr>
            <w:tcW w:w="100" w:type="dxa"/>
            <w:vAlign w:val="bottom"/>
            <w:shd w:val="clear" w:color="auto" w:fill="CFF0FC"/>
          </w:tcPr>
          <w:p>
            <w:pPr>
              <w:spacing w:after="0"/>
              <w:rPr>
                <w:sz w:val="19"/>
                <w:szCs w:val="19"/>
                <w:color w:val="auto"/>
              </w:rPr>
            </w:pPr>
          </w:p>
        </w:tc>
        <w:tc>
          <w:tcPr>
            <w:tcW w:w="12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140" w:type="dxa"/>
            <w:vAlign w:val="bottom"/>
            <w:tcBorders>
              <w:top w:val="single" w:sz="8" w:color="CFF0FC"/>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Interest Income - After Provision for Credit</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 service fees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Interchange income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 servicing income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gain on sale of loans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4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Increase in cash surrender value of bank owned</w:t>
            </w: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life insurance</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(loss) on sale of other assets owned</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sale of available-for-sale securities</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140" w:type="dxa"/>
            <w:vAlign w:val="bottom"/>
            <w:tcBorders>
              <w:top w:val="single" w:sz="8" w:color="CFF0FC"/>
            </w:tcBorders>
          </w:tcPr>
          <w:p>
            <w:pPr>
              <w:ind w:left="200"/>
              <w:spacing w:after="0" w:line="191" w:lineRule="exact"/>
              <w:rPr>
                <w:sz w:val="20"/>
                <w:szCs w:val="20"/>
                <w:color w:val="auto"/>
              </w:rPr>
            </w:pPr>
            <w:r>
              <w:rPr>
                <w:rFonts w:ascii="Times New Roman" w:cs="Times New Roman" w:eastAsia="Times New Roman" w:hAnsi="Times New Roman"/>
                <w:sz w:val="18"/>
                <w:szCs w:val="18"/>
                <w:color w:val="auto"/>
              </w:rPr>
              <w:t>Total noninterest income</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4,867</w:t>
            </w:r>
          </w:p>
        </w:tc>
        <w:tc>
          <w:tcPr>
            <w:tcW w:w="26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4,357</w:t>
            </w:r>
          </w:p>
        </w:tc>
        <w:tc>
          <w:tcPr>
            <w:tcW w:w="18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15,299</w:t>
            </w: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12,454</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15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(continued)</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-4439920</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-4439920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-4439920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-4439920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-3470910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-3470910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-3470910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-3470910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-2639695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-2639695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-2639695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-984885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-984885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-984885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FARMERS &amp; MERCHANTS BANCORP, INC. AND SUBSIDIARIES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(Continued)</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u w:val="single" w:color="auto"/>
          <w:color w:val="auto"/>
        </w:rPr>
        <w:t>(In Thousands, Except Per Share Data)</w:t>
      </w:r>
    </w:p>
    <w:p>
      <w:pPr>
        <w:spacing w:after="0" w:line="2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18256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6800" w:val="left"/>
        </w:tabs>
        <w:rPr>
          <w:sz w:val="20"/>
          <w:szCs w:val="20"/>
          <w:color w:val="auto"/>
        </w:rPr>
      </w:pPr>
      <w:r>
        <w:rPr>
          <w:rFonts w:ascii="Times New Roman" w:cs="Times New Roman" w:eastAsia="Times New Roman" w:hAnsi="Times New Roman"/>
          <w:sz w:val="18"/>
          <w:szCs w:val="18"/>
          <w:color w:val="auto"/>
        </w:rPr>
        <w:t>September 30,</w:t>
      </w:r>
      <w:r>
        <w:rPr>
          <w:sz w:val="20"/>
          <w:szCs w:val="20"/>
          <w:color w:val="auto"/>
        </w:rPr>
        <w:tab/>
      </w:r>
      <w:r>
        <w:rPr>
          <w:rFonts w:ascii="Times New Roman" w:cs="Times New Roman" w:eastAsia="Times New Roman" w:hAnsi="Times New Roman"/>
          <w:sz w:val="17"/>
          <w:szCs w:val="17"/>
          <w:color w:val="auto"/>
        </w:rPr>
        <w:t>September 30,</w:t>
      </w:r>
    </w:p>
    <w:p>
      <w:pPr>
        <w:spacing w:after="0" w:line="23" w:lineRule="exact"/>
        <w:rPr>
          <w:sz w:val="20"/>
          <w:szCs w:val="20"/>
          <w:color w:val="auto"/>
        </w:rPr>
      </w:pPr>
    </w:p>
    <w:p>
      <w:pPr>
        <w:ind w:left="5600"/>
        <w:spacing w:after="0"/>
        <w:tabs>
          <w:tab w:leader="none" w:pos="7160" w:val="left"/>
        </w:tabs>
        <w:rPr>
          <w:sz w:val="20"/>
          <w:szCs w:val="20"/>
          <w:color w:val="auto"/>
        </w:rPr>
      </w:pPr>
      <w:r>
        <w:rPr>
          <w:rFonts w:ascii="Times New Roman" w:cs="Times New Roman" w:eastAsia="Times New Roman" w:hAnsi="Times New Roman"/>
          <w:sz w:val="18"/>
          <w:szCs w:val="18"/>
          <w:color w:val="auto"/>
        </w:rPr>
        <w:t>2026</w:t>
      </w:r>
      <w:r>
        <w:rPr>
          <w:sz w:val="20"/>
          <w:szCs w:val="20"/>
          <w:color w:val="auto"/>
        </w:rPr>
        <w:tab/>
      </w: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(In Thousands, Except Per Share</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5715</wp:posOffset>
            </wp:positionV>
            <wp:extent cx="17741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jc w:val="center"/>
        <w:ind w:right="220"/>
        <w:spacing w:after="0"/>
        <w:rPr>
          <w:sz w:val="20"/>
          <w:szCs w:val="20"/>
          <w:color w:val="auto"/>
        </w:rPr>
      </w:pPr>
      <w:r>
        <w:rPr>
          <w:rFonts w:ascii="Times New Roman" w:cs="Times New Roman" w:eastAsia="Times New Roman" w:hAnsi="Times New Roman"/>
          <w:sz w:val="18"/>
          <w:szCs w:val="18"/>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17741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September 30,</w:t>
      </w:r>
      <w:r>
        <w:rPr>
          <w:sz w:val="20"/>
          <w:szCs w:val="20"/>
          <w:color w:val="auto"/>
        </w:rPr>
        <w:tab/>
      </w:r>
      <w:r>
        <w:rPr>
          <w:rFonts w:ascii="Times New Roman" w:cs="Times New Roman" w:eastAsia="Times New Roman" w:hAnsi="Times New Roman"/>
          <w:sz w:val="17"/>
          <w:szCs w:val="17"/>
          <w:color w:val="auto"/>
        </w:rPr>
        <w:t>September 30,</w:t>
      </w:r>
    </w:p>
    <w:p>
      <w:pPr>
        <w:spacing w:after="0" w:line="23" w:lineRule="exact"/>
        <w:rPr>
          <w:sz w:val="20"/>
          <w:szCs w:val="20"/>
          <w:color w:val="auto"/>
        </w:rPr>
      </w:pPr>
    </w:p>
    <w:p>
      <w:pPr>
        <w:ind w:left="360"/>
        <w:spacing w:after="0"/>
        <w:tabs>
          <w:tab w:leader="none" w:pos="1840" w:val="left"/>
        </w:tabs>
        <w:rPr>
          <w:sz w:val="20"/>
          <w:szCs w:val="20"/>
          <w:color w:val="auto"/>
        </w:rPr>
      </w:pPr>
      <w:r>
        <w:rPr>
          <w:rFonts w:ascii="Times New Roman" w:cs="Times New Roman" w:eastAsia="Times New Roman" w:hAnsi="Times New Roman"/>
          <w:sz w:val="18"/>
          <w:szCs w:val="18"/>
          <w:color w:val="auto"/>
        </w:rPr>
        <w:t>2026</w:t>
      </w:r>
      <w:r>
        <w:rPr>
          <w:sz w:val="20"/>
          <w:szCs w:val="20"/>
          <w:color w:val="auto"/>
        </w:rPr>
        <w:tab/>
      </w:r>
      <w:r>
        <w:rPr>
          <w:rFonts w:ascii="Times New Roman" w:cs="Times New Roman" w:eastAsia="Times New Roman" w:hAnsi="Times New Roman"/>
          <w:sz w:val="18"/>
          <w:szCs w:val="18"/>
          <w:color w:val="auto"/>
        </w:rPr>
        <w:t>2025</w:t>
      </w:r>
    </w:p>
    <w:p>
      <w:pPr>
        <w:spacing w:after="0" w:line="9" w:lineRule="exact"/>
        <w:rPr>
          <w:sz w:val="20"/>
          <w:szCs w:val="20"/>
          <w:color w:val="auto"/>
        </w:rPr>
      </w:pPr>
    </w:p>
    <w:p>
      <w:pPr>
        <w:sectPr>
          <w:pgSz w:w="11900" w:h="16838" w:orient="portrait"/>
          <w:cols w:equalWidth="0" w:num="2">
            <w:col w:w="7980" w:space="460"/>
            <w:col w:w="2800"/>
          </w:cols>
          <w:pgMar w:left="320" w:top="985"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4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Salaries and wages</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23,553</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Employee benefits</w:t>
            </w: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occupancy expense</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Furniture and equipment</w:t>
            </w: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Data processing</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Franchise taxes</w:t>
            </w: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ATM expense</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Advertising</w:t>
            </w: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FDIC assessment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Servicing rights amortization - net</w:t>
            </w: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 expense</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Consulting fees</w:t>
            </w: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Professional fees</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3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Pr>
          <w:p>
            <w:pPr>
              <w:spacing w:after="0"/>
              <w:rPr>
                <w:sz w:val="18"/>
                <w:szCs w:val="18"/>
                <w:color w:val="auto"/>
              </w:rPr>
            </w:pPr>
          </w:p>
        </w:tc>
      </w:tr>
      <w:tr>
        <w:trPr>
          <w:trHeight w:val="210"/>
        </w:trPr>
        <w:tc>
          <w:tcPr>
            <w:tcW w:w="5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4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20,218</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19,739</w:t>
            </w:r>
          </w:p>
        </w:tc>
        <w:tc>
          <w:tcPr>
            <w:tcW w:w="3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59,283</w:t>
            </w: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14,214</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29,692</w:t>
            </w:r>
          </w:p>
        </w:tc>
        <w:tc>
          <w:tcPr>
            <w:tcW w:w="100" w:type="dxa"/>
            <w:vAlign w:val="bottom"/>
          </w:tcPr>
          <w:p>
            <w:pPr>
              <w:spacing w:after="0"/>
              <w:rPr>
                <w:sz w:val="18"/>
                <w:szCs w:val="18"/>
                <w:color w:val="auto"/>
              </w:rPr>
            </w:pPr>
          </w:p>
        </w:tc>
      </w:tr>
      <w:tr>
        <w:trPr>
          <w:trHeight w:val="216"/>
        </w:trPr>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4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3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11,538</w:t>
            </w:r>
          </w:p>
        </w:tc>
        <w:tc>
          <w:tcPr>
            <w:tcW w:w="7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32,913</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23,516</w:t>
            </w:r>
          </w:p>
        </w:tc>
        <w:tc>
          <w:tcPr>
            <w:tcW w:w="10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1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0.84</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740" w:type="dxa"/>
            <w:vAlign w:val="bottom"/>
            <w:gridSpan w:val="2"/>
            <w:shd w:val="clear" w:color="auto" w:fill="CFF0FC"/>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2.39</w:t>
            </w:r>
          </w:p>
        </w:tc>
        <w:tc>
          <w:tcPr>
            <w:tcW w:w="660" w:type="dxa"/>
            <w:vAlign w:val="bottom"/>
            <w:gridSpan w:val="2"/>
            <w:shd w:val="clear" w:color="auto" w:fill="CFF0FC"/>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18"/>
                <w:szCs w:val="18"/>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51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0.84</w:t>
            </w:r>
          </w:p>
        </w:tc>
        <w:tc>
          <w:tcPr>
            <w:tcW w:w="260" w:type="dxa"/>
            <w:vAlign w:val="bottom"/>
          </w:tcPr>
          <w:p>
            <w:pPr>
              <w:spacing w:after="0"/>
              <w:rPr>
                <w:sz w:val="17"/>
                <w:szCs w:val="17"/>
                <w:color w:val="auto"/>
              </w:rPr>
            </w:pPr>
          </w:p>
        </w:tc>
        <w:tc>
          <w:tcPr>
            <w:tcW w:w="46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740" w:type="dxa"/>
            <w:vAlign w:val="bottom"/>
            <w:gridSpan w:val="2"/>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2.39</w:t>
            </w:r>
          </w:p>
        </w:tc>
        <w:tc>
          <w:tcPr>
            <w:tcW w:w="660" w:type="dxa"/>
            <w:vAlign w:val="bottom"/>
            <w:gridSpan w:val="2"/>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-779145</wp:posOffset>
            </wp:positionV>
            <wp:extent cx="76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-779145</wp:posOffset>
            </wp:positionV>
            <wp:extent cx="76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-779145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-496570</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-496570</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-496570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-187960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-170815</wp:posOffset>
            </wp:positionV>
            <wp:extent cx="768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-187960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-170815</wp:posOffset>
            </wp:positionV>
            <wp:extent cx="768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-187960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5" w:name="page6"/>
    <w:bookmarkEnd w:id="5"/>
    <w:p>
      <w:pPr>
        <w:ind w:right="4900"/>
        <w:spacing w:after="0" w:line="266" w:lineRule="auto"/>
        <w:rPr>
          <w:sz w:val="20"/>
          <w:szCs w:val="20"/>
          <w:color w:val="auto"/>
        </w:rPr>
      </w:pPr>
      <w:r>
        <w:rPr>
          <w:rFonts w:ascii="Times New Roman" w:cs="Times New Roman" w:eastAsia="Times New Roman" w:hAnsi="Times New Roman"/>
          <w:sz w:val="18"/>
          <w:szCs w:val="18"/>
          <w:color w:val="auto"/>
        </w:rPr>
        <w:t>FARMERS &amp; MERCHANTS BANCORP, INC. AND SUBSIDIARIES CONDENSED CONSOLIDATED STATEMENTS OF COMPREHENSIVE INCOME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1"/>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140" w:type="dxa"/>
            <w:vAlign w:val="bottom"/>
          </w:tcPr>
          <w:p>
            <w:pPr>
              <w:spacing w:after="0"/>
              <w:rPr>
                <w:sz w:val="16"/>
                <w:szCs w:val="16"/>
                <w:color w:val="auto"/>
              </w:rPr>
            </w:pPr>
          </w:p>
        </w:tc>
        <w:tc>
          <w:tcPr>
            <w:tcW w:w="1360" w:type="dxa"/>
            <w:vAlign w:val="bottom"/>
            <w:gridSpan w:val="2"/>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16"/>
                <w:szCs w:val="16"/>
                <w:color w:val="auto"/>
              </w:rPr>
            </w:pPr>
          </w:p>
        </w:tc>
        <w:tc>
          <w:tcPr>
            <w:tcW w:w="1360" w:type="dxa"/>
            <w:vAlign w:val="bottom"/>
            <w:gridSpan w:val="2"/>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4"/>
              </w:rPr>
              <w:t>2025</w:t>
            </w:r>
          </w:p>
        </w:tc>
        <w:tc>
          <w:tcPr>
            <w:tcW w:w="0" w:type="dxa"/>
            <w:vAlign w:val="bottom"/>
          </w:tcPr>
          <w:p>
            <w:pPr>
              <w:spacing w:after="0"/>
              <w:rPr>
                <w:sz w:val="1"/>
                <w:szCs w:val="1"/>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11,538</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8,854</w:t>
            </w:r>
          </w:p>
        </w:tc>
        <w:tc>
          <w:tcPr>
            <w:tcW w:w="4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32,913</w:t>
            </w:r>
          </w:p>
        </w:tc>
        <w:tc>
          <w:tcPr>
            <w:tcW w:w="56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23,516</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4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unrealized gain (loss) on available-for-sale</w:t>
            </w: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6,610</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14,223</w:t>
            </w:r>
          </w:p>
        </w:tc>
        <w:tc>
          <w:tcPr>
            <w:tcW w:w="0" w:type="dxa"/>
            <w:vAlign w:val="bottom"/>
          </w:tcPr>
          <w:p>
            <w:pPr>
              <w:spacing w:after="0"/>
              <w:rPr>
                <w:sz w:val="1"/>
                <w:szCs w:val="1"/>
                <w:color w:val="auto"/>
              </w:rPr>
            </w:pPr>
          </w:p>
        </w:tc>
      </w:tr>
      <w:tr>
        <w:trPr>
          <w:trHeight w:val="198"/>
        </w:trPr>
        <w:tc>
          <w:tcPr>
            <w:tcW w:w="53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loss on sale</w:t>
            </w:r>
          </w:p>
        </w:tc>
        <w:tc>
          <w:tcPr>
            <w:tcW w:w="100" w:type="dxa"/>
            <w:vAlign w:val="bottom"/>
          </w:tcPr>
          <w:p>
            <w:pPr>
              <w:spacing w:after="0"/>
              <w:rPr>
                <w:sz w:val="17"/>
                <w:szCs w:val="17"/>
                <w:color w:val="auto"/>
              </w:rPr>
            </w:pPr>
          </w:p>
        </w:tc>
        <w:tc>
          <w:tcPr>
            <w:tcW w:w="1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available-for-sale securities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34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Net unrealized gain (loss) on available-for-sale</w:t>
            </w: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6,610</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14,223</w:t>
            </w:r>
          </w:p>
        </w:tc>
        <w:tc>
          <w:tcPr>
            <w:tcW w:w="0" w:type="dxa"/>
            <w:vAlign w:val="bottom"/>
          </w:tcPr>
          <w:p>
            <w:pPr>
              <w:spacing w:after="0"/>
              <w:rPr>
                <w:sz w:val="1"/>
                <w:szCs w:val="1"/>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expense (benefit)</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1,388</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09"/>
        </w:trPr>
        <w:tc>
          <w:tcPr>
            <w:tcW w:w="5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5,222</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11,236</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6,865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14,076</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26,172</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34,752</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-170815</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ind w:right="3800"/>
        <w:spacing w:after="0" w:line="250" w:lineRule="auto"/>
        <w:rPr>
          <w:sz w:val="20"/>
          <w:szCs w:val="20"/>
          <w:color w:val="auto"/>
        </w:rPr>
      </w:pPr>
      <w:r>
        <w:rPr>
          <w:rFonts w:ascii="Times New Roman" w:cs="Times New Roman" w:eastAsia="Times New Roman" w:hAnsi="Times New Roman"/>
          <w:sz w:val="18"/>
          <w:szCs w:val="18"/>
          <w:color w:val="auto"/>
        </w:rPr>
        <w:t>CONDENSED CONSOLIDATED STATEMENTS OF CHANGES TO STOCKHOLDERS’ EQUITY FOR THE THREE AND NINE MONTHS ENDED SEPTEMBER 30, 2026 (IN THOUSANDS,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Accumulated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Shares of</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6"/>
        </w:trPr>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Comprehensiv</w:t>
            </w:r>
          </w:p>
        </w:tc>
        <w:tc>
          <w:tcPr>
            <w:tcW w:w="10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16"/>
        </w:trPr>
        <w:tc>
          <w:tcPr>
            <w:tcW w:w="42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Treasury</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Retained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ind w:right="91"/>
              <w:spacing w:after="0"/>
              <w:rPr>
                <w:sz w:val="20"/>
                <w:szCs w:val="20"/>
                <w:color w:val="auto"/>
              </w:rPr>
            </w:pPr>
            <w:r>
              <w:rPr>
                <w:rFonts w:ascii="Times New Roman" w:cs="Times New Roman" w:eastAsia="Times New Roman" w:hAnsi="Times New Roman"/>
                <w:sz w:val="15"/>
                <w:szCs w:val="15"/>
                <w:color w:val="auto"/>
                <w:w w:val="72"/>
              </w:rPr>
              <w:t>'</w:t>
            </w:r>
          </w:p>
        </w:tc>
        <w:tc>
          <w:tcPr>
            <w:tcW w:w="10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Earnings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20"/>
                <w:szCs w:val="20"/>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2026</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13,748,074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135,531</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(10,636)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257,855</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(11,888)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370,862</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(1,638)</w:t>
            </w: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198"/>
        </w:trPr>
        <w:tc>
          <w:tcPr>
            <w:tcW w:w="424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23,479 shares of restricted stock</w:t>
            </w: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2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of forfeitures - 625)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22,854</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dividends declared - $0.23 per share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(3,128)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(3,128)</w:t>
            </w:r>
          </w:p>
        </w:tc>
      </w:tr>
      <w:tr>
        <w:trPr>
          <w:trHeight w:val="20"/>
        </w:trPr>
        <w:tc>
          <w:tcPr>
            <w:tcW w:w="4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March 31, 2026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13,768,667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(10,403)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375,948</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11,797</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198"/>
        </w:trPr>
        <w:tc>
          <w:tcPr>
            <w:tcW w:w="42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5,813 shares of restricted stock</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forfeitures - 550)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stock award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dividends declared - $0.23 per share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(3,130)</w:t>
            </w:r>
          </w:p>
        </w:tc>
      </w:tr>
      <w:tr>
        <w:trPr>
          <w:trHeight w:val="20"/>
        </w:trPr>
        <w:tc>
          <w:tcPr>
            <w:tcW w:w="4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June 30, 2026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13,779,385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(10,293)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384,716</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11,538</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(4,673)</w:t>
            </w: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(46,732)</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(1,622)</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(1,622)</w:t>
            </w:r>
          </w:p>
        </w:tc>
      </w:tr>
      <w:tr>
        <w:trPr>
          <w:trHeight w:val="198"/>
        </w:trPr>
        <w:tc>
          <w:tcPr>
            <w:tcW w:w="42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35,045 shares of restricted stock</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forfeitures - 7,318)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stock award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dividends declared - $0.25 per share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(3,399)</w:t>
            </w:r>
          </w:p>
        </w:tc>
      </w:tr>
      <w:tr>
        <w:trPr>
          <w:trHeight w:val="20"/>
        </w:trPr>
        <w:tc>
          <w:tcPr>
            <w:tcW w:w="4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13,762,268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(11,651)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282,446</w:t>
            </w:r>
          </w:p>
        </w:tc>
        <w:tc>
          <w:tcPr>
            <w:tcW w:w="14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386,927</w:t>
            </w:r>
          </w:p>
        </w:tc>
        <w:tc>
          <w:tcPr>
            <w:tcW w:w="10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-2656840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-2656840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-2656840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-2656840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-2656840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-1414145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-1414145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-1414145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-1414145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-1414145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-170815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-170815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-170815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ind w:right="3800"/>
        <w:spacing w:after="0" w:line="250" w:lineRule="auto"/>
        <w:rPr>
          <w:sz w:val="20"/>
          <w:szCs w:val="20"/>
          <w:color w:val="auto"/>
        </w:rPr>
      </w:pPr>
      <w:r>
        <w:rPr>
          <w:rFonts w:ascii="Times New Roman" w:cs="Times New Roman" w:eastAsia="Times New Roman" w:hAnsi="Times New Roman"/>
          <w:sz w:val="18"/>
          <w:szCs w:val="18"/>
          <w:color w:val="auto"/>
        </w:rPr>
        <w:t>CONDENSED CONSOLIDATED STATEMENTS OF CHANGES TO STOCKHOLDERS’ EQUITY FOR THE THREE AND NINE MONTHS ENDED SEPTEMBER 30, 2025 (IN THOUSANDS,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Accumulated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Shares of</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6"/>
        </w:trPr>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Comprehensiv</w:t>
            </w:r>
          </w:p>
        </w:tc>
        <w:tc>
          <w:tcPr>
            <w:tcW w:w="10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16"/>
        </w:trPr>
        <w:tc>
          <w:tcPr>
            <w:tcW w:w="42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Treasury</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Retained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ind w:right="91"/>
              <w:spacing w:after="0"/>
              <w:rPr>
                <w:sz w:val="20"/>
                <w:szCs w:val="20"/>
                <w:color w:val="auto"/>
              </w:rPr>
            </w:pPr>
            <w:r>
              <w:rPr>
                <w:rFonts w:ascii="Times New Roman" w:cs="Times New Roman" w:eastAsia="Times New Roman" w:hAnsi="Times New Roman"/>
                <w:sz w:val="15"/>
                <w:szCs w:val="15"/>
                <w:color w:val="auto"/>
                <w:w w:val="72"/>
              </w:rPr>
              <w:t>'</w:t>
            </w:r>
          </w:p>
        </w:tc>
        <w:tc>
          <w:tcPr>
            <w:tcW w:w="10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Earnings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20"/>
                <w:szCs w:val="20"/>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13,699,536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135,565</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(10,985)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235,854</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(25,223)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335,211</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198"/>
        </w:trPr>
        <w:tc>
          <w:tcPr>
            <w:tcW w:w="424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20,731 shares of restricted stock</w:t>
            </w: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2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of forfeitures - 950)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19,781</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dividends declared - $0.22125 per share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(2,997)</w:t>
            </w:r>
          </w:p>
        </w:tc>
      </w:tr>
      <w:tr>
        <w:trPr>
          <w:trHeight w:val="20"/>
        </w:trPr>
        <w:tc>
          <w:tcPr>
            <w:tcW w:w="4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Balance - March 31, 2025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13,718,336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(10,768)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344,601</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Forfeiture of 250 shares of restricted stock</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Director stock award</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dividends declared - $0.22125 per share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r>
      <w:tr>
        <w:trPr>
          <w:trHeight w:val="20"/>
        </w:trPr>
        <w:tc>
          <w:tcPr>
            <w:tcW w:w="4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June 30, 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13,725,998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135,805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(10,674)</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244,870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(19,209)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350,792</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(12,584)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r>
      <w:tr>
        <w:trPr>
          <w:trHeight w:val="198"/>
        </w:trPr>
        <w:tc>
          <w:tcPr>
            <w:tcW w:w="424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39,525 shares of restricted stock</w:t>
            </w: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2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of forfeitures - 3,400)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36,125</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Director stock award</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dividends declared - $0.22725 per share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(3,091)</w:t>
            </w:r>
          </w:p>
        </w:tc>
      </w:tr>
      <w:tr>
        <w:trPr>
          <w:trHeight w:val="20"/>
        </w:trPr>
        <w:tc>
          <w:tcPr>
            <w:tcW w:w="4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13,749,827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(10,584)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251,181</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(13,987)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361,780</w:t>
            </w:r>
          </w:p>
        </w:tc>
        <w:tc>
          <w:tcPr>
            <w:tcW w:w="100" w:type="dxa"/>
            <w:vAlign w:val="bottom"/>
            <w:shd w:val="clear" w:color="auto" w:fill="CFF0FC"/>
          </w:tcPr>
          <w:p>
            <w:pPr>
              <w:spacing w:after="0"/>
              <w:rPr>
                <w:sz w:val="19"/>
                <w:szCs w:val="19"/>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-2382520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-2382520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-2382520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-2382520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-2382520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-24765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20"/>
                <w:szCs w:val="20"/>
                <w:color w:val="auto"/>
              </w:rPr>
            </w:pPr>
          </w:p>
        </w:tc>
        <w:tc>
          <w:tcPr>
            <w:tcW w:w="2960" w:type="dxa"/>
            <w:vAlign w:val="bottom"/>
            <w:gridSpan w:val="3"/>
            <w:vMerge w:val="restart"/>
          </w:tcPr>
          <w:p>
            <w:pPr>
              <w:jc w:val="center"/>
              <w:ind w:left="690"/>
              <w:spacing w:after="0"/>
              <w:rPr>
                <w:sz w:val="20"/>
                <w:szCs w:val="20"/>
                <w:color w:val="auto"/>
              </w:rPr>
            </w:pPr>
            <w:r>
              <w:rPr>
                <w:rFonts w:ascii="Times New Roman" w:cs="Times New Roman" w:eastAsia="Times New Roman" w:hAnsi="Times New Roman"/>
                <w:sz w:val="18"/>
                <w:szCs w:val="18"/>
                <w:color w:val="auto"/>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vMerge w:val="continue"/>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color w:val="auto"/>
              </w:rPr>
              <w:t>Nine Months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September 30, 2026</w:t>
            </w:r>
          </w:p>
        </w:tc>
        <w:tc>
          <w:tcPr>
            <w:tcW w:w="1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September 30, 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32,913</w:t>
            </w:r>
          </w:p>
        </w:tc>
        <w:tc>
          <w:tcPr>
            <w:tcW w:w="28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Amortization (accretion) of premiums and discounts on available-for-sale</w:t>
            </w:r>
          </w:p>
        </w:tc>
        <w:tc>
          <w:tcPr>
            <w:tcW w:w="16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securities, net</w:t>
            </w:r>
          </w:p>
        </w:tc>
        <w:tc>
          <w:tcPr>
            <w:tcW w:w="16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(381)</w:t>
            </w:r>
          </w:p>
        </w:tc>
        <w:tc>
          <w:tcPr>
            <w:tcW w:w="9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additions to servicing rights</w:t>
            </w:r>
          </w:p>
        </w:tc>
        <w:tc>
          <w:tcPr>
            <w:tcW w:w="16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(1,059)</w:t>
            </w:r>
          </w:p>
        </w:tc>
        <w:tc>
          <w:tcPr>
            <w:tcW w:w="9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Servicing rights amortization and impairment</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core deposit intangible</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customer list intangible</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accretion of fair value adjustments</w:t>
            </w:r>
          </w:p>
        </w:tc>
        <w:tc>
          <w:tcPr>
            <w:tcW w:w="16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w:t>
            </w:r>
          </w:p>
        </w:tc>
        <w:tc>
          <w:tcPr>
            <w:tcW w:w="9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subordinated note issuance costs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 stock awards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 - loans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(recovery of) credit losses - off balance sheet credit exposures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loans held for sale</w:t>
            </w:r>
          </w:p>
        </w:tc>
        <w:tc>
          <w:tcPr>
            <w:tcW w:w="16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(1,657)</w:t>
            </w:r>
          </w:p>
        </w:tc>
        <w:tc>
          <w:tcPr>
            <w:tcW w:w="9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16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(70,956)</w:t>
            </w:r>
          </w:p>
        </w:tc>
        <w:tc>
          <w:tcPr>
            <w:tcW w:w="9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(44,991)</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loans held for sale</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74,020</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loss on derivatives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other assets owned</w:t>
            </w:r>
          </w:p>
        </w:tc>
        <w:tc>
          <w:tcPr>
            <w:tcW w:w="16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9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sales of securities available-for-sale</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surrender value of bank owned life insurance</w:t>
            </w:r>
          </w:p>
        </w:tc>
        <w:tc>
          <w:tcPr>
            <w:tcW w:w="16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(2,067)</w:t>
            </w:r>
          </w:p>
        </w:tc>
        <w:tc>
          <w:tcPr>
            <w:tcW w:w="9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other assets and other liabilities, net</w:t>
            </w:r>
          </w:p>
        </w:tc>
        <w:tc>
          <w:tcPr>
            <w:tcW w:w="16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(4,535)</w:t>
            </w:r>
          </w:p>
        </w:tc>
        <w:tc>
          <w:tcPr>
            <w:tcW w:w="9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(5,061)</w:t>
            </w:r>
          </w:p>
        </w:tc>
        <w:tc>
          <w:tcPr>
            <w:tcW w:w="0" w:type="dxa"/>
            <w:vAlign w:val="bottom"/>
          </w:tcPr>
          <w:p>
            <w:pPr>
              <w:spacing w:after="0"/>
              <w:rPr>
                <w:sz w:val="1"/>
                <w:szCs w:val="1"/>
                <w:color w:val="auto"/>
              </w:rPr>
            </w:pPr>
          </w:p>
        </w:tc>
      </w:tr>
      <w:tr>
        <w:trPr>
          <w:trHeight w:val="209"/>
        </w:trPr>
        <w:tc>
          <w:tcPr>
            <w:tcW w:w="706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33,313</w:t>
            </w:r>
          </w:p>
        </w:tc>
        <w:tc>
          <w:tcPr>
            <w:tcW w:w="28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Activity in available-for-sale securities:</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64,867</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16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(112,626)</w:t>
            </w:r>
          </w:p>
        </w:tc>
        <w:tc>
          <w:tcPr>
            <w:tcW w:w="9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(32,825)</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Activity in other securities, at cost:</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FHLB stock</w:t>
            </w:r>
          </w:p>
        </w:tc>
        <w:tc>
          <w:tcPr>
            <w:tcW w:w="16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(521)</w:t>
            </w:r>
          </w:p>
        </w:tc>
        <w:tc>
          <w:tcPr>
            <w:tcW w:w="9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redemption of FHLB stock</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bank owned life insurance</w:t>
            </w:r>
          </w:p>
        </w:tc>
        <w:tc>
          <w:tcPr>
            <w:tcW w:w="16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bank owned life insurance</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interest-bearing time deposits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other assets owned</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to premises and equipment</w:t>
            </w:r>
          </w:p>
        </w:tc>
        <w:tc>
          <w:tcPr>
            <w:tcW w:w="16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(1,157)</w:t>
            </w:r>
          </w:p>
        </w:tc>
        <w:tc>
          <w:tcPr>
            <w:tcW w:w="9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on loan originations and principal collections</w:t>
            </w:r>
          </w:p>
        </w:tc>
        <w:tc>
          <w:tcPr>
            <w:tcW w:w="16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(25,319)</w:t>
            </w:r>
          </w:p>
        </w:tc>
        <w:tc>
          <w:tcPr>
            <w:tcW w:w="9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(96,000)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(63,839)</w:t>
            </w:r>
          </w:p>
        </w:tc>
        <w:tc>
          <w:tcPr>
            <w:tcW w:w="9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(75,773)</w:t>
            </w:r>
          </w:p>
        </w:tc>
        <w:tc>
          <w:tcPr>
            <w:tcW w:w="0" w:type="dxa"/>
            <w:vAlign w:val="bottom"/>
          </w:tcPr>
          <w:p>
            <w:pPr>
              <w:spacing w:after="0"/>
              <w:rPr>
                <w:sz w:val="1"/>
                <w:szCs w:val="1"/>
                <w:color w:val="auto"/>
              </w:rPr>
            </w:pPr>
          </w:p>
        </w:tc>
      </w:tr>
      <w:tr>
        <w:trPr>
          <w:trHeight w:val="228"/>
        </w:trPr>
        <w:tc>
          <w:tcPr>
            <w:tcW w:w="7060" w:type="dxa"/>
            <w:vAlign w:val="bottom"/>
            <w:tcBorders>
              <w:top w:val="single" w:sz="8" w:color="CFF0FC"/>
            </w:tcBorders>
          </w:tcPr>
          <w:p>
            <w:pPr>
              <w:ind w:left="5200"/>
              <w:spacing w:after="0"/>
              <w:rPr>
                <w:sz w:val="20"/>
                <w:szCs w:val="20"/>
                <w:color w:val="auto"/>
              </w:rPr>
            </w:pPr>
            <w:r>
              <w:rPr>
                <w:rFonts w:ascii="Times New Roman" w:cs="Times New Roman" w:eastAsia="Times New Roman" w:hAnsi="Times New Roman"/>
                <w:sz w:val="18"/>
                <w:szCs w:val="18"/>
                <w:color w:val="auto"/>
              </w:rPr>
              <w:t>(continued)</w:t>
            </w:r>
          </w:p>
        </w:tc>
        <w:tc>
          <w:tcPr>
            <w:tcW w:w="1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70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-3068320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-847725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5"/>
          </w:tcPr>
          <w:p>
            <w:pPr>
              <w:jc w:val="right"/>
              <w:ind w:right="16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0"/>
        </w:trPr>
        <w:tc>
          <w:tcPr>
            <w:tcW w:w="70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920" w:type="dxa"/>
            <w:vAlign w:val="bottom"/>
            <w:tcBorders>
              <w:top w:val="single" w:sz="8" w:color="auto"/>
              <w:bottom w:val="single" w:sz="8" w:color="auto"/>
            </w:tcBorders>
            <w:gridSpan w:val="4"/>
          </w:tcPr>
          <w:p>
            <w:pPr>
              <w:jc w:val="right"/>
              <w:ind w:right="123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18"/>
                <w:szCs w:val="18"/>
                <w:color w:val="auto"/>
              </w:rPr>
            </w:pPr>
          </w:p>
        </w:tc>
      </w:tr>
      <w:tr>
        <w:trPr>
          <w:trHeight w:val="209"/>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September 30, 2026</w:t>
            </w:r>
          </w:p>
        </w:tc>
        <w:tc>
          <w:tcPr>
            <w:tcW w:w="160" w:type="dxa"/>
            <w:vAlign w:val="bottom"/>
          </w:tcPr>
          <w:p>
            <w:pPr>
              <w:spacing w:after="0"/>
              <w:rPr>
                <w:sz w:val="18"/>
                <w:szCs w:val="18"/>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September 30, 2025</w:t>
            </w:r>
          </w:p>
        </w:tc>
        <w:tc>
          <w:tcPr>
            <w:tcW w:w="100" w:type="dxa"/>
            <w:vAlign w:val="bottom"/>
          </w:tcPr>
          <w:p>
            <w:pPr>
              <w:spacing w:after="0"/>
              <w:rPr>
                <w:sz w:val="18"/>
                <w:szCs w:val="18"/>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deposits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231,757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65,146</w:t>
            </w:r>
          </w:p>
        </w:tc>
        <w:tc>
          <w:tcPr>
            <w:tcW w:w="100" w:type="dxa"/>
            <w:vAlign w:val="bottom"/>
          </w:tcPr>
          <w:p>
            <w:pPr>
              <w:spacing w:after="0"/>
              <w:rPr>
                <w:sz w:val="18"/>
                <w:szCs w:val="18"/>
                <w:color w:val="auto"/>
              </w:rPr>
            </w:pPr>
          </w:p>
        </w:tc>
      </w:tr>
      <w:tr>
        <w:trPr>
          <w:trHeight w:val="198"/>
        </w:trPr>
        <w:tc>
          <w:tcPr>
            <w:tcW w:w="70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change in federal funds purchased and securities sold under agreements</w:t>
            </w:r>
          </w:p>
        </w:tc>
        <w:tc>
          <w:tcPr>
            <w:tcW w:w="16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repurchase</w:t>
            </w:r>
          </w:p>
        </w:tc>
        <w:tc>
          <w:tcPr>
            <w:tcW w:w="16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(22,550)</w:t>
            </w:r>
          </w:p>
        </w:tc>
        <w:tc>
          <w:tcPr>
            <w:tcW w:w="160" w:type="dxa"/>
            <w:vAlign w:val="bottom"/>
            <w:shd w:val="clear" w:color="auto" w:fill="CFF0FC"/>
          </w:tcPr>
          <w:p>
            <w:pPr>
              <w:spacing w:after="0"/>
              <w:rPr>
                <w:sz w:val="20"/>
                <w:szCs w:val="20"/>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(4,500)</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FHLB advances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FHLB advances</w:t>
            </w:r>
          </w:p>
        </w:tc>
        <w:tc>
          <w:tcPr>
            <w:tcW w:w="16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(91,664)</w:t>
            </w:r>
          </w:p>
        </w:tc>
        <w:tc>
          <w:tcPr>
            <w:tcW w:w="1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(58,153)</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(1,721)</w:t>
            </w: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16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(9,383)</w:t>
            </w:r>
          </w:p>
        </w:tc>
        <w:tc>
          <w:tcPr>
            <w:tcW w:w="1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(8,993)</w:t>
            </w:r>
          </w:p>
        </w:tc>
      </w:tr>
      <w:tr>
        <w:trPr>
          <w:trHeight w:val="20"/>
        </w:trPr>
        <w:tc>
          <w:tcPr>
            <w:tcW w:w="70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138,619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(6,861)</w:t>
            </w:r>
          </w:p>
        </w:tc>
      </w:tr>
      <w:tr>
        <w:trPr>
          <w:trHeight w:val="20"/>
        </w:trPr>
        <w:tc>
          <w:tcPr>
            <w:tcW w:w="7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108,093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(59,321)</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year</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97,718</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176,351</w:t>
            </w:r>
          </w:p>
        </w:tc>
        <w:tc>
          <w:tcPr>
            <w:tcW w:w="100" w:type="dxa"/>
            <w:vAlign w:val="bottom"/>
          </w:tcPr>
          <w:p>
            <w:pPr>
              <w:spacing w:after="0"/>
              <w:rPr>
                <w:sz w:val="18"/>
                <w:szCs w:val="18"/>
                <w:color w:val="auto"/>
              </w:rPr>
            </w:pPr>
          </w:p>
        </w:tc>
      </w:tr>
      <w:tr>
        <w:trPr>
          <w:trHeight w:val="249"/>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205,811</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117,030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50,012</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53,320</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Federal income taxes paid</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income taxes paid</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noncash disclosures: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 of loans to other real estate owned</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dividends declared not paid</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-1833880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-1259205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-1242695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NOTE 1 BASIS OF PRESENTATION AND OTHER</w:t>
      </w:r>
    </w:p>
    <w:p>
      <w:pPr>
        <w:spacing w:after="0" w:line="185"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nine months ended September 30, 2026 are not necessarily indicative of the results that are expected for the year ended December 31, 2026. The condensed consolidated balance sheet of the Company as of December 31, 2025, has been derived from the audited consolidated balance sheet of the Company as of that date. These condensed consolidated financial statements should be read in conjunction with the consolidated financial statements and footnotes thereto included in the Farmers &amp; Merchants Bancorp, Inc. (the "Company")'s Annual Report on Form 10-K for the year ended December 31, 2025, filed with the SEC on February 27, 2026.</w:t>
      </w:r>
    </w:p>
    <w:p>
      <w:pPr>
        <w:spacing w:after="0" w:line="161"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(the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2 BUSINESS COMBINATION AND ASSET PURCHASE</w:t>
      </w:r>
    </w:p>
    <w:p>
      <w:pPr>
        <w:spacing w:after="0" w:line="185" w:lineRule="exact"/>
        <w:rPr>
          <w:sz w:val="20"/>
          <w:szCs w:val="20"/>
          <w:color w:val="auto"/>
        </w:rPr>
      </w:pPr>
    </w:p>
    <w:p>
      <w:pPr>
        <w:ind w:left="760" w:right="100"/>
        <w:spacing w:after="0" w:line="282" w:lineRule="auto"/>
        <w:rPr>
          <w:sz w:val="20"/>
          <w:szCs w:val="20"/>
          <w:color w:val="auto"/>
        </w:rPr>
      </w:pPr>
      <w:r>
        <w:rPr>
          <w:rFonts w:ascii="Times New Roman" w:cs="Times New Roman" w:eastAsia="Times New Roman" w:hAnsi="Times New Roman"/>
          <w:sz w:val="18"/>
          <w:szCs w:val="18"/>
          <w:color w:val="auto"/>
        </w:rPr>
        <w:t>Changes in accretable yield, or income expected to be collected, for the acquisition of Peoples Federal Savings and Loan completed in 2022, are as follows:</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22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2360" w:type="dxa"/>
            <w:vAlign w:val="bottom"/>
          </w:tcPr>
          <w:p>
            <w:pPr>
              <w:spacing w:after="0"/>
              <w:rPr>
                <w:sz w:val="16"/>
                <w:szCs w:val="16"/>
                <w:color w:val="auto"/>
              </w:rPr>
            </w:pPr>
          </w:p>
        </w:tc>
        <w:tc>
          <w:tcPr>
            <w:tcW w:w="11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Three Months</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Three Months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Nine Months</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Nine Months</w:t>
            </w:r>
          </w:p>
        </w:tc>
        <w:tc>
          <w:tcPr>
            <w:tcW w:w="80" w:type="dxa"/>
            <w:vAlign w:val="bottom"/>
          </w:tcPr>
          <w:p>
            <w:pPr>
              <w:spacing w:after="0"/>
              <w:rPr>
                <w:sz w:val="16"/>
                <w:szCs w:val="16"/>
                <w:color w:val="auto"/>
              </w:rPr>
            </w:pPr>
          </w:p>
        </w:tc>
      </w:tr>
      <w:tr>
        <w:trPr>
          <w:trHeight w:val="216"/>
        </w:trPr>
        <w:tc>
          <w:tcPr>
            <w:tcW w:w="23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Ended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Ended</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16"/>
        </w:trPr>
        <w:tc>
          <w:tcPr>
            <w:tcW w:w="23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September 30,</w:t>
            </w:r>
          </w:p>
        </w:tc>
        <w:tc>
          <w:tcPr>
            <w:tcW w:w="80" w:type="dxa"/>
            <w:vAlign w:val="bottom"/>
          </w:tcPr>
          <w:p>
            <w:pPr>
              <w:spacing w:after="0"/>
              <w:rPr>
                <w:sz w:val="18"/>
                <w:szCs w:val="18"/>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September 30,</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34"/>
        </w:trPr>
        <w:tc>
          <w:tcPr>
            <w:tcW w:w="23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2025</w:t>
            </w:r>
          </w:p>
        </w:tc>
        <w:tc>
          <w:tcPr>
            <w:tcW w:w="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2026</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20"/>
                <w:szCs w:val="20"/>
                <w:color w:val="auto"/>
              </w:rPr>
            </w:pPr>
          </w:p>
        </w:tc>
      </w:tr>
      <w:tr>
        <w:trPr>
          <w:trHeight w:val="209"/>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100" w:type="dxa"/>
            <w:vAlign w:val="bottom"/>
            <w:shd w:val="clear" w:color="auto" w:fill="CFF0FC"/>
          </w:tcPr>
          <w:p>
            <w:pPr>
              <w:jc w:val="right"/>
              <w:ind w:right="93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FF0FC"/>
          </w:tcPr>
          <w:p>
            <w:pPr>
              <w:spacing w:after="0"/>
              <w:rPr>
                <w:sz w:val="18"/>
                <w:szCs w:val="18"/>
                <w:color w:val="auto"/>
              </w:rPr>
            </w:pPr>
          </w:p>
        </w:tc>
      </w:tr>
      <w:tr>
        <w:trPr>
          <w:trHeight w:val="216"/>
        </w:trPr>
        <w:tc>
          <w:tcPr>
            <w:tcW w:w="2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Accretion</w:t>
            </w:r>
          </w:p>
        </w:tc>
        <w:tc>
          <w:tcPr>
            <w:tcW w:w="1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r>
      <w:tr>
        <w:trPr>
          <w:trHeight w:val="249"/>
        </w:trPr>
        <w:tc>
          <w:tcPr>
            <w:tcW w:w="2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Borders>
              <w:top w:val="single" w:sz="8" w:color="auto"/>
              <w:bottom w:val="single" w:sz="8" w:color="auto"/>
            </w:tcBorders>
            <w:shd w:val="clear" w:color="auto" w:fill="CFF0FC"/>
          </w:tcPr>
          <w:p>
            <w:pPr>
              <w:jc w:val="right"/>
              <w:ind w:right="93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-25400</wp:posOffset>
            </wp:positionV>
            <wp:extent cx="431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-8255</wp:posOffset>
            </wp:positionV>
            <wp:extent cx="431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-170815</wp:posOffset>
            </wp:positionV>
            <wp:extent cx="43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-25400</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-8255</wp:posOffset>
            </wp:positionV>
            <wp:extent cx="51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-170815</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514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514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760" w:right="80"/>
        <w:spacing w:after="0" w:line="282" w:lineRule="auto"/>
        <w:rPr>
          <w:sz w:val="20"/>
          <w:szCs w:val="20"/>
          <w:color w:val="auto"/>
        </w:rPr>
      </w:pPr>
      <w:r>
        <w:rPr>
          <w:rFonts w:ascii="Times New Roman" w:cs="Times New Roman" w:eastAsia="Times New Roman" w:hAnsi="Times New Roman"/>
          <w:sz w:val="18"/>
          <w:szCs w:val="18"/>
          <w:color w:val="auto"/>
        </w:rPr>
        <w:t>Changes in accretable yield, or income expected to be collected, for the acquisition of Perpetual Federal Savings Bank completed in 2021,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17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1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Three Months</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Three Months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Nine Months</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Nine Months</w:t>
            </w:r>
          </w:p>
        </w:tc>
        <w:tc>
          <w:tcPr>
            <w:tcW w:w="1760" w:type="dxa"/>
            <w:vAlign w:val="bottom"/>
            <w:gridSpan w:val="2"/>
          </w:tcPr>
          <w:p>
            <w:pPr>
              <w:spacing w:after="0"/>
              <w:rPr>
                <w:sz w:val="16"/>
                <w:szCs w:val="16"/>
                <w:color w:val="auto"/>
              </w:rPr>
            </w:pPr>
          </w:p>
        </w:tc>
      </w:tr>
      <w:tr>
        <w:trPr>
          <w:trHeight w:val="216"/>
        </w:trPr>
        <w:tc>
          <w:tcPr>
            <w:tcW w:w="1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Ended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Ended</w:t>
            </w:r>
          </w:p>
        </w:tc>
        <w:tc>
          <w:tcPr>
            <w:tcW w:w="100" w:type="dxa"/>
            <w:vAlign w:val="bottom"/>
          </w:tcPr>
          <w:p>
            <w:pPr>
              <w:spacing w:after="0"/>
              <w:rPr>
                <w:sz w:val="18"/>
                <w:szCs w:val="18"/>
                <w:color w:val="auto"/>
              </w:rPr>
            </w:pPr>
          </w:p>
        </w:tc>
        <w:tc>
          <w:tcPr>
            <w:tcW w:w="2880" w:type="dxa"/>
            <w:vAlign w:val="bottom"/>
            <w:gridSpan w:val="3"/>
          </w:tcPr>
          <w:p>
            <w:pPr>
              <w:jc w:val="center"/>
              <w:ind w:right="186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16"/>
        </w:trPr>
        <w:tc>
          <w:tcPr>
            <w:tcW w:w="1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September 30,</w:t>
            </w:r>
          </w:p>
        </w:tc>
        <w:tc>
          <w:tcPr>
            <w:tcW w:w="80" w:type="dxa"/>
            <w:vAlign w:val="bottom"/>
          </w:tcPr>
          <w:p>
            <w:pPr>
              <w:spacing w:after="0"/>
              <w:rPr>
                <w:sz w:val="18"/>
                <w:szCs w:val="18"/>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September 30,</w:t>
            </w:r>
          </w:p>
        </w:tc>
        <w:tc>
          <w:tcPr>
            <w:tcW w:w="2980" w:type="dxa"/>
            <w:vAlign w:val="bottom"/>
            <w:gridSpan w:val="4"/>
          </w:tcPr>
          <w:p>
            <w:pPr>
              <w:jc w:val="center"/>
              <w:ind w:right="178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34"/>
        </w:trPr>
        <w:tc>
          <w:tcPr>
            <w:tcW w:w="1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2025</w:t>
            </w:r>
          </w:p>
        </w:tc>
        <w:tc>
          <w:tcPr>
            <w:tcW w:w="3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2026</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0"/>
        </w:trPr>
        <w:tc>
          <w:tcPr>
            <w:tcW w:w="1700" w:type="dxa"/>
            <w:vAlign w:val="bottom"/>
          </w:tcPr>
          <w:p>
            <w:pPr>
              <w:spacing w:after="0"/>
              <w:rPr>
                <w:sz w:val="18"/>
                <w:szCs w:val="18"/>
                <w:color w:val="auto"/>
              </w:rPr>
            </w:pPr>
          </w:p>
        </w:tc>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100" w:type="dxa"/>
            <w:vAlign w:val="bottom"/>
            <w:shd w:val="clear" w:color="auto" w:fill="CFF0FC"/>
          </w:tcPr>
          <w:p>
            <w:pPr>
              <w:jc w:val="right"/>
              <w:ind w:right="93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Accretion</w:t>
            </w:r>
          </w:p>
        </w:tc>
        <w:tc>
          <w:tcPr>
            <w:tcW w:w="1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(1,006)</w:t>
            </w: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2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Borders>
              <w:top w:val="single" w:sz="8" w:color="auto"/>
              <w:bottom w:val="single" w:sz="8" w:color="auto"/>
            </w:tcBorders>
            <w:shd w:val="clear" w:color="auto" w:fill="CFF0FC"/>
          </w:tcPr>
          <w:p>
            <w:pPr>
              <w:jc w:val="right"/>
              <w:ind w:right="93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521"/>
        </w:trPr>
        <w:tc>
          <w:tcPr>
            <w:tcW w:w="17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-865505</wp:posOffset>
            </wp:positionV>
            <wp:extent cx="431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-847725</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-1010920</wp:posOffset>
            </wp:positionV>
            <wp:extent cx="431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-865505</wp:posOffset>
            </wp:positionV>
            <wp:extent cx="51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-847725</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-1010920</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-865505</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-847725</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-1010920</wp:posOffset>
            </wp:positionV>
            <wp:extent cx="51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-865505</wp:posOffset>
            </wp:positionV>
            <wp:extent cx="514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-847725</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-1010920</wp:posOffset>
            </wp:positionV>
            <wp:extent cx="51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for the acquisition of Ossian State Bank completed in 2021, are as follows: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228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2360" w:type="dxa"/>
            <w:vAlign w:val="bottom"/>
          </w:tcPr>
          <w:p>
            <w:pPr>
              <w:spacing w:after="0"/>
              <w:rPr>
                <w:sz w:val="16"/>
                <w:szCs w:val="16"/>
                <w:color w:val="auto"/>
              </w:rPr>
            </w:pPr>
          </w:p>
        </w:tc>
        <w:tc>
          <w:tcPr>
            <w:tcW w:w="11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Three Months</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Three Months</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Nine Months</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Nine Months</w:t>
            </w:r>
          </w:p>
        </w:tc>
        <w:tc>
          <w:tcPr>
            <w:tcW w:w="80" w:type="dxa"/>
            <w:vAlign w:val="bottom"/>
          </w:tcPr>
          <w:p>
            <w:pPr>
              <w:spacing w:after="0"/>
              <w:rPr>
                <w:sz w:val="16"/>
                <w:szCs w:val="16"/>
                <w:color w:val="auto"/>
              </w:rPr>
            </w:pPr>
          </w:p>
        </w:tc>
      </w:tr>
      <w:tr>
        <w:trPr>
          <w:trHeight w:val="216"/>
        </w:trPr>
        <w:tc>
          <w:tcPr>
            <w:tcW w:w="23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Ended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Ended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16"/>
        </w:trPr>
        <w:tc>
          <w:tcPr>
            <w:tcW w:w="23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30,</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c>
          <w:tcPr>
            <w:tcW w:w="20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34"/>
        </w:trPr>
        <w:tc>
          <w:tcPr>
            <w:tcW w:w="23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9"/>
              </w:rPr>
              <w:t>2025</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2026</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20"/>
                <w:szCs w:val="20"/>
                <w:color w:val="auto"/>
              </w:rPr>
            </w:pPr>
          </w:p>
        </w:tc>
      </w:tr>
      <w:tr>
        <w:trPr>
          <w:trHeight w:val="210"/>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100" w:type="dxa"/>
            <w:vAlign w:val="bottom"/>
            <w:shd w:val="clear" w:color="auto" w:fill="CFF0FC"/>
          </w:tcPr>
          <w:p>
            <w:pPr>
              <w:jc w:val="right"/>
              <w:ind w:right="93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FF0FC"/>
          </w:tcPr>
          <w:p>
            <w:pPr>
              <w:spacing w:after="0"/>
              <w:rPr>
                <w:sz w:val="18"/>
                <w:szCs w:val="18"/>
                <w:color w:val="auto"/>
              </w:rPr>
            </w:pPr>
          </w:p>
        </w:tc>
      </w:tr>
      <w:tr>
        <w:trPr>
          <w:trHeight w:val="216"/>
        </w:trPr>
        <w:tc>
          <w:tcPr>
            <w:tcW w:w="2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w:t>
            </w:r>
          </w:p>
        </w:tc>
        <w:tc>
          <w:tcPr>
            <w:tcW w:w="1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r>
      <w:tr>
        <w:trPr>
          <w:trHeight w:val="216"/>
        </w:trPr>
        <w:tc>
          <w:tcPr>
            <w:tcW w:w="2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Accretion</w:t>
            </w: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2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Disposals</w:t>
            </w:r>
          </w:p>
        </w:tc>
        <w:tc>
          <w:tcPr>
            <w:tcW w:w="1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2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Borders>
              <w:top w:val="single" w:sz="8" w:color="auto"/>
              <w:bottom w:val="single" w:sz="8" w:color="auto"/>
            </w:tcBorders>
            <w:shd w:val="clear" w:color="auto" w:fill="CFF0FC"/>
          </w:tcPr>
          <w:p>
            <w:pPr>
              <w:jc w:val="right"/>
              <w:ind w:right="93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-24765</wp:posOffset>
            </wp:positionV>
            <wp:extent cx="431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-7620</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431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431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acquisition of Ossian State Bank resulted in the recognition of $980 thousand in core deposit intangible assets, the acquisition of Perpetual Federal Savings Bank resulted in the recognition of $668 thousand in core deposit intangible assets and the acquisition of Peoples Federal Savings and Loan resulted in the recognition of $6.0 million in core deposit intangible assets which are all being amortized over its remaining economic useful life of 7 years on a straight line basis. Core deposit intangible is included in other assets on the condensed consolidated balance sheets.</w:t>
      </w:r>
    </w:p>
    <w:p>
      <w:pPr>
        <w:spacing w:after="0" w:line="183" w:lineRule="exact"/>
        <w:rPr>
          <w:sz w:val="20"/>
          <w:szCs w:val="20"/>
          <w:color w:val="auto"/>
        </w:rPr>
      </w:pPr>
    </w:p>
    <w:p>
      <w:pPr>
        <w:jc w:val="both"/>
        <w:ind w:left="760" w:right="20"/>
        <w:spacing w:after="0" w:line="266" w:lineRule="auto"/>
        <w:rPr>
          <w:sz w:val="20"/>
          <w:szCs w:val="20"/>
          <w:color w:val="auto"/>
        </w:rPr>
      </w:pPr>
      <w:r>
        <w:rPr>
          <w:rFonts w:ascii="Times New Roman" w:cs="Times New Roman" w:eastAsia="Times New Roman" w:hAnsi="Times New Roman"/>
          <w:sz w:val="18"/>
          <w:szCs w:val="18"/>
          <w:color w:val="auto"/>
        </w:rPr>
        <w:t>The amortization expense of the core deposit intangible for the nine months ended September 30, 2025 was $1.2 million of which $420 thousand was related to the acquisition of Bank of Geneva on January 1, 2019. Of the approximately $1.1 million to be expensed in 2026, $822 thousand has been expensed for the nine months ended September 30, 2026. Annual amortization of core deposit intangible assets is as follows:</w:t>
      </w:r>
    </w:p>
    <w:p>
      <w:pPr>
        <w:spacing w:after="0" w:line="390"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19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Ossian</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Perpetual</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Peoples</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1920" w:type="dxa"/>
            <w:vAlign w:val="bottom"/>
            <w:shd w:val="clear" w:color="auto" w:fill="CFF0FC"/>
          </w:tcPr>
          <w:p>
            <w:pPr>
              <w:jc w:val="right"/>
              <w:ind w:right="1470"/>
              <w:spacing w:after="0"/>
              <w:rPr>
                <w:sz w:val="20"/>
                <w:szCs w:val="20"/>
                <w:color w:val="auto"/>
              </w:rPr>
            </w:pPr>
            <w:r>
              <w:rPr>
                <w:rFonts w:ascii="Times New Roman" w:cs="Times New Roman" w:eastAsia="Times New Roman" w:hAnsi="Times New Roman"/>
                <w:sz w:val="18"/>
                <w:szCs w:val="18"/>
                <w:color w:val="auto"/>
                <w:w w:val="94"/>
              </w:rPr>
              <w:t>2026</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14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16"/>
        </w:trPr>
        <w:tc>
          <w:tcPr>
            <w:tcW w:w="192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w w:val="94"/>
              </w:rPr>
              <w:t>2027</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16"/>
        </w:trPr>
        <w:tc>
          <w:tcPr>
            <w:tcW w:w="1920" w:type="dxa"/>
            <w:vAlign w:val="bottom"/>
            <w:shd w:val="clear" w:color="auto" w:fill="CFF0FC"/>
          </w:tcPr>
          <w:p>
            <w:pPr>
              <w:jc w:val="right"/>
              <w:ind w:right="1470"/>
              <w:spacing w:after="0"/>
              <w:rPr>
                <w:sz w:val="20"/>
                <w:szCs w:val="20"/>
                <w:color w:val="auto"/>
              </w:rPr>
            </w:pPr>
            <w:r>
              <w:rPr>
                <w:rFonts w:ascii="Times New Roman" w:cs="Times New Roman" w:eastAsia="Times New Roman" w:hAnsi="Times New Roman"/>
                <w:sz w:val="18"/>
                <w:szCs w:val="18"/>
                <w:color w:val="auto"/>
                <w:w w:val="94"/>
              </w:rPr>
              <w:t>2028</w:t>
            </w: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16"/>
        </w:trPr>
        <w:tc>
          <w:tcPr>
            <w:tcW w:w="192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w w:val="94"/>
              </w:rPr>
              <w:t>2029</w:t>
            </w: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30"/>
        </w:trPr>
        <w:tc>
          <w:tcPr>
            <w:tcW w:w="19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14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262</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w:t>
            </w:r>
          </w:p>
        </w:tc>
      </w:tr>
      <w:tr>
        <w:trPr>
          <w:trHeight w:val="20"/>
        </w:trPr>
        <w:tc>
          <w:tcPr>
            <w:tcW w:w="19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-24765</wp:posOffset>
            </wp:positionV>
            <wp:extent cx="768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-7620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wp:posOffset>
            </wp:positionV>
            <wp:extent cx="774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768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purchase of Adams County Financial Resources in 2020 resulted in the allocation of $800 thousand to customer list intangible, included in other assets, to be amortized over 6.5 years on a straight-line basis.</w:t>
      </w:r>
    </w:p>
    <w:p>
      <w:pPr>
        <w:spacing w:after="0" w:line="121" w:lineRule="exact"/>
        <w:rPr>
          <w:sz w:val="20"/>
          <w:szCs w:val="20"/>
          <w:color w:val="auto"/>
        </w:rPr>
      </w:pPr>
    </w:p>
    <w:p>
      <w:pPr>
        <w:jc w:val="both"/>
        <w:ind w:left="760" w:right="20"/>
        <w:spacing w:after="0" w:line="266" w:lineRule="auto"/>
        <w:rPr>
          <w:sz w:val="20"/>
          <w:szCs w:val="20"/>
          <w:color w:val="auto"/>
        </w:rPr>
      </w:pPr>
      <w:r>
        <w:rPr>
          <w:rFonts w:ascii="Times New Roman" w:cs="Times New Roman" w:eastAsia="Times New Roman" w:hAnsi="Times New Roman"/>
          <w:sz w:val="18"/>
          <w:szCs w:val="18"/>
          <w:color w:val="auto"/>
        </w:rPr>
        <w:t>The amortization expense of the customer list intangible for the nine months ended September 30, 2025 was $92 thousand. Of the $123 thousand to be expensed in 2026, $92 thousand has been expensed for the nine months ended September 30, 2026. Annual amortization expense of customer list intangible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0"/>
        </w:trPr>
        <w:tc>
          <w:tcPr>
            <w:tcW w:w="1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0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Adams County Financial Resources</w:t>
            </w:r>
          </w:p>
        </w:tc>
        <w:tc>
          <w:tcPr>
            <w:tcW w:w="1760" w:type="dxa"/>
            <w:vAlign w:val="bottom"/>
            <w:gridSpan w:val="2"/>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2100" w:type="dxa"/>
            <w:vAlign w:val="bottom"/>
            <w:shd w:val="clear" w:color="auto" w:fill="CFF0FC"/>
          </w:tcPr>
          <w:p>
            <w:pPr>
              <w:jc w:val="right"/>
              <w:ind w:right="1650"/>
              <w:spacing w:after="0"/>
              <w:rPr>
                <w:sz w:val="20"/>
                <w:szCs w:val="20"/>
                <w:color w:val="auto"/>
              </w:rPr>
            </w:pPr>
            <w:r>
              <w:rPr>
                <w:rFonts w:ascii="Times New Roman" w:cs="Times New Roman" w:eastAsia="Times New Roman" w:hAnsi="Times New Roman"/>
                <w:sz w:val="18"/>
                <w:szCs w:val="18"/>
                <w:color w:val="auto"/>
                <w:w w:val="94"/>
              </w:rPr>
              <w:t>2026</w:t>
            </w:r>
          </w:p>
        </w:tc>
        <w:tc>
          <w:tcPr>
            <w:tcW w:w="2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10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94"/>
              </w:rPr>
              <w:t>2027</w:t>
            </w:r>
          </w:p>
        </w:tc>
        <w:tc>
          <w:tcPr>
            <w:tcW w:w="2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2100" w:type="dxa"/>
            <w:vAlign w:val="bottom"/>
            <w:shd w:val="clear" w:color="auto" w:fill="CFF0FC"/>
          </w:tcPr>
          <w:p>
            <w:pPr>
              <w:spacing w:after="0"/>
              <w:rPr>
                <w:sz w:val="21"/>
                <w:szCs w:val="21"/>
                <w:color w:val="auto"/>
              </w:rPr>
            </w:pPr>
          </w:p>
        </w:tc>
        <w:tc>
          <w:tcPr>
            <w:tcW w:w="2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520"/>
        </w:trPr>
        <w:tc>
          <w:tcPr>
            <w:tcW w:w="1700" w:type="dxa"/>
            <w:vAlign w:val="bottom"/>
          </w:tcPr>
          <w:p>
            <w:pPr>
              <w:spacing w:after="0"/>
              <w:rPr>
                <w:sz w:val="24"/>
                <w:szCs w:val="24"/>
                <w:color w:val="auto"/>
              </w:rPr>
            </w:pPr>
          </w:p>
        </w:tc>
        <w:tc>
          <w:tcPr>
            <w:tcW w:w="2100" w:type="dxa"/>
            <w:vAlign w:val="bottom"/>
            <w:tcBorders>
              <w:top w:val="single" w:sz="8" w:color="CFF0FC"/>
            </w:tcBorders>
          </w:tcPr>
          <w:p>
            <w:pPr>
              <w:spacing w:after="0"/>
              <w:rPr>
                <w:sz w:val="24"/>
                <w:szCs w:val="24"/>
                <w:color w:val="auto"/>
              </w:rPr>
            </w:pPr>
          </w:p>
        </w:tc>
        <w:tc>
          <w:tcPr>
            <w:tcW w:w="2360" w:type="dxa"/>
            <w:vAlign w:val="bottom"/>
            <w:tcBorders>
              <w:top w:val="single" w:sz="8" w:color="CFF0FC"/>
            </w:tcBorders>
          </w:tcPr>
          <w:p>
            <w:pPr>
              <w:jc w:val="right"/>
              <w:ind w:right="35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-864870</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-847725</wp:posOffset>
            </wp:positionV>
            <wp:extent cx="431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NOTE 3 SECURITIES</w:t>
      </w:r>
    </w:p>
    <w:p>
      <w:pPr>
        <w:spacing w:after="0" w:line="18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Mortgage-backed securities, as shown in the following tables, are all government sponsored enterprises. The amortized cost and fair value of securities, with gross unrealized gains and losses at September 30, 2026 and December 31, 2025, are as follows: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10"/>
        </w:trPr>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91"/>
        </w:trPr>
        <w:tc>
          <w:tcPr>
            <w:tcW w:w="38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3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0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139,923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135,517</w:t>
            </w:r>
          </w:p>
        </w:tc>
      </w:tr>
      <w:tr>
        <w:trPr>
          <w:trHeight w:val="216"/>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95,325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91,938</w:t>
            </w:r>
          </w:p>
        </w:tc>
      </w:tr>
      <w:tr>
        <w:trPr>
          <w:trHeight w:val="216"/>
        </w:trPr>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186,711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174,000</w:t>
            </w:r>
          </w:p>
        </w:tc>
      </w:tr>
      <w:tr>
        <w:trPr>
          <w:trHeight w:val="216"/>
        </w:trPr>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57,099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54,022</w:t>
            </w:r>
          </w:p>
        </w:tc>
      </w:tr>
      <w:tr>
        <w:trPr>
          <w:trHeight w:val="22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479,558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(23,592)</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455,977</w:t>
            </w: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r>
      <w:tr>
        <w:trPr>
          <w:trHeight w:val="656"/>
        </w:trPr>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09"/>
        </w:trPr>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91"/>
        </w:trPr>
        <w:tc>
          <w:tcPr>
            <w:tcW w:w="38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3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0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91,988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89,853</w:t>
            </w:r>
          </w:p>
        </w:tc>
      </w:tr>
      <w:tr>
        <w:trPr>
          <w:trHeight w:val="216"/>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136,026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131,961</w:t>
            </w:r>
          </w:p>
        </w:tc>
      </w:tr>
      <w:tr>
        <w:trPr>
          <w:trHeight w:val="216"/>
        </w:trPr>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150,081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143,382</w:t>
            </w:r>
          </w:p>
        </w:tc>
      </w:tr>
      <w:tr>
        <w:trPr>
          <w:trHeight w:val="216"/>
        </w:trPr>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59,025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56,876</w:t>
            </w: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437,120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1,378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(16,426)</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422,072</w:t>
            </w: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-2022475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-2005330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-2022475</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-2005330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-2022475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-2005330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Information pertaining to securities with gross unrealized losses at September 30, 2026 and December 31, 2025, aggregated by investment category and length of time that individual securities have been in a continuous loss position follows: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U.S. Treasury</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U.S. Government agencies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Mortgage-backed securities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State and local governments</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Total available-for-sale</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securities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5345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September 30, 2026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Less Than Twelve Months</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180" w:type="dxa"/>
            <w:vAlign w:val="bottom"/>
            <w:tcBorders>
              <w:top w:val="single" w:sz="8" w:color="auto"/>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Twelve Months &amp; Over</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35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Fair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Value</w:t>
            </w:r>
          </w:p>
        </w:tc>
      </w:tr>
      <w:tr>
        <w:trPr>
          <w:trHeight w:val="191"/>
        </w:trPr>
        <w:tc>
          <w:tcPr>
            <w:tcW w:w="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(2,282)</w:t>
            </w:r>
          </w:p>
        </w:tc>
        <w:tc>
          <w:tcPr>
            <w:tcW w:w="300" w:type="dxa"/>
            <w:vAlign w:val="bottom"/>
            <w:gridSpan w:val="2"/>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92,346</w:t>
            </w:r>
          </w:p>
        </w:tc>
        <w:tc>
          <w:tcPr>
            <w:tcW w:w="2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(2,124)</w:t>
            </w:r>
          </w:p>
        </w:tc>
        <w:tc>
          <w:tcPr>
            <w:tcW w:w="320" w:type="dxa"/>
            <w:vAlign w:val="bottom"/>
            <w:gridSpan w:val="2"/>
          </w:tcPr>
          <w:p>
            <w:pPr>
              <w:jc w:val="right"/>
              <w:ind w:righ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43,171</w:t>
            </w:r>
          </w:p>
        </w:tc>
        <w:tc>
          <w:tcPr>
            <w:tcW w:w="2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(4,406)</w:t>
            </w:r>
          </w:p>
        </w:tc>
        <w:tc>
          <w:tcPr>
            <w:tcW w:w="300" w:type="dxa"/>
            <w:vAlign w:val="bottom"/>
            <w:gridSpan w:val="2"/>
          </w:tcPr>
          <w:p>
            <w:pPr>
              <w:jc w:val="right"/>
              <w:ind w:righ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135,517</w:t>
            </w: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82,974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91,938</w:t>
            </w: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127,049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46,951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174,000</w:t>
            </w:r>
          </w:p>
        </w:tc>
      </w:tr>
      <w:tr>
        <w:trPr>
          <w:trHeight w:val="234"/>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8,823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43,598</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52,421</w:t>
            </w:r>
          </w:p>
        </w:tc>
      </w:tr>
      <w:tr>
        <w:trPr>
          <w:trHeight w:val="290"/>
        </w:trPr>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237,182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216,694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453,876</w:t>
            </w:r>
          </w:p>
        </w:tc>
      </w:tr>
      <w:tr>
        <w:trPr>
          <w:trHeight w:val="95"/>
        </w:trPr>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-831215</wp:posOffset>
            </wp:positionV>
            <wp:extent cx="641223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-556895</wp:posOffset>
            </wp:positionV>
            <wp:extent cx="641223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-273685</wp:posOffset>
            </wp:positionV>
            <wp:extent cx="6412230" cy="274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1223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700"/>
          </w:cols>
          <w:pgMar w:left="320" w:top="769" w:right="339"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U.S. Treasury</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U.S. Government agencies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Mortgage-backed securities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State and local governments</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Total available-for-sale</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securities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45434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0" w:type="dxa"/>
            <w:vAlign w:val="bottom"/>
            <w:tcBorders>
              <w:top w:val="single" w:sz="8" w:color="auto"/>
              <w:bottom w:val="single" w:sz="8" w:color="auto"/>
            </w:tcBorders>
          </w:tcPr>
          <w:p>
            <w:pPr>
              <w:spacing w:after="0"/>
              <w:rPr>
                <w:sz w:val="18"/>
                <w:szCs w:val="18"/>
                <w:color w:val="auto"/>
              </w:rPr>
            </w:pPr>
          </w:p>
        </w:tc>
        <w:tc>
          <w:tcPr>
            <w:tcW w:w="2260" w:type="dxa"/>
            <w:vAlign w:val="bottom"/>
            <w:tcBorders>
              <w:top w:val="single" w:sz="8" w:color="auto"/>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Less Than Twelve Months</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0" w:type="dxa"/>
            <w:vAlign w:val="bottom"/>
            <w:tcBorders>
              <w:top w:val="single" w:sz="8" w:color="auto"/>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Twelve Months &amp; Over</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spacing w:after="0"/>
              <w:rPr>
                <w:sz w:val="18"/>
                <w:szCs w:val="18"/>
                <w:color w:val="auto"/>
              </w:rPr>
            </w:pPr>
          </w:p>
        </w:tc>
      </w:tr>
      <w:tr>
        <w:trPr>
          <w:trHeight w:val="191"/>
        </w:trPr>
        <w:tc>
          <w:tcPr>
            <w:tcW w:w="100" w:type="dxa"/>
            <w:vAlign w:val="bottom"/>
          </w:tcPr>
          <w:p>
            <w:pPr>
              <w:spacing w:after="0"/>
              <w:rPr>
                <w:sz w:val="16"/>
                <w:szCs w:val="16"/>
                <w:color w:val="auto"/>
              </w:rPr>
            </w:pPr>
          </w:p>
        </w:tc>
        <w:tc>
          <w:tcPr>
            <w:tcW w:w="102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1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31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1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Value</w:t>
            </w:r>
          </w:p>
        </w:tc>
      </w:tr>
      <w:tr>
        <w:trPr>
          <w:trHeight w:val="191"/>
        </w:trPr>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w:t>
            </w:r>
          </w:p>
        </w:tc>
        <w:tc>
          <w:tcPr>
            <w:tcW w:w="320" w:type="dxa"/>
            <w:vAlign w:val="bottom"/>
            <w:gridSpan w:val="2"/>
          </w:tcPr>
          <w:p>
            <w:pPr>
              <w:jc w:val="right"/>
              <w:ind w:righ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7,038</w:t>
            </w:r>
          </w:p>
        </w:tc>
        <w:tc>
          <w:tcPr>
            <w:tcW w:w="2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(2,287)</w:t>
            </w:r>
          </w:p>
        </w:tc>
        <w:tc>
          <w:tcPr>
            <w:tcW w:w="300" w:type="dxa"/>
            <w:vAlign w:val="bottom"/>
            <w:gridSpan w:val="2"/>
          </w:tcPr>
          <w:p>
            <w:pPr>
              <w:jc w:val="right"/>
              <w:ind w:righ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50,161</w:t>
            </w:r>
          </w:p>
        </w:tc>
        <w:tc>
          <w:tcPr>
            <w:tcW w:w="2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(2,292)</w:t>
            </w:r>
          </w:p>
        </w:tc>
        <w:tc>
          <w:tcPr>
            <w:tcW w:w="300" w:type="dxa"/>
            <w:vAlign w:val="bottom"/>
            <w:gridSpan w:val="2"/>
          </w:tcPr>
          <w:p>
            <w:pPr>
              <w:jc w:val="right"/>
              <w:ind w:righ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57,199</w:t>
            </w:r>
          </w:p>
        </w:tc>
      </w:tr>
      <w:tr>
        <w:trPr>
          <w:trHeight w:val="216"/>
        </w:trPr>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120,103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120,103</w:t>
            </w:r>
          </w:p>
        </w:tc>
      </w:tr>
      <w:tr>
        <w:trPr>
          <w:trHeight w:val="216"/>
        </w:trPr>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67,600</w:t>
            </w:r>
          </w:p>
        </w:tc>
      </w:tr>
      <w:tr>
        <w:trPr>
          <w:trHeight w:val="234"/>
        </w:trPr>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45,202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47,736</w:t>
            </w:r>
          </w:p>
        </w:tc>
      </w:tr>
      <w:tr>
        <w:trPr>
          <w:trHeight w:val="290"/>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274,852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292,638</w:t>
            </w:r>
          </w:p>
        </w:tc>
      </w:tr>
      <w:tr>
        <w:trPr>
          <w:trHeight w:val="95"/>
        </w:trPr>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-830580</wp:posOffset>
            </wp:positionV>
            <wp:extent cx="641223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-1869440</wp:posOffset>
            </wp:positionH>
            <wp:positionV relativeFrom="paragraph">
              <wp:posOffset>-556895</wp:posOffset>
            </wp:positionV>
            <wp:extent cx="641223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-1869440</wp:posOffset>
            </wp:positionH>
            <wp:positionV relativeFrom="paragraph">
              <wp:posOffset>-273685</wp:posOffset>
            </wp:positionV>
            <wp:extent cx="6412230" cy="274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412230" cy="27432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800" w:space="720"/>
            <w:col w:w="7720"/>
          </w:cols>
          <w:pgMar w:left="320" w:top="769" w:right="339" w:bottom="1440" w:gutter="0" w:footer="0" w:header="0"/>
          <w:type w:val="continuous"/>
        </w:sect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The fair value is expected to recover as the bonds approach the maturity date.</w:t>
      </w:r>
    </w:p>
    <w:p>
      <w:pPr>
        <w:spacing w:after="0" w:line="162"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Proceeds from sales of securities totaled approximately $5.4 million during the first quarter of 2026, resulting in gross losses of $347 thousand. Proceeds from sales of securities totaled approximately $1.4 million during the nine months ended September 30, 2025, resulting in no gross gains or losses. Below are the gross realized gains or losses for the three and nine months ended September 30, 2026 and September 30, 2025.</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Nine Months Ended</w:t>
            </w:r>
          </w:p>
        </w:tc>
        <w:tc>
          <w:tcPr>
            <w:tcW w:w="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80" w:type="dxa"/>
            <w:vAlign w:val="bottom"/>
          </w:tcPr>
          <w:p>
            <w:pPr>
              <w:spacing w:after="0"/>
              <w:rPr>
                <w:sz w:val="16"/>
                <w:szCs w:val="16"/>
                <w:color w:val="auto"/>
              </w:rPr>
            </w:pPr>
          </w:p>
        </w:tc>
        <w:tc>
          <w:tcPr>
            <w:tcW w:w="116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16"/>
                <w:szCs w:val="16"/>
                <w:color w:val="auto"/>
              </w:rPr>
            </w:pPr>
          </w:p>
        </w:tc>
        <w:tc>
          <w:tcPr>
            <w:tcW w:w="118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16"/>
                <w:szCs w:val="16"/>
                <w:color w:val="auto"/>
              </w:rPr>
            </w:pPr>
          </w:p>
        </w:tc>
        <w:tc>
          <w:tcPr>
            <w:tcW w:w="10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20"/>
                <w:szCs w:val="20"/>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9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9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realized losses</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w:t>
            </w:r>
          </w:p>
        </w:tc>
        <w:tc>
          <w:tcPr>
            <w:tcW w:w="9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296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Tax benefit related to net realized</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9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losses</w:t>
            </w:r>
          </w:p>
        </w:tc>
        <w:tc>
          <w:tcPr>
            <w:tcW w:w="2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-299720</wp:posOffset>
            </wp:positionV>
            <wp:extent cx="431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-281940</wp:posOffset>
            </wp:positionV>
            <wp:extent cx="431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-299720</wp:posOffset>
            </wp:positionV>
            <wp:extent cx="431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-281940</wp:posOffset>
            </wp:positionV>
            <wp:extent cx="431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-299720</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-281940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-299720</wp:posOffset>
            </wp:positionV>
            <wp:extent cx="431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-281940</wp:posOffset>
            </wp:positionV>
            <wp:extent cx="431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Net realized loss on sales and related tax benefit is reclassified out of accumulated other comprehensive loss. The net realized loss is included in net loss on sale of available-for-sale securities and the related tax benefit is included in income taxes in the condensed consolidated statements of income and comprehensive income.</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debt securities at September 30, 2026, by contractual maturity, are shown below. Expected maturities will differ from contractual maturities because borrowers may have the right to call or prepay obligations with or without call or prepayment penalties.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6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17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17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Fair Value</w:t>
            </w:r>
          </w:p>
        </w:tc>
        <w:tc>
          <w:tcPr>
            <w:tcW w:w="1680" w:type="dxa"/>
            <w:vAlign w:val="bottom"/>
          </w:tcPr>
          <w:p>
            <w:pPr>
              <w:spacing w:after="0"/>
              <w:rPr>
                <w:sz w:val="20"/>
                <w:szCs w:val="20"/>
                <w:color w:val="auto"/>
              </w:rPr>
            </w:pPr>
          </w:p>
        </w:tc>
      </w:tr>
      <w:tr>
        <w:trPr>
          <w:trHeight w:val="209"/>
        </w:trPr>
        <w:tc>
          <w:tcPr>
            <w:tcW w:w="170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One year or less</w:t>
            </w:r>
          </w:p>
        </w:tc>
        <w:tc>
          <w:tcPr>
            <w:tcW w:w="2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66,686</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189,360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26,887</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2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292,847</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281,977</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186,711</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479,558</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455,977</w:t>
            </w:r>
          </w:p>
        </w:tc>
        <w:tc>
          <w:tcPr>
            <w:tcW w:w="1680" w:type="dxa"/>
            <w:vAlign w:val="bottom"/>
          </w:tcPr>
          <w:p>
            <w:pPr>
              <w:spacing w:after="0"/>
              <w:rPr>
                <w:sz w:val="21"/>
                <w:szCs w:val="21"/>
                <w:color w:val="auto"/>
              </w:rPr>
            </w:pPr>
          </w:p>
        </w:tc>
      </w:tr>
      <w:tr>
        <w:trPr>
          <w:trHeight w:val="520"/>
        </w:trPr>
        <w:tc>
          <w:tcPr>
            <w:tcW w:w="1700" w:type="dxa"/>
            <w:vAlign w:val="bottom"/>
          </w:tcPr>
          <w:p>
            <w:pPr>
              <w:spacing w:after="0"/>
              <w:rPr>
                <w:sz w:val="24"/>
                <w:szCs w:val="24"/>
                <w:color w:val="auto"/>
              </w:rPr>
            </w:pPr>
          </w:p>
        </w:tc>
        <w:tc>
          <w:tcPr>
            <w:tcW w:w="3120" w:type="dxa"/>
            <w:vAlign w:val="bottom"/>
            <w:tcBorders>
              <w:top w:val="single" w:sz="8" w:color="CFF0FC"/>
            </w:tcBorders>
          </w:tcPr>
          <w:p>
            <w:pPr>
              <w:spacing w:after="0"/>
              <w:rPr>
                <w:sz w:val="24"/>
                <w:szCs w:val="24"/>
                <w:color w:val="auto"/>
              </w:rPr>
            </w:pPr>
          </w:p>
        </w:tc>
        <w:tc>
          <w:tcPr>
            <w:tcW w:w="2220" w:type="dxa"/>
            <w:vAlign w:val="bottom"/>
            <w:tcBorders>
              <w:top w:val="single" w:sz="8" w:color="CFF0FC"/>
            </w:tcBorders>
          </w:tcPr>
          <w:p>
            <w:pPr>
              <w:jc w:val="right"/>
              <w:ind w:right="123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-864870</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-847725</wp:posOffset>
            </wp:positionV>
            <wp:extent cx="857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Investments with a carrying value of $255.6 million and $238.2 million at September 30, 2026 and December 31, 2025, respectively, were pledged to secure public deposits and securities sold under repurchase agreements. Investments with a carrying value of $25.1 million and $28.3 million were pledged to the Federal Reserve's Discount Window to provide additional borrowing capacity at September 30, 2026 and December 31, 2025, respectively.</w:t>
      </w:r>
    </w:p>
    <w:p>
      <w:pPr>
        <w:spacing w:after="0" w:line="180"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Other securities include Federal Home Loan Bank of Cincinnati and Indianapolis stock in the amount of $10.7 million as of September 30, 2026 and $13 million as of December 31, 2025.</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4 LOANS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Company had $2.5 million in loans held for sale at September 30, 2026 as compared to $3.9 million in loans held for sale at December 31, 2025.</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Loan balances as of September 30, 2026 and December 31, 2025 are summarized below:</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Loans:</w:t>
            </w:r>
          </w:p>
        </w:tc>
        <w:tc>
          <w:tcPr>
            <w:tcW w:w="8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jc w:val="right"/>
              <w:ind w:right="121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169"/>
        </w:trPr>
        <w:tc>
          <w:tcPr>
            <w:tcW w:w="45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w w:val="99"/>
              </w:rPr>
              <w:t>September 30, 2026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w w:val="98"/>
              </w:rPr>
              <w:t>December 31, 2025</w:t>
            </w: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Consumer Real Estate</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548,913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526,439</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Agricultural Real Estate</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210,321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217,034</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Agricultural</w:t>
            </w: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245,639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218,050</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 Real Estate</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1,321,021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1,355,571</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343,720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314,405</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Consumer</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58,838</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22,089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23,133</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2,738,954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2,713,470</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Net deferred loan fees and costs</w:t>
            </w:r>
          </w:p>
        </w:tc>
        <w:tc>
          <w:tcPr>
            <w:tcW w:w="8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2,737,319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2,711,959</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(27,688)</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Plus: Basis adjustment related to fair value hedges</w:t>
            </w:r>
          </w:p>
        </w:tc>
        <w:tc>
          <w:tcPr>
            <w:tcW w:w="8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Loans - Net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2,709,358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2,685,990</w:t>
            </w:r>
          </w:p>
        </w:tc>
        <w:tc>
          <w:tcPr>
            <w:tcW w:w="0" w:type="dxa"/>
            <w:vAlign w:val="bottom"/>
          </w:tcPr>
          <w:p>
            <w:pPr>
              <w:spacing w:after="0"/>
              <w:rPr>
                <w:sz w:val="1"/>
                <w:szCs w:val="1"/>
                <w:color w:val="auto"/>
              </w:rPr>
            </w:pPr>
          </w:p>
        </w:tc>
      </w:tr>
      <w:tr>
        <w:trPr>
          <w:trHeight w:val="20"/>
        </w:trPr>
        <w:tc>
          <w:tcPr>
            <w:tcW w:w="480" w:type="dxa"/>
            <w:vAlign w:val="bottom"/>
            <w:tcBorders>
              <w:top w:val="single" w:sz="8" w:color="CFF0FC"/>
            </w:tcBorders>
            <w:shd w:val="clear" w:color="auto" w:fill="CFF0FC"/>
          </w:tcPr>
          <w:p>
            <w:pPr>
              <w:spacing w:after="0" w:line="20" w:lineRule="exact"/>
              <w:rPr>
                <w:sz w:val="1"/>
                <w:szCs w:val="1"/>
                <w:color w:val="auto"/>
              </w:rPr>
            </w:pPr>
          </w:p>
        </w:tc>
        <w:tc>
          <w:tcPr>
            <w:tcW w:w="40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-873760</wp:posOffset>
            </wp:positionV>
            <wp:extent cx="1028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-591185</wp:posOffset>
            </wp:positionV>
            <wp:extent cx="1028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1028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1028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Following are the characteristics and underwriting criteria for each major type of loan the Bank offers:</w:t>
      </w:r>
    </w:p>
    <w:p>
      <w:pPr>
        <w:spacing w:after="0" w:line="18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 factors.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35" w:lineRule="exact"/>
        <w:rPr>
          <w:sz w:val="20"/>
          <w:szCs w:val="20"/>
          <w:color w:val="auto"/>
        </w:rPr>
      </w:pPr>
    </w:p>
    <w:p>
      <w:pPr>
        <w:jc w:val="both"/>
        <w:ind w:left="760"/>
        <w:spacing w:after="0" w:line="312" w:lineRule="auto"/>
        <w:rPr>
          <w:sz w:val="20"/>
          <w:szCs w:val="20"/>
          <w:color w:val="auto"/>
        </w:rPr>
      </w:pPr>
      <w:r>
        <w:rPr>
          <w:rFonts w:ascii="Times New Roman" w:cs="Times New Roman" w:eastAsia="Times New Roman" w:hAnsi="Times New Roman"/>
          <w:sz w:val="17"/>
          <w:szCs w:val="17"/>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w:t>
      </w:r>
    </w:p>
    <w:p>
      <w:pPr>
        <w:spacing w:after="0" w:line="9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 factors.</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w:t>
      </w:r>
    </w:p>
    <w:p>
      <w:pPr>
        <w:spacing w:after="0" w:line="149"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Consumer: Funding for individual, family, and household purposes. Success in repayment is subject to borrower’s income, debt level, character in fulfilling payment obligations, employment and other factors.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Other: Primarily funds public improvements in the Bank’s service area. Repayment ability is based on the continuance of the taxation revenue as the source of repayment.</w:t>
      </w:r>
    </w:p>
    <w:p>
      <w:pPr>
        <w:spacing w:after="0" w:line="121"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of September 30, 2026 and December 31, 2025 one to four family residential mortgage loans amounting to $167.8 million and $175.8 million, respectively, and HELOC loans amounting to $17.9 million and $15.8 million, respectively, have been pledged as security for future loans and existing loans the Bank has received from the Federal Home Loan Bank "FHLB". The Bank has also pledged eligible commercial real estate loans of $212.5 million and $231.8 million as of September 30, 2026 and December 31, 2025, respectively, to the FHLB in addition to eligible multi-family real estate loans which amounted to $19.9 million and $29.1 million as of September 30, 2026 and December 31, 2025, respectively.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following tables present the contractual aging at amortized cost in past due loans by portfolio segment of loans as of September 30, 2026 and</w:t>
      </w:r>
    </w:p>
    <w:p>
      <w:pPr>
        <w:spacing w:after="0" w:line="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Greater</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120" w:type="dxa"/>
            <w:vAlign w:val="bottom"/>
            <w:tcBorders>
              <w:right w:val="single" w:sz="8" w:color="auto"/>
            </w:tcBorders>
            <w:gridSpan w:val="4"/>
          </w:tcPr>
          <w:p>
            <w:pPr>
              <w:ind w:left="1120"/>
              <w:spacing w:after="0"/>
              <w:rPr>
                <w:sz w:val="20"/>
                <w:szCs w:val="20"/>
                <w:color w:val="auto"/>
              </w:rPr>
            </w:pPr>
            <w:r>
              <w:rPr>
                <w:rFonts w:ascii="Times New Roman" w:cs="Times New Roman" w:eastAsia="Times New Roman" w:hAnsi="Times New Roman"/>
                <w:sz w:val="18"/>
                <w:szCs w:val="18"/>
                <w:color w:val="auto"/>
              </w:rPr>
              <w:t>30-59 Days</w:t>
            </w:r>
          </w:p>
        </w:tc>
        <w:tc>
          <w:tcPr>
            <w:tcW w:w="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60-89 Days</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Than 90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Past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Financing</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2026</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Past Due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Past Due</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Days</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Receivables</w:t>
            </w:r>
          </w:p>
        </w:tc>
      </w:tr>
      <w:tr>
        <w:trPr>
          <w:trHeight w:val="209"/>
        </w:trPr>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Borders>
              <w:right w:val="single" w:sz="8" w:color="auto"/>
            </w:tcBorders>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40" w:type="dxa"/>
            <w:vAlign w:val="bottom"/>
            <w:tcBorders>
              <w:right w:val="single" w:sz="8" w:color="auto"/>
            </w:tcBorders>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544,060</w:t>
            </w: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549,582</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206,695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210,139</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245,863</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245,973</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1,318,393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1,318,393</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343,047</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343,349</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47,794</w:t>
            </w:r>
          </w:p>
        </w:tc>
        <w:tc>
          <w:tcPr>
            <w:tcW w:w="100" w:type="dxa"/>
            <w:vAlign w:val="bottom"/>
          </w:tcPr>
          <w:p>
            <w:pPr>
              <w:spacing w:after="0"/>
              <w:rPr>
                <w:sz w:val="18"/>
                <w:szCs w:val="18"/>
                <w:color w:val="auto"/>
              </w:rPr>
            </w:pPr>
          </w:p>
        </w:tc>
      </w:tr>
      <w:tr>
        <w:trPr>
          <w:trHeight w:val="216"/>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5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40" w:type="dxa"/>
            <w:vAlign w:val="bottom"/>
            <w:tcBorders>
              <w:right w:val="single" w:sz="8" w:color="auto"/>
            </w:tcBorders>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w:t>
            </w:r>
          </w:p>
        </w:tc>
        <w:tc>
          <w:tcPr>
            <w:tcW w:w="120" w:type="dxa"/>
            <w:vAlign w:val="bottom"/>
            <w:tcBorders>
              <w:right w:val="single" w:sz="8" w:color="auto"/>
            </w:tcBorders>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2,727,657</w:t>
            </w:r>
          </w:p>
        </w:tc>
        <w:tc>
          <w:tcPr>
            <w:tcW w:w="120" w:type="dxa"/>
            <w:vAlign w:val="bottom"/>
            <w:tcBorders>
              <w:right w:val="single" w:sz="8" w:color="auto"/>
            </w:tcBorders>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2,737,319</w:t>
            </w:r>
          </w:p>
        </w:tc>
        <w:tc>
          <w:tcPr>
            <w:tcW w:w="10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Greater</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120" w:type="dxa"/>
            <w:vAlign w:val="bottom"/>
            <w:tcBorders>
              <w:right w:val="single" w:sz="8" w:color="auto"/>
            </w:tcBorders>
            <w:gridSpan w:val="4"/>
          </w:tcPr>
          <w:p>
            <w:pPr>
              <w:ind w:left="1120"/>
              <w:spacing w:after="0"/>
              <w:rPr>
                <w:sz w:val="20"/>
                <w:szCs w:val="20"/>
                <w:color w:val="auto"/>
              </w:rPr>
            </w:pPr>
            <w:r>
              <w:rPr>
                <w:rFonts w:ascii="Times New Roman" w:cs="Times New Roman" w:eastAsia="Times New Roman" w:hAnsi="Times New Roman"/>
                <w:sz w:val="18"/>
                <w:szCs w:val="18"/>
                <w:color w:val="auto"/>
              </w:rPr>
              <w:t>30-59 Days</w:t>
            </w:r>
          </w:p>
        </w:tc>
        <w:tc>
          <w:tcPr>
            <w:tcW w:w="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60-89 Days</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Than 90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Past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Financing</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Past Due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Past Due</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Days</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Receivables</w:t>
            </w:r>
          </w:p>
        </w:tc>
      </w:tr>
      <w:tr>
        <w:trPr>
          <w:trHeight w:val="210"/>
        </w:trPr>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Borders>
              <w:right w:val="single" w:sz="8" w:color="auto"/>
            </w:tcBorders>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tcBorders>
              <w:right w:val="single" w:sz="8" w:color="auto"/>
            </w:tcBorders>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521,822</w:t>
            </w: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527,043</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216,184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216,830</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216,851</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218,345</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1,352,822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1,353,019</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314,096</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314,096</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59,493</w:t>
            </w:r>
          </w:p>
        </w:tc>
        <w:tc>
          <w:tcPr>
            <w:tcW w:w="100" w:type="dxa"/>
            <w:vAlign w:val="bottom"/>
          </w:tcPr>
          <w:p>
            <w:pPr>
              <w:spacing w:after="0"/>
              <w:rPr>
                <w:sz w:val="18"/>
                <w:szCs w:val="18"/>
                <w:color w:val="auto"/>
              </w:rPr>
            </w:pPr>
          </w:p>
        </w:tc>
      </w:tr>
      <w:tr>
        <w:trPr>
          <w:trHeight w:val="216"/>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23,133</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40" w:type="dxa"/>
            <w:vAlign w:val="bottom"/>
            <w:tcBorders>
              <w:right w:val="single" w:sz="8" w:color="auto"/>
            </w:tcBorders>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20" w:type="dxa"/>
            <w:vAlign w:val="bottom"/>
            <w:tcBorders>
              <w:right w:val="single" w:sz="8" w:color="auto"/>
            </w:tcBorders>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2,704,085</w:t>
            </w:r>
          </w:p>
        </w:tc>
        <w:tc>
          <w:tcPr>
            <w:tcW w:w="120" w:type="dxa"/>
            <w:vAlign w:val="bottom"/>
            <w:tcBorders>
              <w:right w:val="single" w:sz="8" w:color="auto"/>
            </w:tcBorders>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2,711,959</w:t>
            </w:r>
          </w:p>
        </w:tc>
        <w:tc>
          <w:tcPr>
            <w:tcW w:w="10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3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5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-3119755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-3119755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-3119755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-3119755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-3119755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-1010920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-1010920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-1010920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-1010920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-1010920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nonaccrual loans by portfolio segment as of September 30, 2026 and as of December 31, 2025.</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2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8"/>
              </w:rPr>
              <w:t>Nonaccrual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Loans Past</w:t>
            </w:r>
          </w:p>
        </w:tc>
        <w:tc>
          <w:tcPr>
            <w:tcW w:w="8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With No</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Due Over</w:t>
            </w: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Allowance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89 Days</w:t>
            </w:r>
          </w:p>
        </w:tc>
      </w:tr>
      <w:tr>
        <w:trPr>
          <w:trHeight w:val="234"/>
        </w:trPr>
        <w:tc>
          <w:tcPr>
            <w:tcW w:w="2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for Credit Loss</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Nonaccrual</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Still Accruing</w:t>
            </w:r>
          </w:p>
        </w:tc>
        <w:tc>
          <w:tcPr>
            <w:tcW w:w="80" w:type="dxa"/>
            <w:vAlign w:val="bottom"/>
          </w:tcPr>
          <w:p>
            <w:pPr>
              <w:spacing w:after="0"/>
              <w:rPr>
                <w:sz w:val="20"/>
                <w:szCs w:val="20"/>
                <w:color w:val="auto"/>
              </w:rPr>
            </w:pPr>
          </w:p>
        </w:tc>
      </w:tr>
      <w:tr>
        <w:trPr>
          <w:trHeight w:val="209"/>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7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
        </w:trPr>
        <w:tc>
          <w:tcPr>
            <w:tcW w:w="2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8"/>
        </w:trPr>
        <w:tc>
          <w:tcPr>
            <w:tcW w:w="2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2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31, 2025</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8"/>
              </w:rPr>
              <w:t>Nonaccrual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Loans Past</w:t>
            </w:r>
          </w:p>
        </w:tc>
        <w:tc>
          <w:tcPr>
            <w:tcW w:w="8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With No</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Due Over</w:t>
            </w: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Allowance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89 Days</w:t>
            </w:r>
          </w:p>
        </w:tc>
      </w:tr>
      <w:tr>
        <w:trPr>
          <w:trHeight w:val="234"/>
        </w:trPr>
        <w:tc>
          <w:tcPr>
            <w:tcW w:w="2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for Credit Loss</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Nonaccrual</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Still Accruing</w:t>
            </w:r>
          </w:p>
        </w:tc>
        <w:tc>
          <w:tcPr>
            <w:tcW w:w="80" w:type="dxa"/>
            <w:vAlign w:val="bottom"/>
          </w:tcPr>
          <w:p>
            <w:pPr>
              <w:spacing w:after="0"/>
              <w:rPr>
                <w:sz w:val="20"/>
                <w:szCs w:val="20"/>
                <w:color w:val="auto"/>
              </w:rPr>
            </w:pPr>
          </w:p>
        </w:tc>
      </w:tr>
      <w:tr>
        <w:trPr>
          <w:trHeight w:val="210"/>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r>
      <w:tr>
        <w:trPr>
          <w:trHeight w:val="250"/>
        </w:trPr>
        <w:tc>
          <w:tcPr>
            <w:tcW w:w="2760" w:type="dxa"/>
            <w:vAlign w:val="bottom"/>
            <w:tcBorders>
              <w:bottom w:val="single" w:sz="8" w:color="CFF0FC"/>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11,256</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-2288540</wp:posOffset>
            </wp:positionV>
            <wp:extent cx="431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-2288540</wp:posOffset>
            </wp:positionV>
            <wp:extent cx="431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-2288540</wp:posOffset>
            </wp:positionV>
            <wp:extent cx="431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431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431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-170815</wp:posOffset>
            </wp:positionV>
            <wp:extent cx="431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431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431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431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Interest income on nonaccrual loans, recognized on a cash basis, was $18 thousand and $112 thousand for the three and nine months ended September 30, 2026 compared to $33 thousand and $85 thousand for the three and nine months ended September 30, 2025.</w:t>
      </w:r>
    </w:p>
    <w:p>
      <w:pPr>
        <w:spacing w:after="0" w:line="121"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Loans are placed on nonaccrual status in the event that the loan is in past due status for more than 90 days or payment in full of principal and interest is not expected.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Bank uses a nine tier risk rating system to grade its loans. The grade of a loan may change during the life of the loan.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risk ratings are described as follows.</w:t>
      </w:r>
    </w:p>
    <w:p>
      <w:pPr>
        <w:spacing w:after="0" w:line="117" w:lineRule="exact"/>
        <w:rPr>
          <w:sz w:val="20"/>
          <w:szCs w:val="20"/>
          <w:color w:val="auto"/>
        </w:rPr>
      </w:pPr>
    </w:p>
    <w:p>
      <w:pPr>
        <w:ind w:left="1640" w:hanging="509"/>
        <w:spacing w:after="0"/>
        <w:tabs>
          <w:tab w:leader="none" w:pos="1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(0) Unclassified. Any loan which has not been assigned a classification.</w:t>
      </w:r>
    </w:p>
    <w:p>
      <w:pPr>
        <w:spacing w:after="0" w:line="117" w:lineRule="exact"/>
        <w:rPr>
          <w:rFonts w:ascii="Times New Roman" w:cs="Times New Roman" w:eastAsia="Times New Roman" w:hAnsi="Times New Roman"/>
          <w:sz w:val="18"/>
          <w:szCs w:val="18"/>
          <w:color w:val="auto"/>
        </w:rPr>
      </w:pPr>
    </w:p>
    <w:p>
      <w:pPr>
        <w:jc w:val="both"/>
        <w:ind w:left="1640" w:hanging="509"/>
        <w:spacing w:after="0" w:line="255" w:lineRule="auto"/>
        <w:tabs>
          <w:tab w:leader="none" w:pos="1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80" w:lineRule="exact"/>
        <w:rPr>
          <w:rFonts w:ascii="Times New Roman" w:cs="Times New Roman" w:eastAsia="Times New Roman" w:hAnsi="Times New Roman"/>
          <w:sz w:val="18"/>
          <w:szCs w:val="18"/>
          <w:color w:val="auto"/>
        </w:rPr>
      </w:pPr>
    </w:p>
    <w:p>
      <w:pPr>
        <w:jc w:val="both"/>
        <w:ind w:left="1640" w:hanging="509"/>
        <w:spacing w:after="0" w:line="266" w:lineRule="auto"/>
        <w:tabs>
          <w:tab w:leader="none" w:pos="1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241" w:lineRule="exact"/>
        <w:rPr>
          <w:sz w:val="20"/>
          <w:szCs w:val="20"/>
          <w:color w:val="auto"/>
        </w:rPr>
      </w:pPr>
    </w:p>
    <w:p>
      <w:pPr>
        <w:ind w:left="1640"/>
        <w:spacing w:after="0" w:line="282" w:lineRule="auto"/>
        <w:rPr>
          <w:sz w:val="20"/>
          <w:szCs w:val="20"/>
          <w:color w:val="auto"/>
        </w:rPr>
      </w:pPr>
      <w:r>
        <w:rPr>
          <w:rFonts w:ascii="Times New Roman" w:cs="Times New Roman" w:eastAsia="Times New Roman" w:hAnsi="Times New Roman"/>
          <w:sz w:val="18"/>
          <w:szCs w:val="18"/>
          <w:color w:val="auto"/>
        </w:rPr>
        <w:t>would allow repayment in a reasonable period of time. Individual loans backed by liquid personal assets, established history and unquestionable character.</w:t>
      </w:r>
    </w:p>
    <w:p>
      <w:pPr>
        <w:spacing w:after="0" w:line="54" w:lineRule="exact"/>
        <w:rPr>
          <w:sz w:val="20"/>
          <w:szCs w:val="20"/>
          <w:color w:val="auto"/>
        </w:rPr>
      </w:pPr>
    </w:p>
    <w:p>
      <w:pPr>
        <w:jc w:val="both"/>
        <w:ind w:left="1640" w:hanging="509"/>
        <w:spacing w:after="0" w:line="261"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w:t>
      </w:r>
    </w:p>
    <w:p>
      <w:pPr>
        <w:spacing w:after="0" w:line="71" w:lineRule="exact"/>
        <w:rPr>
          <w:rFonts w:ascii="Times New Roman" w:cs="Times New Roman" w:eastAsia="Times New Roman" w:hAnsi="Times New Roman"/>
          <w:sz w:val="18"/>
          <w:szCs w:val="18"/>
          <w:color w:val="auto"/>
        </w:rPr>
      </w:pPr>
    </w:p>
    <w:p>
      <w:pPr>
        <w:ind w:left="16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may be rated 3 when there is no recent information on which to base a current risk evaluation and the following conditions apply:</w:t>
      </w:r>
    </w:p>
    <w:p>
      <w:pPr>
        <w:spacing w:after="0" w:line="53" w:lineRule="exact"/>
        <w:rPr>
          <w:rFonts w:ascii="Times New Roman" w:cs="Times New Roman" w:eastAsia="Times New Roman" w:hAnsi="Times New Roman"/>
          <w:sz w:val="18"/>
          <w:szCs w:val="18"/>
          <w:color w:val="auto"/>
        </w:rPr>
      </w:pPr>
    </w:p>
    <w:p>
      <w:pPr>
        <w:ind w:left="1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properly underwritten and did not possess an unwarranted level of credit risk;</w:t>
      </w:r>
    </w:p>
    <w:p>
      <w:pPr>
        <w:spacing w:after="0" w:line="117" w:lineRule="exact"/>
        <w:rPr>
          <w:rFonts w:ascii="Times New Roman" w:cs="Times New Roman" w:eastAsia="Times New Roman" w:hAnsi="Times New Roman"/>
          <w:sz w:val="18"/>
          <w:szCs w:val="18"/>
          <w:color w:val="auto"/>
        </w:rPr>
      </w:pPr>
    </w:p>
    <w:p>
      <w:pPr>
        <w:ind w:left="2160" w:hanging="519"/>
        <w:spacing w:after="0"/>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secured with collateral possessing a loan-to-value adequate to protect The Bank from loss;</w:t>
      </w:r>
    </w:p>
    <w:p>
      <w:pPr>
        <w:spacing w:after="0" w:line="117" w:lineRule="exact"/>
        <w:rPr>
          <w:rFonts w:ascii="Times New Roman" w:cs="Times New Roman" w:eastAsia="Times New Roman" w:hAnsi="Times New Roman"/>
          <w:sz w:val="18"/>
          <w:szCs w:val="18"/>
          <w:color w:val="auto"/>
        </w:rPr>
      </w:pPr>
    </w:p>
    <w:p>
      <w:pPr>
        <w:ind w:left="2160" w:hanging="519"/>
        <w:spacing w:after="0"/>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exhibited two or more years of satisfactory repayment with a reasonable reduction of the principal balance;</w:t>
      </w:r>
    </w:p>
    <w:p>
      <w:pPr>
        <w:spacing w:after="0" w:line="117" w:lineRule="exact"/>
        <w:rPr>
          <w:rFonts w:ascii="Times New Roman" w:cs="Times New Roman" w:eastAsia="Times New Roman" w:hAnsi="Times New Roman"/>
          <w:sz w:val="18"/>
          <w:szCs w:val="18"/>
          <w:color w:val="auto"/>
        </w:rPr>
      </w:pPr>
    </w:p>
    <w:p>
      <w:pPr>
        <w:jc w:val="both"/>
        <w:ind w:left="2160" w:hanging="519"/>
        <w:spacing w:after="0" w:line="261" w:lineRule="auto"/>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71" w:lineRule="exact"/>
        <w:rPr>
          <w:rFonts w:ascii="Times New Roman" w:cs="Times New Roman" w:eastAsia="Times New Roman" w:hAnsi="Times New Roman"/>
          <w:sz w:val="18"/>
          <w:szCs w:val="18"/>
          <w:color w:val="auto"/>
        </w:rPr>
      </w:pPr>
    </w:p>
    <w:p>
      <w:pPr>
        <w:jc w:val="both"/>
        <w:ind w:left="1640" w:hanging="509"/>
        <w:spacing w:after="0" w:line="261"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71" w:lineRule="exact"/>
        <w:rPr>
          <w:rFonts w:ascii="Times New Roman" w:cs="Times New Roman" w:eastAsia="Times New Roman" w:hAnsi="Times New Roman"/>
          <w:sz w:val="18"/>
          <w:szCs w:val="18"/>
          <w:color w:val="auto"/>
        </w:rPr>
      </w:pPr>
    </w:p>
    <w:p>
      <w:pPr>
        <w:jc w:val="both"/>
        <w:ind w:left="1640" w:hanging="509"/>
        <w:spacing w:after="0" w:line="258"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75" w:lineRule="exact"/>
        <w:rPr>
          <w:rFonts w:ascii="Times New Roman" w:cs="Times New Roman" w:eastAsia="Times New Roman" w:hAnsi="Times New Roman"/>
          <w:sz w:val="18"/>
          <w:szCs w:val="18"/>
          <w:color w:val="auto"/>
        </w:rPr>
      </w:pPr>
    </w:p>
    <w:p>
      <w:pPr>
        <w:ind w:left="1640" w:hanging="509"/>
        <w:spacing w:after="0"/>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(6) Substandard. One or more of the following characteristics may be exhibited in loans classified substandard:</w:t>
      </w:r>
    </w:p>
    <w:p>
      <w:pPr>
        <w:spacing w:after="0" w:line="117" w:lineRule="exact"/>
        <w:rPr>
          <w:rFonts w:ascii="Times New Roman" w:cs="Times New Roman" w:eastAsia="Times New Roman" w:hAnsi="Times New Roman"/>
          <w:sz w:val="18"/>
          <w:szCs w:val="18"/>
          <w:color w:val="auto"/>
        </w:rPr>
      </w:pPr>
    </w:p>
    <w:p>
      <w:pPr>
        <w:jc w:val="both"/>
        <w:ind w:left="2160" w:hanging="519"/>
        <w:spacing w:after="0" w:line="266" w:lineRule="auto"/>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67" w:lineRule="exact"/>
        <w:rPr>
          <w:rFonts w:ascii="Times New Roman" w:cs="Times New Roman" w:eastAsia="Times New Roman" w:hAnsi="Times New Roman"/>
          <w:sz w:val="18"/>
          <w:szCs w:val="18"/>
          <w:color w:val="auto"/>
        </w:rPr>
      </w:pPr>
    </w:p>
    <w:p>
      <w:pPr>
        <w:ind w:left="2160" w:hanging="519"/>
        <w:spacing w:after="0"/>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inadequately protected by the current net worth and paying capacity of the borrower.</w:t>
      </w:r>
    </w:p>
    <w:p>
      <w:pPr>
        <w:spacing w:after="0" w:line="117" w:lineRule="exact"/>
        <w:rPr>
          <w:rFonts w:ascii="Times New Roman" w:cs="Times New Roman" w:eastAsia="Times New Roman" w:hAnsi="Times New Roman"/>
          <w:sz w:val="18"/>
          <w:szCs w:val="18"/>
          <w:color w:val="auto"/>
        </w:rPr>
      </w:pPr>
    </w:p>
    <w:p>
      <w:pPr>
        <w:ind w:left="2160" w:right="20" w:hanging="519"/>
        <w:spacing w:after="0" w:line="282" w:lineRule="auto"/>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weakened, and The Bank is forced to rely on a secondary source of repayment such as collateral liquidation or guarantees.</w:t>
      </w:r>
    </w:p>
    <w:p>
      <w:pPr>
        <w:spacing w:after="0" w:line="53" w:lineRule="exact"/>
        <w:rPr>
          <w:rFonts w:ascii="Times New Roman" w:cs="Times New Roman" w:eastAsia="Times New Roman" w:hAnsi="Times New Roman"/>
          <w:sz w:val="18"/>
          <w:szCs w:val="18"/>
          <w:color w:val="auto"/>
        </w:rPr>
      </w:pPr>
    </w:p>
    <w:p>
      <w:pPr>
        <w:ind w:left="2160" w:hanging="519"/>
        <w:spacing w:after="0"/>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characterized by the distinct possibility that The Bank will sustain some loss if deficiencies are not corrected.</w:t>
      </w:r>
    </w:p>
    <w:p>
      <w:pPr>
        <w:spacing w:after="0" w:line="117" w:lineRule="exact"/>
        <w:rPr>
          <w:rFonts w:ascii="Times New Roman" w:cs="Times New Roman" w:eastAsia="Times New Roman" w:hAnsi="Times New Roman"/>
          <w:sz w:val="18"/>
          <w:szCs w:val="18"/>
          <w:color w:val="auto"/>
        </w:rPr>
      </w:pPr>
    </w:p>
    <w:p>
      <w:pPr>
        <w:ind w:left="2160" w:hanging="519"/>
        <w:spacing w:after="0"/>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courses of action are needed to maintain a high probability of repayment.</w:t>
      </w:r>
    </w:p>
    <w:p>
      <w:pPr>
        <w:spacing w:after="0" w:line="117" w:lineRule="exact"/>
        <w:rPr>
          <w:rFonts w:ascii="Times New Roman" w:cs="Times New Roman" w:eastAsia="Times New Roman" w:hAnsi="Times New Roman"/>
          <w:sz w:val="18"/>
          <w:szCs w:val="18"/>
          <w:color w:val="auto"/>
        </w:rPr>
      </w:pPr>
    </w:p>
    <w:p>
      <w:pPr>
        <w:ind w:left="2160" w:hanging="519"/>
        <w:spacing w:after="0"/>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generating enough cash flow to repay loan principal; however, continues to make interest payments.</w:t>
      </w:r>
    </w:p>
    <w:p>
      <w:pPr>
        <w:spacing w:after="0" w:line="117" w:lineRule="exact"/>
        <w:rPr>
          <w:rFonts w:ascii="Times New Roman" w:cs="Times New Roman" w:eastAsia="Times New Roman" w:hAnsi="Times New Roman"/>
          <w:sz w:val="18"/>
          <w:szCs w:val="18"/>
          <w:color w:val="auto"/>
        </w:rPr>
      </w:pPr>
    </w:p>
    <w:p>
      <w:pPr>
        <w:ind w:left="2160" w:hanging="519"/>
        <w:spacing w:after="0"/>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forced into a subordinate position or unsecured collateral position due to flaws in documentation.</w:t>
      </w:r>
    </w:p>
    <w:p>
      <w:pPr>
        <w:spacing w:after="0" w:line="117" w:lineRule="exact"/>
        <w:rPr>
          <w:rFonts w:ascii="Times New Roman" w:cs="Times New Roman" w:eastAsia="Times New Roman" w:hAnsi="Times New Roman"/>
          <w:sz w:val="18"/>
          <w:szCs w:val="18"/>
          <w:color w:val="auto"/>
        </w:rPr>
      </w:pPr>
    </w:p>
    <w:p>
      <w:pPr>
        <w:ind w:left="2160" w:hanging="519"/>
        <w:spacing w:after="0" w:line="282" w:lineRule="auto"/>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been restructured so that payment schedules, terms and collateral represent concessions to the borrower when compared to the normal loan terms.</w:t>
      </w:r>
    </w:p>
    <w:p>
      <w:pPr>
        <w:spacing w:after="0" w:line="53" w:lineRule="exact"/>
        <w:rPr>
          <w:rFonts w:ascii="Times New Roman" w:cs="Times New Roman" w:eastAsia="Times New Roman" w:hAnsi="Times New Roman"/>
          <w:sz w:val="18"/>
          <w:szCs w:val="18"/>
          <w:color w:val="auto"/>
        </w:rPr>
      </w:pPr>
    </w:p>
    <w:p>
      <w:pPr>
        <w:ind w:left="2160" w:hanging="519"/>
        <w:spacing w:after="0"/>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seriously contemplating foreclosure or legal action due to the apparent deterioration in the loan</w:t>
      </w:r>
    </w:p>
    <w:p>
      <w:pPr>
        <w:spacing w:after="0" w:line="117" w:lineRule="exact"/>
        <w:rPr>
          <w:rFonts w:ascii="Times New Roman" w:cs="Times New Roman" w:eastAsia="Times New Roman" w:hAnsi="Times New Roman"/>
          <w:sz w:val="18"/>
          <w:szCs w:val="18"/>
          <w:color w:val="auto"/>
        </w:rPr>
      </w:pPr>
    </w:p>
    <w:p>
      <w:pPr>
        <w:ind w:left="2160" w:hanging="519"/>
        <w:spacing w:after="0"/>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significant deterioration in the market conditions and the borrower is highly vulnerable to these conditions.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241" w:lineRule="exact"/>
        <w:rPr>
          <w:sz w:val="20"/>
          <w:szCs w:val="20"/>
          <w:color w:val="auto"/>
        </w:rPr>
      </w:pPr>
    </w:p>
    <w:p>
      <w:pPr>
        <w:ind w:left="1640" w:hanging="509"/>
        <w:spacing w:after="0"/>
        <w:tabs>
          <w:tab w:leader="none" w:pos="1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(7) Doubtful. One or more of the following characteristics may be exhibited in loans classified Doubtful:</w:t>
      </w:r>
    </w:p>
    <w:p>
      <w:pPr>
        <w:spacing w:after="0" w:line="117" w:lineRule="exact"/>
        <w:rPr>
          <w:rFonts w:ascii="Times New Roman" w:cs="Times New Roman" w:eastAsia="Times New Roman" w:hAnsi="Times New Roman"/>
          <w:sz w:val="18"/>
          <w:szCs w:val="18"/>
          <w:color w:val="auto"/>
        </w:rPr>
      </w:pPr>
    </w:p>
    <w:p>
      <w:pPr>
        <w:ind w:left="2160" w:hanging="519"/>
        <w:spacing w:after="0" w:line="282" w:lineRule="auto"/>
        <w:tabs>
          <w:tab w:leader="none" w:pos="2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all of the weaknesses of those classified as Substandard. Additionally, however, these weaknesses make collection or liquidation in full based on existing conditions improbable.</w:t>
      </w:r>
    </w:p>
    <w:p>
      <w:pPr>
        <w:spacing w:after="0" w:line="53" w:lineRule="exact"/>
        <w:rPr>
          <w:rFonts w:ascii="Times New Roman" w:cs="Times New Roman" w:eastAsia="Times New Roman" w:hAnsi="Times New Roman"/>
          <w:sz w:val="18"/>
          <w:szCs w:val="18"/>
          <w:color w:val="auto"/>
        </w:rPr>
      </w:pPr>
    </w:p>
    <w:p>
      <w:pPr>
        <w:ind w:left="2160" w:right="20" w:hanging="519"/>
        <w:spacing w:after="0" w:line="282" w:lineRule="auto"/>
        <w:tabs>
          <w:tab w:leader="none" w:pos="2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gone, and there is considerable doubt as to the quality of the secondary source of repayment.</w:t>
      </w:r>
    </w:p>
    <w:p>
      <w:pPr>
        <w:spacing w:after="0" w:line="53" w:lineRule="exact"/>
        <w:rPr>
          <w:rFonts w:ascii="Times New Roman" w:cs="Times New Roman" w:eastAsia="Times New Roman" w:hAnsi="Times New Roman"/>
          <w:sz w:val="18"/>
          <w:szCs w:val="18"/>
          <w:color w:val="auto"/>
        </w:rPr>
      </w:pPr>
    </w:p>
    <w:p>
      <w:pPr>
        <w:jc w:val="both"/>
        <w:ind w:left="2160" w:hanging="519"/>
        <w:spacing w:after="0" w:line="266" w:lineRule="auto"/>
        <w:tabs>
          <w:tab w:leader="none" w:pos="2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67" w:lineRule="exact"/>
        <w:rPr>
          <w:rFonts w:ascii="Times New Roman" w:cs="Times New Roman" w:eastAsia="Times New Roman" w:hAnsi="Times New Roman"/>
          <w:sz w:val="18"/>
          <w:szCs w:val="18"/>
          <w:color w:val="auto"/>
        </w:rPr>
      </w:pPr>
    </w:p>
    <w:p>
      <w:pPr>
        <w:jc w:val="both"/>
        <w:ind w:left="1640" w:hanging="509"/>
        <w:spacing w:after="0" w:line="266" w:lineRule="auto"/>
        <w:tabs>
          <w:tab w:leader="none" w:pos="1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risk category of loans at amortized cost, by portfolio segment and year of origination, based on the most recent analysis performed as of September 30, 2026 and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September 30, 2026</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gridSpan w:val="14"/>
            <w:vMerge w:val="restart"/>
          </w:tcPr>
          <w:p>
            <w:pPr>
              <w:ind w:left="4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Amortiz</w:t>
            </w: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Term</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Prior</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Basis</w:t>
            </w:r>
          </w:p>
        </w:tc>
        <w:tc>
          <w:tcPr>
            <w:tcW w:w="28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Term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6"/>
              </w:rPr>
              <w:t>209,64</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444,38</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100,71</w:t>
            </w: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545,67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59,556</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45,272</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21,542</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44,064</w:t>
            </w:r>
          </w:p>
        </w:tc>
        <w:tc>
          <w:tcPr>
            <w:tcW w:w="1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64,311</w:t>
            </w:r>
          </w:p>
        </w:tc>
        <w:tc>
          <w:tcPr>
            <w:tcW w:w="2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Consumer Real</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211,42</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448,06</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100,91</w:t>
            </w: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549,58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59,556</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45,543</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22,267</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44,655</w:t>
            </w:r>
          </w:p>
        </w:tc>
        <w:tc>
          <w:tcPr>
            <w:tcW w:w="1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64,621</w:t>
            </w: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201,74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201,82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28,087</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21,159</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18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26,636</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88,365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Agricultural Real</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28,398</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21,399</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20,372</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29,340</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88,926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130,28</w:t>
            </w: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215,37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35,167</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30,050</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2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85,094</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22,104</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153,53</w:t>
            </w: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245,97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Agricultural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37,735</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33,346</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80" w:type="dxa"/>
            <w:vAlign w:val="bottom"/>
            <w:shd w:val="clear" w:color="auto" w:fill="CFF0FC"/>
          </w:tcPr>
          <w:p>
            <w:pPr>
              <w:spacing w:after="0"/>
              <w:rPr>
                <w:sz w:val="22"/>
                <w:szCs w:val="22"/>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28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92,438</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-4114165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-4097020</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-4114165</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-4097020</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-4114165</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-4097020</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-4114165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-4097020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-4114165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-4097020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-4114165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-4097020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-4114165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-4097020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-4114165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-4097020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-4114165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-4097020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-2845435</wp:posOffset>
            </wp:positionV>
            <wp:extent cx="768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-2845435</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-2845435</wp:posOffset>
            </wp:positionV>
            <wp:extent cx="768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-2845435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-2845435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-2845435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-2845435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-2845435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-2845435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-2399665</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-2399665</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-2399665</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-2399665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-2399665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-2399665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-2399665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-2399665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-2399665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-1010920</wp:posOffset>
            </wp:positionV>
            <wp:extent cx="768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-993775</wp:posOffset>
            </wp:positionV>
            <wp:extent cx="768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-1010920</wp:posOffset>
            </wp:positionV>
            <wp:extent cx="774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-993775</wp:posOffset>
            </wp:positionV>
            <wp:extent cx="774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-1010920</wp:posOffset>
            </wp:positionV>
            <wp:extent cx="768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-993775</wp:posOffset>
            </wp:positionV>
            <wp:extent cx="768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-1010920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-993775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-1010920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-993775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-1010920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-993775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-1010920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-993775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-1010920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-993775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83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September 30, 2026</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gridSpan w:val="14"/>
            <w:vMerge w:val="restart"/>
          </w:tcPr>
          <w:p>
            <w:pPr>
              <w:ind w:left="4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Amortiz</w:t>
            </w: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Term</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Prior</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Basis</w:t>
            </w:r>
          </w:p>
        </w:tc>
        <w:tc>
          <w:tcPr>
            <w:tcW w:w="28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Term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196,95</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211,35</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104,39</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153,02</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6"/>
              </w:rPr>
              <w:t>303,80</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6"/>
              </w:rPr>
              <w:t>268,82</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1,238,</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9,207</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16,345</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Commercial Real</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205,23</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215,78</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113,59</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172,03</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325,89</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280,35</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1,312,</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172,70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156,14</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328,85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51,109</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33,001</w:t>
            </w:r>
          </w:p>
        </w:tc>
        <w:tc>
          <w:tcPr>
            <w:tcW w:w="18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22,555</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Commercial &amp;</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175,87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167,47</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343,34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51,627</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14,652</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35,028</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22,611</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380" w:type="dxa"/>
            <w:vAlign w:val="bottom"/>
            <w:gridSpan w:val="2"/>
            <w:shd w:val="clear" w:color="auto" w:fill="CFF0FC"/>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18,042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Other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21,192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-3839845</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-3822700</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-3839845</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-3822700</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-3839845</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-3822700</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-3839845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-3822700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-3839845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-3822700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-3839845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-3822700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-3839845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-3822700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-3839845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-3822700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-3839845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-3822700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-2571115</wp:posOffset>
            </wp:positionV>
            <wp:extent cx="7683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-2571115</wp:posOffset>
            </wp:positionV>
            <wp:extent cx="774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-2571115</wp:posOffset>
            </wp:positionV>
            <wp:extent cx="768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-2571115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-2571115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-2571115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-2571115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-2571115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-2571115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-2125345</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-2125345</wp:posOffset>
            </wp:positionV>
            <wp:extent cx="774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-2125345</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-2125345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-2125345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-2125345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-2125345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-2125345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-2125345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-1010920</wp:posOffset>
            </wp:positionV>
            <wp:extent cx="768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-993775</wp:posOffset>
            </wp:positionV>
            <wp:extent cx="768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-1010920</wp:posOffset>
            </wp:positionV>
            <wp:extent cx="774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-993775</wp:posOffset>
            </wp:positionV>
            <wp:extent cx="774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-1010920</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-993775</wp:posOffset>
            </wp:positionV>
            <wp:extent cx="768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-1010920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-993775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-1010920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-993775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-1010920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-993775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-1010920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-993775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-1010920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-993775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85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December 31, 2025</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8"/>
              </w:rPr>
              <w:t>Revolvi</w:t>
            </w:r>
          </w:p>
        </w:tc>
        <w:tc>
          <w:tcPr>
            <w:tcW w:w="140" w:type="dxa"/>
            <w:vAlign w:val="bottom"/>
          </w:tcPr>
          <w:p>
            <w:pPr>
              <w:spacing w:after="0"/>
              <w:rPr>
                <w:sz w:val="16"/>
                <w:szCs w:val="16"/>
                <w:color w:val="auto"/>
              </w:rPr>
            </w:pPr>
          </w:p>
        </w:tc>
        <w:tc>
          <w:tcPr>
            <w:tcW w:w="78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8"/>
              </w:rPr>
              <w:t>Revolvi</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Loans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Loans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gridSpan w:val="14"/>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w:t>
            </w:r>
          </w:p>
        </w:tc>
        <w:tc>
          <w:tcPr>
            <w:tcW w:w="140" w:type="dxa"/>
            <w:vAlign w:val="bottom"/>
          </w:tcPr>
          <w:p>
            <w:pPr>
              <w:spacing w:after="0"/>
              <w:rPr>
                <w:sz w:val="18"/>
                <w:szCs w:val="18"/>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Convert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3"/>
              </w:rPr>
              <w: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3"/>
              </w:rPr>
              <w: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Prior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Basis</w:t>
            </w:r>
          </w:p>
        </w:tc>
        <w:tc>
          <w:tcPr>
            <w:tcW w:w="140" w:type="dxa"/>
            <w:vAlign w:val="bottom"/>
          </w:tcPr>
          <w:p>
            <w:pPr>
              <w:spacing w:after="0"/>
              <w:rPr>
                <w:sz w:val="20"/>
                <w:szCs w:val="20"/>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to Term</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150,78</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437,80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521,56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52,684</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28,385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52,324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71,008</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82,628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83,296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1,694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5,087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5,279</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Consumer Real</w:t>
            </w:r>
          </w:p>
        </w:tc>
        <w:tc>
          <w:tcPr>
            <w:tcW w:w="1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320" w:type="dxa"/>
            <w:vAlign w:val="bottom"/>
            <w:tcBorders>
              <w:lef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152,52</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443,07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527,04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52,943</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29,131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52,902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71,500</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84,077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83,338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2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208,67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208,76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28,079</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20,758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23,792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30,919</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20,242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84,889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4,890</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7,749</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60" w:type="dxa"/>
            <w:vAlign w:val="bottom"/>
            <w:tcBorders>
              <w:top w:val="single" w:sz="8" w:color="CFF0FC"/>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Agricultural Real</w:t>
            </w: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216,74</w:t>
            </w: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216,83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28,079</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25,648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24,655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31,796</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21,307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85,257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left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126,14</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197,19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40,636</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7,157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6,692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8,617</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3,157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4,373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70,632</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4,808</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2,456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13,883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16,339</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320" w:type="dxa"/>
            <w:vAlign w:val="bottom"/>
            <w:tcBorders>
              <w:lef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144,44</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218,34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Agricultural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42,982</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7,208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6,782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8,966</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3,168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4,373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73,479</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-4114165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-4097020</wp:posOffset>
            </wp:positionV>
            <wp:extent cx="768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-4114165</wp:posOffset>
            </wp:positionV>
            <wp:extent cx="774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-4097020</wp:posOffset>
            </wp:positionV>
            <wp:extent cx="774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-4114165</wp:posOffset>
            </wp:positionV>
            <wp:extent cx="768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-4097020</wp:posOffset>
            </wp:positionV>
            <wp:extent cx="768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-4114165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-4097020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-4114165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-4097020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-4114165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-4097020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-4114165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-4097020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-4114165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-4097020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-4114165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-4097020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-2845435</wp:posOffset>
            </wp:positionV>
            <wp:extent cx="768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-2845435</wp:posOffset>
            </wp:positionV>
            <wp:extent cx="774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-2845435</wp:posOffset>
            </wp:positionV>
            <wp:extent cx="7683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-2845435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-2845435</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-2845435</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-2845435</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-2845435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-2845435</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-2399665</wp:posOffset>
            </wp:positionV>
            <wp:extent cx="768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-2399665</wp:posOffset>
            </wp:positionV>
            <wp:extent cx="774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-2399665</wp:posOffset>
            </wp:positionV>
            <wp:extent cx="768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-2399665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-2399665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-2399665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-2399665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-2399665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-2399665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-1010920</wp:posOffset>
            </wp:positionV>
            <wp:extent cx="7683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-993775</wp:posOffset>
            </wp:positionV>
            <wp:extent cx="768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-1010920</wp:posOffset>
            </wp:positionV>
            <wp:extent cx="7747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-993775</wp:posOffset>
            </wp:positionV>
            <wp:extent cx="7747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-1010920</wp:posOffset>
            </wp:positionV>
            <wp:extent cx="7683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-993775</wp:posOffset>
            </wp:positionV>
            <wp:extent cx="7683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-1010920</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-993775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-1010920</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-993775</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-1010920</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-993775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-1010920</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-993775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-1010920</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-993775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83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December 31, 2025</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gridSpan w:val="14"/>
            <w:vMerge w:val="restart"/>
          </w:tcPr>
          <w:p>
            <w:pPr>
              <w:ind w:left="4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Amortiz</w:t>
            </w: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Term</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Prior</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Basis</w:t>
            </w:r>
          </w:p>
        </w:tc>
        <w:tc>
          <w:tcPr>
            <w:tcW w:w="28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Term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244,68</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132,26</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157,88</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362,67</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6"/>
              </w:rPr>
              <w:t>175,56</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6"/>
              </w:rPr>
              <w:t>160,10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1,233,</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12,381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34,868</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58,139</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Commercial Real</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250,85</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133,52</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216,66</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388,32</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189,30</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168,96</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1,347,</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162,24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135,20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297,48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58,239</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20,557</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38,008</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28,674</w:t>
            </w:r>
          </w:p>
        </w:tc>
        <w:tc>
          <w:tcPr>
            <w:tcW w:w="18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10,454</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Commercial &amp;</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166,05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147,99</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314,09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58,784</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20,766</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40,685</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28,758</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10,754</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380" w:type="dxa"/>
            <w:vAlign w:val="bottom"/>
            <w:gridSpan w:val="2"/>
            <w:shd w:val="clear" w:color="auto" w:fill="CFF0FC"/>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14,870</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19,467</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Other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14,870</w:t>
            </w:r>
          </w:p>
        </w:tc>
        <w:tc>
          <w:tcPr>
            <w:tcW w:w="2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23,133</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-3977005</wp:posOffset>
            </wp:positionV>
            <wp:extent cx="7683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-3959860</wp:posOffset>
            </wp:positionV>
            <wp:extent cx="768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-3977005</wp:posOffset>
            </wp:positionV>
            <wp:extent cx="7747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-3959860</wp:posOffset>
            </wp:positionV>
            <wp:extent cx="774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-3977005</wp:posOffset>
            </wp:positionV>
            <wp:extent cx="7683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-3959860</wp:posOffset>
            </wp:positionV>
            <wp:extent cx="768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-3977005</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-3959860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-3977005</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-3959860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-3977005</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-3959860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-3977005</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-3959860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-3977005</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-3959860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-3977005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-3959860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-3977005</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-2708275</wp:posOffset>
            </wp:positionV>
            <wp:extent cx="7683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-2708275</wp:posOffset>
            </wp:positionV>
            <wp:extent cx="7747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-2708275</wp:posOffset>
            </wp:positionV>
            <wp:extent cx="7683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-2708275</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-2708275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-2708275</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-2708275</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-2708275</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-2708275</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-2262505</wp:posOffset>
            </wp:positionV>
            <wp:extent cx="7683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-2262505</wp:posOffset>
            </wp:positionV>
            <wp:extent cx="7747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-2262505</wp:posOffset>
            </wp:positionV>
            <wp:extent cx="7683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-2262505</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-2262505</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-2262505</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-2262505</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-2262505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-2262505</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-1148080</wp:posOffset>
            </wp:positionV>
            <wp:extent cx="768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-1130935</wp:posOffset>
            </wp:positionV>
            <wp:extent cx="7683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-1148080</wp:posOffset>
            </wp:positionV>
            <wp:extent cx="7747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-1130935</wp:posOffset>
            </wp:positionV>
            <wp:extent cx="7747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-1148080</wp:posOffset>
            </wp:positionV>
            <wp:extent cx="7683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-1130935</wp:posOffset>
            </wp:positionV>
            <wp:extent cx="7683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-1148080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-1130935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-1148080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-1130935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-1148080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-1130935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-1148080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-1130935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-1148080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-1130935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-1148080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-1130935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For consumer loans, the Company evaluates credit quality based on the aging status of the loan, as was previously stated, and by payment performance. Consumer loans are placed on nonperforming status in the event that the loan is in past due status for more than 90 days or payment in full of principal and interest is not expected. The following tables present the amortized cost based on payment performance as of September 30, 2026 and December 31, 2025 by year of origination.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7"/>
          </w:tcPr>
          <w:p>
            <w:pPr>
              <w:jc w:val="center"/>
              <w:ind w:left="43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Revolvin</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Loans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40" w:type="dxa"/>
            <w:vAlign w:val="bottom"/>
            <w:gridSpan w:val="14"/>
            <w:vMerge w:val="restart"/>
          </w:tcPr>
          <w:p>
            <w:pPr>
              <w:ind w:left="8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Term</w:t>
            </w:r>
          </w:p>
        </w:tc>
        <w:tc>
          <w:tcPr>
            <w:tcW w:w="100" w:type="dxa"/>
            <w:vAlign w:val="bottom"/>
          </w:tcPr>
          <w:p>
            <w:pPr>
              <w:spacing w:after="0"/>
              <w:rPr>
                <w:sz w:val="19"/>
                <w:szCs w:val="19"/>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Grand</w:t>
            </w: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Prior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Basis</w:t>
            </w:r>
          </w:p>
        </w:tc>
        <w:tc>
          <w:tcPr>
            <w:tcW w:w="120" w:type="dxa"/>
            <w:vAlign w:val="bottom"/>
          </w:tcPr>
          <w:p>
            <w:pPr>
              <w:spacing w:after="0"/>
              <w:rPr>
                <w:sz w:val="20"/>
                <w:szCs w:val="20"/>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Performance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Performing</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$ 17,472</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47,047</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Nonperforming</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Consumer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$ 17,472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47,072</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17"/>
                <w:szCs w:val="17"/>
                <w:color w:val="auto"/>
              </w:rPr>
            </w:pPr>
          </w:p>
        </w:tc>
        <w:tc>
          <w:tcPr>
            <w:tcW w:w="36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7"/>
                <w:szCs w:val="17"/>
                <w:color w:val="auto"/>
              </w:rPr>
            </w:pPr>
          </w:p>
        </w:tc>
        <w:tc>
          <w:tcPr>
            <w:tcW w:w="2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459</w:t>
            </w:r>
          </w:p>
        </w:tc>
        <w:tc>
          <w:tcPr>
            <w:tcW w:w="32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7"/>
          </w:tcPr>
          <w:p>
            <w:pPr>
              <w:jc w:val="center"/>
              <w:ind w:left="450"/>
              <w:spacing w:after="0"/>
              <w:rPr>
                <w:sz w:val="20"/>
                <w:szCs w:val="20"/>
                <w:color w:val="auto"/>
              </w:rPr>
            </w:pPr>
            <w:r>
              <w:rPr>
                <w:rFonts w:ascii="Times New Roman" w:cs="Times New Roman" w:eastAsia="Times New Roman" w:hAnsi="Times New Roman"/>
                <w:sz w:val="18"/>
                <w:szCs w:val="18"/>
                <w:color w:val="auto"/>
              </w:rPr>
              <w:t>December 31, 2025</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3"/>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w w:val="99"/>
              </w:rPr>
              <w:t>Revolvin</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Loans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40" w:type="dxa"/>
            <w:vAlign w:val="bottom"/>
            <w:gridSpan w:val="14"/>
            <w:vMerge w:val="restart"/>
          </w:tcPr>
          <w:p>
            <w:pPr>
              <w:ind w:left="8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Amortize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Term</w:t>
            </w:r>
          </w:p>
        </w:tc>
        <w:tc>
          <w:tcPr>
            <w:tcW w:w="100" w:type="dxa"/>
            <w:vAlign w:val="bottom"/>
          </w:tcPr>
          <w:p>
            <w:pPr>
              <w:spacing w:after="0"/>
              <w:rPr>
                <w:sz w:val="19"/>
                <w:szCs w:val="19"/>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19"/>
                <w:szCs w:val="19"/>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46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Prior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Basis</w:t>
            </w:r>
          </w:p>
        </w:tc>
        <w:tc>
          <w:tcPr>
            <w:tcW w:w="120" w:type="dxa"/>
            <w:vAlign w:val="bottom"/>
          </w:tcPr>
          <w:p>
            <w:pPr>
              <w:spacing w:after="0"/>
              <w:rPr>
                <w:sz w:val="20"/>
                <w:szCs w:val="20"/>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Performance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Performing</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24,156</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8,134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7,852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15,191</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2,671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816</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58,820</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59,347</w:t>
            </w:r>
          </w:p>
        </w:tc>
        <w:tc>
          <w:tcPr>
            <w:tcW w:w="0" w:type="dxa"/>
            <w:vAlign w:val="bottom"/>
          </w:tcPr>
          <w:p>
            <w:pPr>
              <w:spacing w:after="0"/>
              <w:rPr>
                <w:sz w:val="1"/>
                <w:szCs w:val="1"/>
                <w:color w:val="auto"/>
              </w:rPr>
            </w:pPr>
          </w:p>
        </w:tc>
      </w:tr>
      <w:tr>
        <w:trPr>
          <w:trHeight w:val="216"/>
        </w:trPr>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Nonperforming</w:t>
            </w: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Consumer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24,248</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8,135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7,872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15,205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2,686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820</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58,966</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59,493</w:t>
            </w: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339</w:t>
            </w:r>
          </w:p>
        </w:tc>
        <w:tc>
          <w:tcPr>
            <w:tcW w:w="36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169</w:t>
            </w:r>
          </w:p>
        </w:tc>
        <w:tc>
          <w:tcPr>
            <w:tcW w:w="3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533"/>
        </w:trPr>
        <w:tc>
          <w:tcPr>
            <w:tcW w:w="2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-3548380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-3531235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-3548380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-3531235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-3548380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-3531235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-3548380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-3531235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-3548380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-3531235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-3548380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-3531235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-3548380</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-3531235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-3548380</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-3531235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-1010920</wp:posOffset>
            </wp:positionV>
            <wp:extent cx="6858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-993775</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-1010920</wp:posOffset>
            </wp:positionV>
            <wp:extent cx="6858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-993775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-1010920</wp:posOffset>
            </wp:positionV>
            <wp:extent cx="685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-993775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-1010920</wp:posOffset>
            </wp:positionV>
            <wp:extent cx="685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-993775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-1010920</wp:posOffset>
            </wp:positionV>
            <wp:extent cx="685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-993775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-1010920</wp:posOffset>
            </wp:positionV>
            <wp:extent cx="685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-993775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-1010920</wp:posOffset>
            </wp:positionV>
            <wp:extent cx="685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-993775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-1010920</wp:posOffset>
            </wp:positionV>
            <wp:extent cx="685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-993775</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collateral-dependent loans grouped by portfolio segment as of September 30, 2026 and December 31, 2025:</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9"/>
        </w:trPr>
        <w:tc>
          <w:tcPr>
            <w:tcW w:w="3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80" w:type="dxa"/>
            <w:vAlign w:val="bottom"/>
          </w:tcPr>
          <w:p>
            <w:pPr>
              <w:spacing w:after="0"/>
              <w:rPr>
                <w:sz w:val="18"/>
                <w:szCs w:val="18"/>
                <w:color w:val="auto"/>
              </w:rPr>
            </w:pPr>
          </w:p>
        </w:tc>
      </w:tr>
      <w:tr>
        <w:trPr>
          <w:trHeight w:val="191"/>
        </w:trPr>
        <w:tc>
          <w:tcPr>
            <w:tcW w:w="3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tcPr>
          <w:p>
            <w:pPr>
              <w:jc w:val="center"/>
              <w:ind w:right="310"/>
              <w:spacing w:after="0" w:line="191" w:lineRule="exact"/>
              <w:rPr>
                <w:sz w:val="20"/>
                <w:szCs w:val="20"/>
                <w:color w:val="auto"/>
              </w:rPr>
            </w:pPr>
            <w:r>
              <w:rPr>
                <w:rFonts w:ascii="Times New Roman" w:cs="Times New Roman" w:eastAsia="Times New Roman" w:hAnsi="Times New Roman"/>
                <w:sz w:val="18"/>
                <w:szCs w:val="18"/>
                <w:color w:val="auto"/>
                <w:w w:val="98"/>
              </w:rPr>
              <w:t>Collateral</w:t>
            </w:r>
          </w:p>
        </w:tc>
        <w:tc>
          <w:tcPr>
            <w:tcW w:w="80" w:type="dxa"/>
            <w:vAlign w:val="bottom"/>
          </w:tcPr>
          <w:p>
            <w:pPr>
              <w:spacing w:after="0"/>
              <w:rPr>
                <w:sz w:val="16"/>
                <w:szCs w:val="16"/>
                <w:color w:val="auto"/>
              </w:rPr>
            </w:pPr>
          </w:p>
        </w:tc>
      </w:tr>
      <w:tr>
        <w:trPr>
          <w:trHeight w:val="234"/>
        </w:trPr>
        <w:tc>
          <w:tcPr>
            <w:tcW w:w="3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Dependent Loans</w:t>
            </w:r>
          </w:p>
        </w:tc>
        <w:tc>
          <w:tcPr>
            <w:tcW w:w="80" w:type="dxa"/>
            <w:vAlign w:val="bottom"/>
          </w:tcPr>
          <w:p>
            <w:pPr>
              <w:spacing w:after="0"/>
              <w:rPr>
                <w:sz w:val="20"/>
                <w:szCs w:val="20"/>
                <w:color w:val="auto"/>
              </w:rPr>
            </w:pPr>
          </w:p>
        </w:tc>
      </w:tr>
      <w:tr>
        <w:trPr>
          <w:trHeight w:val="20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9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8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6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FF0FC"/>
            </w:tcBorders>
          </w:tcPr>
          <w:p>
            <w:pPr>
              <w:spacing w:after="0"/>
              <w:rPr>
                <w:sz w:val="18"/>
                <w:szCs w:val="18"/>
                <w:color w:val="auto"/>
              </w:rPr>
            </w:pPr>
          </w:p>
        </w:tc>
      </w:tr>
      <w:tr>
        <w:trPr>
          <w:trHeight w:val="250"/>
        </w:trPr>
        <w:tc>
          <w:tcPr>
            <w:tcW w:w="34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628"/>
        </w:trPr>
        <w:tc>
          <w:tcPr>
            <w:tcW w:w="3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9"/>
        </w:trPr>
        <w:tc>
          <w:tcPr>
            <w:tcW w:w="3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December 31, 2025</w:t>
            </w:r>
          </w:p>
        </w:tc>
        <w:tc>
          <w:tcPr>
            <w:tcW w:w="80" w:type="dxa"/>
            <w:vAlign w:val="bottom"/>
          </w:tcPr>
          <w:p>
            <w:pPr>
              <w:spacing w:after="0"/>
              <w:rPr>
                <w:sz w:val="18"/>
                <w:szCs w:val="18"/>
                <w:color w:val="auto"/>
              </w:rPr>
            </w:pPr>
          </w:p>
        </w:tc>
      </w:tr>
      <w:tr>
        <w:trPr>
          <w:trHeight w:val="191"/>
        </w:trPr>
        <w:tc>
          <w:tcPr>
            <w:tcW w:w="3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tcPr>
          <w:p>
            <w:pPr>
              <w:jc w:val="center"/>
              <w:ind w:right="310"/>
              <w:spacing w:after="0" w:line="191" w:lineRule="exact"/>
              <w:rPr>
                <w:sz w:val="20"/>
                <w:szCs w:val="20"/>
                <w:color w:val="auto"/>
              </w:rPr>
            </w:pPr>
            <w:r>
              <w:rPr>
                <w:rFonts w:ascii="Times New Roman" w:cs="Times New Roman" w:eastAsia="Times New Roman" w:hAnsi="Times New Roman"/>
                <w:sz w:val="18"/>
                <w:szCs w:val="18"/>
                <w:color w:val="auto"/>
                <w:w w:val="98"/>
              </w:rPr>
              <w:t>Collateral</w:t>
            </w:r>
          </w:p>
        </w:tc>
        <w:tc>
          <w:tcPr>
            <w:tcW w:w="80" w:type="dxa"/>
            <w:vAlign w:val="bottom"/>
          </w:tcPr>
          <w:p>
            <w:pPr>
              <w:spacing w:after="0"/>
              <w:rPr>
                <w:sz w:val="16"/>
                <w:szCs w:val="16"/>
                <w:color w:val="auto"/>
              </w:rPr>
            </w:pPr>
          </w:p>
        </w:tc>
      </w:tr>
      <w:tr>
        <w:trPr>
          <w:trHeight w:val="234"/>
        </w:trPr>
        <w:tc>
          <w:tcPr>
            <w:tcW w:w="3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Dependent Loans</w:t>
            </w:r>
          </w:p>
        </w:tc>
        <w:tc>
          <w:tcPr>
            <w:tcW w:w="80" w:type="dxa"/>
            <w:vAlign w:val="bottom"/>
          </w:tcPr>
          <w:p>
            <w:pPr>
              <w:spacing w:after="0"/>
              <w:rPr>
                <w:sz w:val="20"/>
                <w:szCs w:val="20"/>
                <w:color w:val="auto"/>
              </w:rPr>
            </w:pPr>
          </w:p>
        </w:tc>
      </w:tr>
      <w:tr>
        <w:trPr>
          <w:trHeight w:val="20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9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6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FF0FC"/>
            </w:tcBorders>
          </w:tcPr>
          <w:p>
            <w:pPr>
              <w:spacing w:after="0"/>
              <w:rPr>
                <w:sz w:val="18"/>
                <w:szCs w:val="18"/>
                <w:color w:val="auto"/>
              </w:rPr>
            </w:pPr>
          </w:p>
        </w:tc>
      </w:tr>
      <w:tr>
        <w:trPr>
          <w:trHeight w:val="250"/>
        </w:trPr>
        <w:tc>
          <w:tcPr>
            <w:tcW w:w="34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-1868170</wp:posOffset>
            </wp:positionV>
            <wp:extent cx="431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-1851025</wp:posOffset>
            </wp:positionV>
            <wp:extent cx="431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-2014220</wp:posOffset>
            </wp:positionV>
            <wp:extent cx="431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5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Bank periodically evaluates collateral asset values for collateral dependent loans to determine fair value and to measure any anticipated shortfall.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4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specific reserve portion of the allowance for credit losses (ACL) for collateral dependent loans was $118 thousand and $145 thousand at September 30, 2026 and December 31, 2025, respectively.</w:t>
      </w:r>
    </w:p>
    <w:p>
      <w:pPr>
        <w:spacing w:after="0" w:line="12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Company periodically modifies a loan for a borrower experiencing financial difficulty in an effort to enhance the borrowers' performance on the note. Modification programs focused on payment pattern changes and/or modified maturity dates with most receiving a combination of the two concessions. The modifications normally do not result in the contractual forgiveness of principal. During the three and nine months ended September 30, 2026 and 2025, there were no new loan modifications to borrowers experiencing financial difficulty.</w:t>
      </w:r>
    </w:p>
    <w:p>
      <w:pPr>
        <w:spacing w:after="0" w:line="13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there were no modifications to borrowers experiencing financial difficulty that subsequently defaulted after modification.</w:t>
      </w:r>
    </w:p>
    <w:p>
      <w:pPr>
        <w:spacing w:after="0" w:line="162"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As of September 30, 2026, the Company had no foreclosed residential real estate property obtained by physical possession and $720 thousand of consumer mortgage loans secured by residential real estate properties for which foreclosure proceedings are in process according to local jurisdictions. This compares to the Company having no foreclosed residential real estate property obtained by physical possession and $1.4 million of consumer mortgage loans secured by residential real estate properties for which foreclosure proceeding were in process according to local jurisdictions as of December 31, 2025. As of September 30, 2025, the Company had no foreclosed residential real estate property obtained by physical possession and $944 thousand of consumer mortgage loans secured by residential real estate properties for which foreclosure proceedings were in process according to local jurisdictions.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ACL has a direct impact on the provision expense. An increase in the ACL is funded through recoveries and provision expense.</w:t>
      </w:r>
    </w:p>
    <w:p>
      <w:pPr>
        <w:spacing w:after="0" w:line="22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Company segregates its allowance into two reserves: The ACL and the Allowance for Unfunded Loan Commitments and Letters of Credit (AULC). When combined, these reserves constitute the total ACL as determined using the Current Expected Credit Losses (CECL) methodology.</w:t>
      </w:r>
    </w:p>
    <w:p>
      <w:pPr>
        <w:spacing w:after="0" w:line="176"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allowance does not include an accretable yield of $216 thousand as of December 31, 2025, related to the acquisitions of Perpetual Federal Savings Bank in 2021 and Peoples Federal Savings and Loan Bank in 2022, as previously discussed in Note 2. As of June 30, 2026, the remaining accretable yield was accreted into income, has a zero balance, and no further accretion expense was recognized in the three months ended September 30, 2026.</w:t>
      </w:r>
    </w:p>
    <w:p>
      <w:pPr>
        <w:spacing w:after="0" w:line="153"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AULC is reported within other liabilities while the ACL portion associated with loans is netted within the loans, net asset line on the condensed consolidated balance sheets.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following tables present the activity within the ACL for each portfolio segment and shows the contribution provided by both the recoveries and the provision along with the reduction of the allowance caused by charge-offs for the three and nine months ended September 30, 2026 and September 30, 2025 in addition to the activity within the ACL for each portfolio segment and ending balances as of and for the year ended December 31,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gridSpan w:val="3"/>
          </w:tcPr>
          <w:p>
            <w:pPr>
              <w:jc w:val="right"/>
              <w:ind w:right="200"/>
              <w:spacing w:after="0" w:line="191" w:lineRule="exact"/>
              <w:rPr>
                <w:sz w:val="20"/>
                <w:szCs w:val="20"/>
                <w:color w:val="auto"/>
              </w:rPr>
            </w:pPr>
            <w:r>
              <w:rPr>
                <w:rFonts w:ascii="Times New Roman" w:cs="Times New Roman" w:eastAsia="Times New Roman" w:hAnsi="Times New Roman"/>
                <w:sz w:val="18"/>
                <w:szCs w:val="18"/>
                <w:color w:val="auto"/>
              </w:rPr>
              <w:t>Commerci</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Commercia</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al</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Consumer</w:t>
            </w:r>
          </w:p>
        </w:tc>
        <w:tc>
          <w:tcPr>
            <w:tcW w:w="3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and</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0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080" w:type="dxa"/>
            <w:vAlign w:val="bottom"/>
            <w:tcBorders>
              <w:bottom w:val="single" w:sz="8" w:color="auto"/>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Industrial</w:t>
            </w:r>
          </w:p>
        </w:tc>
        <w:tc>
          <w:tcPr>
            <w:tcW w:w="1060" w:type="dxa"/>
            <w:vAlign w:val="bottom"/>
            <w:tcBorders>
              <w:bottom w:val="single" w:sz="8" w:color="auto"/>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187"/>
        </w:trPr>
        <w:tc>
          <w:tcPr>
            <w:tcW w:w="25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4"/>
        </w:trPr>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CREDIT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15,894</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27,941</w:t>
            </w:r>
          </w:p>
        </w:tc>
        <w:tc>
          <w:tcPr>
            <w:tcW w:w="100" w:type="dxa"/>
            <w:vAlign w:val="bottom"/>
            <w:shd w:val="clear" w:color="auto" w:fill="CFF0FC"/>
          </w:tcPr>
          <w:p>
            <w:pPr>
              <w:spacing w:after="0"/>
              <w:rPr>
                <w:sz w:val="18"/>
                <w:szCs w:val="18"/>
                <w:color w:val="auto"/>
              </w:rPr>
            </w:pPr>
          </w:p>
        </w:tc>
      </w:tr>
      <w:tr>
        <w:trPr>
          <w:trHeight w:val="198"/>
        </w:trPr>
        <w:tc>
          <w:tcPr>
            <w:tcW w:w="2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for (recovery of) credit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 loans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252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auto"/>
            </w:tcBorders>
          </w:tcPr>
          <w:p>
            <w:pPr>
              <w:spacing w:after="0"/>
              <w:rPr>
                <w:sz w:val="18"/>
                <w:szCs w:val="18"/>
                <w:color w:val="auto"/>
              </w:rPr>
            </w:pPr>
          </w:p>
        </w:tc>
      </w:tr>
      <w:tr>
        <w:trPr>
          <w:trHeight w:val="249"/>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15,940</w:t>
            </w:r>
          </w:p>
        </w:tc>
        <w:tc>
          <w:tcPr>
            <w:tcW w:w="120" w:type="dxa"/>
            <w:vAlign w:val="bottom"/>
            <w:tcBorders>
              <w:bottom w:val="single" w:sz="8" w:color="auto"/>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Borders>
              <w:bottom w:val="single" w:sz="8" w:color="auto"/>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27,802</w:t>
            </w:r>
          </w:p>
        </w:tc>
        <w:tc>
          <w:tcPr>
            <w:tcW w:w="100" w:type="dxa"/>
            <w:vAlign w:val="bottom"/>
            <w:tcBorders>
              <w:bottom w:val="single" w:sz="8" w:color="auto"/>
            </w:tcBorders>
            <w:shd w:val="clear" w:color="auto" w:fill="CFF0FC"/>
          </w:tcPr>
          <w:p>
            <w:pPr>
              <w:spacing w:after="0"/>
              <w:rPr>
                <w:sz w:val="21"/>
                <w:szCs w:val="21"/>
                <w:color w:val="auto"/>
              </w:rPr>
            </w:pPr>
          </w:p>
        </w:tc>
      </w:tr>
      <w:tr>
        <w:trPr>
          <w:trHeight w:val="413"/>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gridSpan w:val="3"/>
          </w:tcPr>
          <w:p>
            <w:pPr>
              <w:jc w:val="center"/>
              <w:ind w:right="80"/>
              <w:spacing w:after="0" w:line="191" w:lineRule="exact"/>
              <w:rPr>
                <w:sz w:val="20"/>
                <w:szCs w:val="20"/>
                <w:color w:val="auto"/>
              </w:rPr>
            </w:pPr>
            <w:r>
              <w:rPr>
                <w:rFonts w:ascii="Times New Roman" w:cs="Times New Roman" w:eastAsia="Times New Roman" w:hAnsi="Times New Roman"/>
                <w:sz w:val="18"/>
                <w:szCs w:val="18"/>
                <w:color w:val="auto"/>
                <w:w w:val="99"/>
              </w:rPr>
              <w:t>Commerci</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Commercia</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al</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Consumer</w:t>
            </w:r>
          </w:p>
        </w:tc>
        <w:tc>
          <w:tcPr>
            <w:tcW w:w="3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and</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08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Industrial</w:t>
            </w:r>
          </w:p>
        </w:tc>
        <w:tc>
          <w:tcPr>
            <w:tcW w:w="106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187"/>
        </w:trPr>
        <w:tc>
          <w:tcPr>
            <w:tcW w:w="25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10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30, 2026</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4"/>
        </w:trPr>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CREDIT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27,688</w:t>
            </w:r>
          </w:p>
        </w:tc>
        <w:tc>
          <w:tcPr>
            <w:tcW w:w="100" w:type="dxa"/>
            <w:vAlign w:val="bottom"/>
            <w:shd w:val="clear" w:color="auto" w:fill="CFF0FC"/>
          </w:tcPr>
          <w:p>
            <w:pPr>
              <w:spacing w:after="0"/>
              <w:rPr>
                <w:sz w:val="18"/>
                <w:szCs w:val="18"/>
                <w:color w:val="auto"/>
              </w:rPr>
            </w:pPr>
          </w:p>
        </w:tc>
      </w:tr>
      <w:tr>
        <w:trPr>
          <w:trHeight w:val="198"/>
        </w:trPr>
        <w:tc>
          <w:tcPr>
            <w:tcW w:w="2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for (recovery of) credit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 loans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(1,495)</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shd w:val="clear" w:color="auto" w:fill="CFF0FC"/>
          </w:tcPr>
          <w:p>
            <w:pPr>
              <w:spacing w:after="0"/>
              <w:rPr>
                <w:sz w:val="18"/>
                <w:szCs w:val="18"/>
                <w:color w:val="auto"/>
              </w:rPr>
            </w:pPr>
          </w:p>
        </w:tc>
        <w:tc>
          <w:tcPr>
            <w:tcW w:w="7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(459)</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r>
      <w:tr>
        <w:trPr>
          <w:trHeight w:val="216"/>
        </w:trPr>
        <w:tc>
          <w:tcPr>
            <w:tcW w:w="252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bottom w:val="single" w:sz="8" w:color="CFF0FC"/>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Borders>
              <w:bottom w:val="single" w:sz="8" w:color="CFF0FC"/>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FF0FC"/>
            </w:tcBorders>
          </w:tcPr>
          <w:p>
            <w:pPr>
              <w:spacing w:after="0"/>
              <w:rPr>
                <w:sz w:val="18"/>
                <w:szCs w:val="18"/>
                <w:color w:val="auto"/>
              </w:rPr>
            </w:pPr>
          </w:p>
        </w:tc>
      </w:tr>
      <w:tr>
        <w:trPr>
          <w:trHeight w:val="249"/>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15,940</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21"/>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-865505</wp:posOffset>
            </wp:positionV>
            <wp:extent cx="7747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-848360</wp:posOffset>
            </wp:positionV>
            <wp:extent cx="7747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-1010920</wp:posOffset>
            </wp:positionV>
            <wp:extent cx="774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-865505</wp:posOffset>
            </wp:positionV>
            <wp:extent cx="7747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-848360</wp:posOffset>
            </wp:positionV>
            <wp:extent cx="7747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-1010920</wp:posOffset>
            </wp:positionV>
            <wp:extent cx="7747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-865505</wp:posOffset>
            </wp:positionV>
            <wp:extent cx="7683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-848360</wp:posOffset>
            </wp:positionV>
            <wp:extent cx="7683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-1010920</wp:posOffset>
            </wp:positionV>
            <wp:extent cx="768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-865505</wp:posOffset>
            </wp:positionV>
            <wp:extent cx="6858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-848360</wp:posOffset>
            </wp:positionV>
            <wp:extent cx="6858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-1010920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-865505</wp:posOffset>
            </wp:positionV>
            <wp:extent cx="685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-848360</wp:posOffset>
            </wp:positionV>
            <wp:extent cx="6858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-1010920</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-865505</wp:posOffset>
            </wp:positionV>
            <wp:extent cx="6858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-848360</wp:posOffset>
            </wp:positionV>
            <wp:extent cx="6858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-1010920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-865505</wp:posOffset>
            </wp:positionV>
            <wp:extent cx="6858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-848360</wp:posOffset>
            </wp:positionV>
            <wp:extent cx="685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-1010920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84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gridSpan w:val="3"/>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w w:val="99"/>
              </w:rPr>
              <w:t>Commerci</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Commercia</w:t>
            </w: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al</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Consumer</w:t>
            </w:r>
          </w:p>
        </w:tc>
        <w:tc>
          <w:tcPr>
            <w:tcW w:w="3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w:t>
            </w: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0"/>
                <w:szCs w:val="20"/>
                <w:color w:val="auto"/>
              </w:rPr>
            </w:pP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l</w:t>
            </w:r>
          </w:p>
        </w:tc>
        <w:tc>
          <w:tcPr>
            <w:tcW w:w="14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0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Industrial</w:t>
            </w:r>
          </w:p>
        </w:tc>
        <w:tc>
          <w:tcPr>
            <w:tcW w:w="108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187"/>
        </w:trPr>
        <w:tc>
          <w:tcPr>
            <w:tcW w:w="25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4"/>
        </w:trPr>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CREDIT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17,354</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2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26,977</w:t>
            </w:r>
          </w:p>
        </w:tc>
        <w:tc>
          <w:tcPr>
            <w:tcW w:w="100" w:type="dxa"/>
            <w:vAlign w:val="bottom"/>
            <w:shd w:val="clear" w:color="auto" w:fill="CFF0FC"/>
          </w:tcPr>
          <w:p>
            <w:pPr>
              <w:spacing w:after="0"/>
              <w:rPr>
                <w:sz w:val="18"/>
                <w:szCs w:val="18"/>
                <w:color w:val="auto"/>
              </w:rPr>
            </w:pPr>
          </w:p>
        </w:tc>
      </w:tr>
      <w:tr>
        <w:trPr>
          <w:trHeight w:val="198"/>
        </w:trPr>
        <w:tc>
          <w:tcPr>
            <w:tcW w:w="2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for (recovery of) credit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 loans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(455)</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FF0FC"/>
          </w:tcPr>
          <w:p>
            <w:pPr>
              <w:spacing w:after="0"/>
              <w:rPr>
                <w:sz w:val="18"/>
                <w:szCs w:val="18"/>
                <w:color w:val="auto"/>
              </w:rPr>
            </w:pPr>
          </w:p>
        </w:tc>
        <w:tc>
          <w:tcPr>
            <w:tcW w:w="68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252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FF0FC"/>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FF0FC"/>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FF0FC"/>
            </w:tcBorders>
          </w:tcPr>
          <w:p>
            <w:pPr>
              <w:spacing w:after="0"/>
              <w:rPr>
                <w:sz w:val="18"/>
                <w:szCs w:val="18"/>
                <w:color w:val="auto"/>
              </w:rPr>
            </w:pPr>
          </w:p>
        </w:tc>
      </w:tr>
      <w:tr>
        <w:trPr>
          <w:trHeight w:val="250"/>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gridSpan w:val="3"/>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w w:val="99"/>
              </w:rPr>
              <w:t>Commerci</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Commercia</w:t>
            </w: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al</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Consumer</w:t>
            </w:r>
          </w:p>
        </w:tc>
        <w:tc>
          <w:tcPr>
            <w:tcW w:w="3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w:t>
            </w: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0"/>
                <w:szCs w:val="20"/>
                <w:color w:val="auto"/>
              </w:rPr>
            </w:pP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l</w:t>
            </w:r>
          </w:p>
        </w:tc>
        <w:tc>
          <w:tcPr>
            <w:tcW w:w="14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0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Industrial</w:t>
            </w:r>
          </w:p>
        </w:tc>
        <w:tc>
          <w:tcPr>
            <w:tcW w:w="108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187"/>
        </w:trPr>
        <w:tc>
          <w:tcPr>
            <w:tcW w:w="25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10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4"/>
        </w:trPr>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CREDIT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100" w:type="dxa"/>
            <w:vAlign w:val="bottom"/>
            <w:shd w:val="clear" w:color="auto" w:fill="CFF0FC"/>
          </w:tcPr>
          <w:p>
            <w:pPr>
              <w:spacing w:after="0"/>
              <w:rPr>
                <w:sz w:val="18"/>
                <w:szCs w:val="18"/>
                <w:color w:val="auto"/>
              </w:rPr>
            </w:pPr>
          </w:p>
        </w:tc>
      </w:tr>
      <w:tr>
        <w:trPr>
          <w:trHeight w:val="198"/>
        </w:trPr>
        <w:tc>
          <w:tcPr>
            <w:tcW w:w="2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for (recovery of) credit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 loans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shd w:val="clear" w:color="auto" w:fill="CFF0FC"/>
          </w:tcPr>
          <w:p>
            <w:pPr>
              <w:spacing w:after="0"/>
              <w:rPr>
                <w:sz w:val="18"/>
                <w:szCs w:val="18"/>
                <w:color w:val="auto"/>
              </w:rPr>
            </w:pPr>
          </w:p>
        </w:tc>
        <w:tc>
          <w:tcPr>
            <w:tcW w:w="68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(561)</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252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FF0FC"/>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FF0FC"/>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Borders>
              <w:bottom w:val="single" w:sz="8" w:color="CFF0FC"/>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FF0FC"/>
            </w:tcBorders>
          </w:tcPr>
          <w:p>
            <w:pPr>
              <w:spacing w:after="0"/>
              <w:rPr>
                <w:sz w:val="18"/>
                <w:szCs w:val="18"/>
                <w:color w:val="auto"/>
              </w:rPr>
            </w:pPr>
          </w:p>
        </w:tc>
      </w:tr>
      <w:tr>
        <w:trPr>
          <w:trHeight w:val="250"/>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gridSpan w:val="3"/>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w w:val="99"/>
              </w:rPr>
              <w:t>Commerci</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Commercia</w:t>
            </w: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al</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Consumer</w:t>
            </w:r>
          </w:p>
        </w:tc>
        <w:tc>
          <w:tcPr>
            <w:tcW w:w="3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w:t>
            </w: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0"/>
                <w:szCs w:val="20"/>
                <w:color w:val="auto"/>
              </w:rPr>
            </w:pP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l</w:t>
            </w:r>
          </w:p>
        </w:tc>
        <w:tc>
          <w:tcPr>
            <w:tcW w:w="14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0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Industrial</w:t>
            </w:r>
          </w:p>
        </w:tc>
        <w:tc>
          <w:tcPr>
            <w:tcW w:w="108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4"/>
        </w:trPr>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CREDIT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100" w:type="dxa"/>
            <w:vAlign w:val="bottom"/>
            <w:shd w:val="clear" w:color="auto" w:fill="CFF0FC"/>
          </w:tcPr>
          <w:p>
            <w:pPr>
              <w:spacing w:after="0"/>
              <w:rPr>
                <w:sz w:val="18"/>
                <w:szCs w:val="18"/>
                <w:color w:val="auto"/>
              </w:rPr>
            </w:pPr>
          </w:p>
        </w:tc>
      </w:tr>
      <w:tr>
        <w:trPr>
          <w:trHeight w:val="198"/>
        </w:trPr>
        <w:tc>
          <w:tcPr>
            <w:tcW w:w="2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for (recovery of) credit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 loans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400" w:type="dxa"/>
            <w:vAlign w:val="bottom"/>
            <w:shd w:val="clear" w:color="auto" w:fill="CFF0FC"/>
          </w:tcPr>
          <w:p>
            <w:pPr>
              <w:spacing w:after="0"/>
              <w:rPr>
                <w:sz w:val="18"/>
                <w:szCs w:val="18"/>
                <w:color w:val="auto"/>
              </w:rPr>
            </w:pPr>
          </w:p>
        </w:tc>
        <w:tc>
          <w:tcPr>
            <w:tcW w:w="68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(758)</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(1,028)</w:t>
            </w:r>
          </w:p>
        </w:tc>
      </w:tr>
      <w:tr>
        <w:trPr>
          <w:trHeight w:val="216"/>
        </w:trPr>
        <w:tc>
          <w:tcPr>
            <w:tcW w:w="252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FF0FC"/>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FF0FC"/>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Borders>
              <w:bottom w:val="single" w:sz="8" w:color="CFF0FC"/>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FF0FC"/>
            </w:tcBorders>
          </w:tcPr>
          <w:p>
            <w:pPr>
              <w:spacing w:after="0"/>
              <w:rPr>
                <w:sz w:val="18"/>
                <w:szCs w:val="18"/>
                <w:color w:val="auto"/>
              </w:rPr>
            </w:pPr>
          </w:p>
        </w:tc>
      </w:tr>
      <w:tr>
        <w:trPr>
          <w:trHeight w:val="249"/>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21"/>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-5219700</wp:posOffset>
            </wp:positionV>
            <wp:extent cx="7747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-5202555</wp:posOffset>
            </wp:positionV>
            <wp:extent cx="7747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-5365750</wp:posOffset>
            </wp:positionV>
            <wp:extent cx="7747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-5219700</wp:posOffset>
            </wp:positionV>
            <wp:extent cx="7747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-5202555</wp:posOffset>
            </wp:positionV>
            <wp:extent cx="7747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-5365750</wp:posOffset>
            </wp:positionV>
            <wp:extent cx="7747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-5219700</wp:posOffset>
            </wp:positionV>
            <wp:extent cx="7683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-5202555</wp:posOffset>
            </wp:positionV>
            <wp:extent cx="7683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-5365750</wp:posOffset>
            </wp:positionV>
            <wp:extent cx="7683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-5219700</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-5202555</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-5365750</wp:posOffset>
            </wp:positionV>
            <wp:extent cx="685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-5219700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-5202555</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-5365750</wp:posOffset>
            </wp:positionV>
            <wp:extent cx="685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-5219700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-5202555</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-5365750</wp:posOffset>
            </wp:positionV>
            <wp:extent cx="6858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-5219700</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-5202555</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-5365750</wp:posOffset>
            </wp:positionV>
            <wp:extent cx="6858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-5219700</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-5202555</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-5365750</wp:posOffset>
            </wp:positionV>
            <wp:extent cx="6858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-2973705</wp:posOffset>
            </wp:positionV>
            <wp:extent cx="7747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-2956560</wp:posOffset>
            </wp:positionV>
            <wp:extent cx="7747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-3119755</wp:posOffset>
            </wp:positionV>
            <wp:extent cx="7747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-2973705</wp:posOffset>
            </wp:positionV>
            <wp:extent cx="7747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-2956560</wp:posOffset>
            </wp:positionV>
            <wp:extent cx="7747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-3119755</wp:posOffset>
            </wp:positionV>
            <wp:extent cx="7747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-2973705</wp:posOffset>
            </wp:positionV>
            <wp:extent cx="7683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-2956560</wp:posOffset>
            </wp:positionV>
            <wp:extent cx="7683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-3119755</wp:posOffset>
            </wp:positionV>
            <wp:extent cx="7683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-2973705</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-2956560</wp:posOffset>
            </wp:positionV>
            <wp:extent cx="6858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-3119755</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-2973705</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-2956560</wp:posOffset>
            </wp:positionV>
            <wp:extent cx="6858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-3119755</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-2973705</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-2956560</wp:posOffset>
            </wp:positionV>
            <wp:extent cx="685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-3119755</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-2973705</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-2956560</wp:posOffset>
            </wp:positionV>
            <wp:extent cx="6858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-3119755</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-865505</wp:posOffset>
            </wp:positionV>
            <wp:extent cx="7747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-847725</wp:posOffset>
            </wp:positionV>
            <wp:extent cx="7747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-1010920</wp:posOffset>
            </wp:positionV>
            <wp:extent cx="7747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-865505</wp:posOffset>
            </wp:positionV>
            <wp:extent cx="7747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-847725</wp:posOffset>
            </wp:positionV>
            <wp:extent cx="7747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-1010920</wp:posOffset>
            </wp:positionV>
            <wp:extent cx="7747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-865505</wp:posOffset>
            </wp:positionV>
            <wp:extent cx="7683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-847725</wp:posOffset>
            </wp:positionV>
            <wp:extent cx="7683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-1010920</wp:posOffset>
            </wp:positionV>
            <wp:extent cx="7683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-865505</wp:posOffset>
            </wp:positionV>
            <wp:extent cx="6858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-847725</wp:posOffset>
            </wp:positionV>
            <wp:extent cx="6858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-1010920</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-865505</wp:posOffset>
            </wp:positionV>
            <wp:extent cx="6858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-847725</wp:posOffset>
            </wp:positionV>
            <wp:extent cx="6858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-1010920</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-865505</wp:posOffset>
            </wp:positionV>
            <wp:extent cx="6858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-847725</wp:posOffset>
            </wp:positionV>
            <wp:extent cx="6858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-1010920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-865505</wp:posOffset>
            </wp:positionV>
            <wp:extent cx="6858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-847725</wp:posOffset>
            </wp:positionV>
            <wp:extent cx="6858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-1010920</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activity in the AULC for the three and nine months ended September 30, 2026 and September 30, 2025 in addition to the activity in the AULC and ending balances as of and for the year ended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191"/>
        </w:trPr>
        <w:tc>
          <w:tcPr>
            <w:tcW w:w="114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Unfunded</w:t>
            </w:r>
          </w:p>
        </w:tc>
        <w:tc>
          <w:tcPr>
            <w:tcW w:w="120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Loan</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Commitment</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&amp; Letters of</w:t>
            </w:r>
          </w:p>
        </w:tc>
      </w:t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Credit</w:t>
            </w:r>
          </w:p>
        </w:tc>
      </w:tr>
      <w:tr>
        <w:trPr>
          <w:trHeight w:val="210"/>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9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credit losses - off balance sheet credit exposures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413"/>
        </w:trPr>
        <w:tc>
          <w:tcPr>
            <w:tcW w:w="11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191"/>
        </w:trPr>
        <w:tc>
          <w:tcPr>
            <w:tcW w:w="114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Unfunded</w:t>
            </w:r>
          </w:p>
        </w:tc>
        <w:tc>
          <w:tcPr>
            <w:tcW w:w="120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Loan</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Commitment</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&amp; Letters of</w:t>
            </w:r>
          </w:p>
        </w:tc>
      </w:t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Credit</w:t>
            </w:r>
          </w:p>
        </w:tc>
      </w:tr>
      <w:tr>
        <w:trPr>
          <w:trHeight w:val="210"/>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9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credit losses - off balance sheet credit exposures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521"/>
        </w:trPr>
        <w:tc>
          <w:tcPr>
            <w:tcW w:w="790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-2973705</wp:posOffset>
            </wp:positionV>
            <wp:extent cx="5143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-2956560</wp:posOffset>
            </wp:positionV>
            <wp:extent cx="5143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-3119755</wp:posOffset>
            </wp:positionV>
            <wp:extent cx="5143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-864870</wp:posOffset>
            </wp:positionV>
            <wp:extent cx="5143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-847725</wp:posOffset>
            </wp:positionV>
            <wp:extent cx="5143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-1010920</wp:posOffset>
            </wp:positionV>
            <wp:extent cx="5143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191"/>
        </w:trPr>
        <w:tc>
          <w:tcPr>
            <w:tcW w:w="114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Unfunded</w:t>
            </w:r>
          </w:p>
        </w:tc>
        <w:tc>
          <w:tcPr>
            <w:tcW w:w="120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Loan</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Commitment</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&amp; Letters of</w:t>
            </w:r>
          </w:p>
        </w:tc>
      </w:t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Credit</w:t>
            </w:r>
          </w:p>
        </w:tc>
      </w:tr>
      <w:tr>
        <w:trPr>
          <w:trHeight w:val="209"/>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9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Recovery of credit losses - off balance sheet credit exposures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413"/>
        </w:trPr>
        <w:tc>
          <w:tcPr>
            <w:tcW w:w="11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191"/>
        </w:trPr>
        <w:tc>
          <w:tcPr>
            <w:tcW w:w="114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Unfunded</w:t>
            </w:r>
          </w:p>
        </w:tc>
        <w:tc>
          <w:tcPr>
            <w:tcW w:w="120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Loan</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Commitment</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&amp; Letters of</w:t>
            </w:r>
          </w:p>
        </w:tc>
      </w:t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Credit</w:t>
            </w:r>
          </w:p>
        </w:tc>
      </w:tr>
      <w:tr>
        <w:trPr>
          <w:trHeight w:val="209"/>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9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Recovery of credit losses-off balance sheet credit exposures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521"/>
        </w:trPr>
        <w:tc>
          <w:tcPr>
            <w:tcW w:w="790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-2973705</wp:posOffset>
            </wp:positionV>
            <wp:extent cx="5143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-2957195</wp:posOffset>
            </wp:positionV>
            <wp:extent cx="5143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-3119755</wp:posOffset>
            </wp:positionV>
            <wp:extent cx="5143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-865505</wp:posOffset>
            </wp:positionV>
            <wp:extent cx="5143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-848360</wp:posOffset>
            </wp:positionV>
            <wp:extent cx="5143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-1010920</wp:posOffset>
            </wp:positionV>
            <wp:extent cx="5143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191"/>
        </w:trPr>
        <w:tc>
          <w:tcPr>
            <w:tcW w:w="114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Unfunded</w:t>
            </w:r>
          </w:p>
        </w:tc>
        <w:tc>
          <w:tcPr>
            <w:tcW w:w="120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Loan</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Commitment</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&amp; Letters of</w:t>
            </w:r>
          </w:p>
        </w:tc>
      </w:t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Credit</w:t>
            </w:r>
          </w:p>
        </w:tc>
      </w:tr>
      <w:tr>
        <w:trPr>
          <w:trHeight w:val="209"/>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9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Recovery of credit losses-off balance sheet credit exposures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521"/>
        </w:trPr>
        <w:tc>
          <w:tcPr>
            <w:tcW w:w="790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-864870</wp:posOffset>
            </wp:positionV>
            <wp:extent cx="5143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-848360</wp:posOffset>
            </wp:positionV>
            <wp:extent cx="5143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-1010920</wp:posOffset>
            </wp:positionV>
            <wp:extent cx="5143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5 SERVICING</w:t>
      </w:r>
    </w:p>
    <w:p>
      <w:pPr>
        <w:spacing w:after="0" w:line="18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Loans serviced for others are not included in the accompanying Company's consolidated balance sheets. The unpaid principal balances of 1-4 family real estate loans serviced for others were $370.0, $362.8 and $362.6 million at September 30, 2026 and 2025 and at December 31, 2025, respectively. Unpaid principal balances of agricultural real estate loans serviced for others were $173.1, $152.3 and $153.4 million at September 30, 2026 and 2025 and at December 31, 2025, respectively.</w:t>
      </w:r>
    </w:p>
    <w:p>
      <w:pPr>
        <w:spacing w:after="0" w:line="15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balance of capitalized servicing rights included in assets at September 30, 2026 and 2025 and at December 31, 2025 for 1-4 family real estate loans, was $3.9, $3.6 and $3.6 million, respectively. Agricultural real estate loan servicing rights were $2.5, $2.4 and $2.4 million at September 30, 2026 and 2025 and at December 31, 2025, respectively. The capitalized addition of servicing rights is included in loan servicing income on the Company's consolidated statement of income.</w:t>
      </w:r>
    </w:p>
    <w:p>
      <w:pPr>
        <w:spacing w:after="0" w:line="139" w:lineRule="exact"/>
        <w:rPr>
          <w:sz w:val="20"/>
          <w:szCs w:val="20"/>
          <w:color w:val="auto"/>
        </w:rPr>
      </w:pPr>
    </w:p>
    <w:p>
      <w:pPr>
        <w:jc w:val="both"/>
        <w:ind w:left="760"/>
        <w:spacing w:after="0" w:line="252" w:lineRule="auto"/>
        <w:rPr>
          <w:sz w:val="20"/>
          <w:szCs w:val="20"/>
          <w:color w:val="auto"/>
        </w:rPr>
      </w:pPr>
      <w:r>
        <w:rPr>
          <w:rFonts w:ascii="Times New Roman" w:cs="Times New Roman" w:eastAsia="Times New Roman" w:hAnsi="Times New Roman"/>
          <w:sz w:val="18"/>
          <w:szCs w:val="18"/>
          <w:color w:val="auto"/>
        </w:rPr>
        <w:t>The fair value of the capitalized servicing rights for 1-4 family real estate loans as of September 30, 2026 and 2025 was $4.1 million and $4.7 million, respectively, and at December 31, 2025 was $4.5 million. Capitalized servicing rights for agricultural real estate loans had a fair value of $1.1 million and $2.0 million as of September 30, 2026 and 2025, respectively, and was $1.5 million at December 31, 2025. The valuations were completed by stratifying the loans into like groups based on loan type and term. Impairment was measured by estimating the fair value of each stratum, taking into consideration an estimated level of prepayment based upon current market conditions. An average constant prepayment rate for 1-4 family real estate loans of 11.0% and 8.7% were utilized at September 30, 2026 and 2025, respectively, and 9.8% at December 31, 2025. Agricultural real estate loans utilize an average constant prepayment rate based on the Bank's last twelve months of data. The average constant prepayment rate was 1.761% and 0.715% for fixed rate agricultural real estate loans at September 30, 2026 and 2025, respectively, compared to 1.054% at December 31, 2025. At September 30, 2026, the fair value of three 1-4 family real estate strata, which included 1,003 of the total 3,578 loans, was slightly below the carrying value using a discount yield of 6.47% which resulted in an impairment expense of $5 thousand, bringing the valuation allowance to $10 thousand. At September 30, 2026, the carrying value of all fourteen agricultural real estate strata, which included 677 loans, using an approximate discount rate of 8.20% were higher than the fair value requiring an impairment expense of $145 thousand, bringing the valuation allowance to $1.4 million. At September 30, 2025, the fair value of two 1-4 family real estate strata, which included 73 of the total 3,620 loans, was slightly below the carrying value using a discount yield of 5.43% which resulted in the need to establish a $5 thousand valuation allowance. At September 30, 2025, the carrying value of all fourteen agricultural real estate strata, which included 652 loans, using an approximate discount rate of 8.16% were higher than the fair value requiring a $454 thousand valuation allowance to be established.</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the activity in the mortgage servicing rights for the three and nine months ended September 30, 2026 and 2025.</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Nine Months Ended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120" w:type="dxa"/>
            <w:vAlign w:val="bottom"/>
            <w:gridSpan w:val="3"/>
          </w:tcPr>
          <w:p>
            <w:pPr>
              <w:jc w:val="right"/>
              <w:ind w:right="300"/>
              <w:spacing w:after="0" w:line="191" w:lineRule="exact"/>
              <w:rPr>
                <w:sz w:val="20"/>
                <w:szCs w:val="20"/>
                <w:color w:val="auto"/>
              </w:rPr>
            </w:pPr>
            <w:r>
              <w:rPr>
                <w:rFonts w:ascii="Times New Roman" w:cs="Times New Roman" w:eastAsia="Times New Roman" w:hAnsi="Times New Roman"/>
                <w:sz w:val="18"/>
                <w:szCs w:val="18"/>
                <w:color w:val="auto"/>
              </w:rPr>
              <w:t>September</w:t>
            </w:r>
          </w:p>
        </w:tc>
        <w:tc>
          <w:tcPr>
            <w:tcW w:w="940" w:type="dxa"/>
            <w:vAlign w:val="bottom"/>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September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300"/>
              <w:spacing w:after="0" w:line="191" w:lineRule="exact"/>
              <w:rPr>
                <w:sz w:val="20"/>
                <w:szCs w:val="20"/>
                <w:color w:val="auto"/>
              </w:rPr>
            </w:pPr>
            <w:r>
              <w:rPr>
                <w:rFonts w:ascii="Times New Roman" w:cs="Times New Roman" w:eastAsia="Times New Roman" w:hAnsi="Times New Roman"/>
                <w:sz w:val="18"/>
                <w:szCs w:val="18"/>
                <w:color w:val="auto"/>
              </w:rPr>
              <w:t>September</w:t>
            </w:r>
          </w:p>
        </w:tc>
        <w:tc>
          <w:tcPr>
            <w:tcW w:w="960" w:type="dxa"/>
            <w:vAlign w:val="bottom"/>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September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30, 2026</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30, 2025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30, 2026</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30, 2025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Additions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 September 30,</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(1,429)</w:t>
            </w: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(1,429)</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Servicing Rights net, September 30,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-453390</wp:posOffset>
            </wp:positionV>
            <wp:extent cx="5143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-453390</wp:posOffset>
            </wp:positionV>
            <wp:extent cx="5143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-453390</wp:posOffset>
            </wp:positionV>
            <wp:extent cx="5143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-453390</wp:posOffset>
            </wp:positionV>
            <wp:extent cx="5143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-170815</wp:posOffset>
            </wp:positionV>
            <wp:extent cx="5143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-170815</wp:posOffset>
            </wp:positionV>
            <wp:extent cx="5143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5143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6 EARNINGS PER SHARE</w:t>
      </w:r>
    </w:p>
    <w:p>
      <w:pPr>
        <w:spacing w:after="0" w:line="198"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Compensation Committee of the Company has determined that it is appropriate to award shares of the common stock of the Company to Directors, whether outside or also an officer of the Company or the Bank, as a portion of their retainer for services rendered. The Committee believes that it is appropriate to award the Directors shares equal to a specific dollar amount, rounded to the nearest whole share on an annual basis commencing in June of 2020 and thereafter on the first Thursday of June. Directors receive a prorated dollar value of shares for a partial year of service. The value for the shares is to be based upon the prior day closing price. On June 4, 2026, ten directors each received $17,505 which equated to 645 shares and one Director received $12,620 which equated to 465 shares. On September 25, 2026, one new Director received 133 prorated shares worth $4,659. On June 5, 2025, ten directors each received $17,496 which equated to 762 shares and one Director received $6,704</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firstLine="45"/>
        <w:spacing w:after="0" w:line="261" w:lineRule="auto"/>
        <w:rPr>
          <w:sz w:val="20"/>
          <w:szCs w:val="20"/>
          <w:color w:val="auto"/>
        </w:rPr>
      </w:pPr>
      <w:r>
        <w:rPr>
          <w:rFonts w:ascii="Times New Roman" w:cs="Times New Roman" w:eastAsia="Times New Roman" w:hAnsi="Times New Roman"/>
          <w:sz w:val="18"/>
          <w:szCs w:val="18"/>
          <w:color w:val="auto"/>
        </w:rPr>
        <w:t>which equated to 292 shares. On July 29, 2025, one new Director received 288 prorated shares worth approximately $7,436. Starting in the third quarter of 2026, Directors will be paid their retainers quarterly and may choose to receive their payment in cash, stock or a combination of both. On September 18, 2026, the Company issued 1,755 shares valued at $62,601, as payment for third quarter Director retainers. The use of stock for Directors’ retainer, does not have an effect on diluted earnings per share as it is immediately vested.</w:t>
      </w:r>
    </w:p>
    <w:p>
      <w:pPr>
        <w:spacing w:after="0" w:line="15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Any stock awards to senior management are made in March with other officers receiving any awards in August. On March 2, 2026, senior management received stock awards of 23,479 shares worth $607,167. During second quarter 2026, officers received stock awards of 5,813 shares worth $158,477. During third quarter 2026, officers received stock awards of 35,045 shares worth just over $1.2 million. On March 1, 2025, senior management received stock awards of 19,767 shares worth $508,012 while other officers received stock awards of 39,525 shares worth slightly more than $1 million in August of 2025.</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table below presents basic and diluted earnings per share for the three and nine months ended September 30, 2026 and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18"/>
                <w:szCs w:val="18"/>
                <w:color w:val="auto"/>
              </w:rPr>
            </w:pPr>
          </w:p>
        </w:tc>
        <w:tc>
          <w:tcPr>
            <w:tcW w:w="236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color w:val="auto"/>
              </w:rPr>
              <w:t>Nine Months Ended</w:t>
            </w:r>
          </w:p>
        </w:tc>
        <w:tc>
          <w:tcPr>
            <w:tcW w:w="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Borders>
              <w:top w:val="single" w:sz="8" w:color="auto"/>
            </w:tcBorders>
            <w:gridSpan w:val="3"/>
          </w:tcPr>
          <w:p>
            <w:pPr>
              <w:jc w:val="right"/>
              <w:ind w:right="20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340" w:type="dxa"/>
            <w:vAlign w:val="bottom"/>
          </w:tcPr>
          <w:p>
            <w:pPr>
              <w:spacing w:after="0"/>
              <w:rPr>
                <w:sz w:val="16"/>
                <w:szCs w:val="16"/>
                <w:color w:val="auto"/>
              </w:rPr>
            </w:pPr>
          </w:p>
        </w:tc>
        <w:tc>
          <w:tcPr>
            <w:tcW w:w="1280" w:type="dxa"/>
            <w:vAlign w:val="bottom"/>
            <w:tcBorders>
              <w:top w:val="single" w:sz="8" w:color="auto"/>
            </w:tcBorders>
            <w:gridSpan w:val="3"/>
          </w:tcPr>
          <w:p>
            <w:pPr>
              <w:jc w:val="right"/>
              <w:ind w:right="20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6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080" w:type="dxa"/>
            <w:vAlign w:val="bottom"/>
            <w:shd w:val="clear" w:color="auto" w:fill="CFF0FC"/>
          </w:tcPr>
          <w:p>
            <w:pPr>
              <w:ind w:left="14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11,538</w:t>
            </w:r>
          </w:p>
        </w:tc>
        <w:tc>
          <w:tcPr>
            <w:tcW w:w="100" w:type="dxa"/>
            <w:vAlign w:val="bottom"/>
          </w:tcPr>
          <w:p>
            <w:pPr>
              <w:spacing w:after="0"/>
              <w:rPr>
                <w:sz w:val="18"/>
                <w:szCs w:val="18"/>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340" w:type="dxa"/>
            <w:vAlign w:val="bottom"/>
          </w:tcPr>
          <w:p>
            <w:pPr>
              <w:spacing w:after="0"/>
              <w:rPr>
                <w:sz w:val="18"/>
                <w:szCs w:val="18"/>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32,913</w:t>
            </w:r>
          </w:p>
        </w:tc>
        <w:tc>
          <w:tcPr>
            <w:tcW w:w="10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Less: distributed earnings allocated to participating</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FF0FC"/>
          </w:tcPr>
          <w:p>
            <w:pPr>
              <w:spacing w:after="0"/>
              <w:rPr>
                <w:sz w:val="17"/>
                <w:szCs w:val="17"/>
                <w:color w:val="auto"/>
              </w:rPr>
            </w:pP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580" w:type="dxa"/>
            <w:vAlign w:val="bottom"/>
          </w:tcPr>
          <w:p>
            <w:pPr>
              <w:spacing w:after="0"/>
              <w:rPr>
                <w:sz w:val="10"/>
                <w:szCs w:val="10"/>
                <w:color w:val="auto"/>
              </w:rPr>
            </w:pPr>
          </w:p>
        </w:tc>
        <w:tc>
          <w:tcPr>
            <w:tcW w:w="408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300" w:type="dxa"/>
            <w:vAlign w:val="bottom"/>
            <w:gridSpan w:val="2"/>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80" w:type="dxa"/>
            <w:vAlign w:val="bottom"/>
            <w:gridSpan w:val="2"/>
            <w:vMerge w:val="continue"/>
            <w:shd w:val="clear" w:color="auto" w:fill="CFF0FC"/>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080" w:type="dxa"/>
            <w:vAlign w:val="bottom"/>
            <w:vMerge w:val="continue"/>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undistributed earnings allocated to</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7"/>
                <w:szCs w:val="17"/>
                <w:color w:val="auto"/>
              </w:rPr>
            </w:pPr>
          </w:p>
        </w:tc>
        <w:tc>
          <w:tcPr>
            <w:tcW w:w="10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580" w:type="dxa"/>
            <w:vAlign w:val="bottom"/>
          </w:tcPr>
          <w:p>
            <w:pPr>
              <w:spacing w:after="0"/>
              <w:rPr>
                <w:sz w:val="9"/>
                <w:szCs w:val="9"/>
                <w:color w:val="auto"/>
              </w:rPr>
            </w:pPr>
          </w:p>
        </w:tc>
        <w:tc>
          <w:tcPr>
            <w:tcW w:w="4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participating securities</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0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6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10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32,503</w:t>
            </w:r>
          </w:p>
        </w:tc>
        <w:tc>
          <w:tcPr>
            <w:tcW w:w="1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23,228</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4080" w:type="dxa"/>
            <w:vAlign w:val="bottom"/>
            <w:tcBorders>
              <w:top w:val="single" w:sz="8" w:color="CFF0FC"/>
            </w:tcBorders>
          </w:tcPr>
          <w:p>
            <w:pPr>
              <w:spacing w:after="0"/>
              <w:rPr>
                <w:sz w:val="17"/>
                <w:szCs w:val="17"/>
                <w:color w:val="auto"/>
              </w:rPr>
            </w:pPr>
          </w:p>
        </w:tc>
        <w:tc>
          <w:tcPr>
            <w:tcW w:w="4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13,779,936</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13,733,858</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13,769,428</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13,720,168</w:t>
            </w:r>
          </w:p>
        </w:tc>
        <w:tc>
          <w:tcPr>
            <w:tcW w:w="1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580" w:type="dxa"/>
            <w:vAlign w:val="bottom"/>
          </w:tcPr>
          <w:p>
            <w:pPr>
              <w:spacing w:after="0"/>
              <w:rPr>
                <w:sz w:val="10"/>
                <w:szCs w:val="10"/>
                <w:color w:val="auto"/>
              </w:rPr>
            </w:pPr>
          </w:p>
        </w:tc>
        <w:tc>
          <w:tcPr>
            <w:tcW w:w="408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including participating securities</w:t>
            </w: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60" w:type="dxa"/>
            <w:vAlign w:val="bottom"/>
            <w:vMerge w:val="continue"/>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6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080" w:type="dxa"/>
            <w:vAlign w:val="bottom"/>
            <w:vMerge w:val="continue"/>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Less: average unvested restricted shares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(171,743)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(167,293)</w:t>
            </w: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(171,321)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(168,174)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4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13,608,193</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13,566,565</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13,598,107</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13,551,994</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earnings per share</w:t>
            </w:r>
          </w:p>
        </w:tc>
        <w:tc>
          <w:tcPr>
            <w:tcW w:w="64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17"/>
                <w:szCs w:val="17"/>
                <w:color w:val="auto"/>
              </w:rPr>
            </w:pPr>
          </w:p>
        </w:tc>
        <w:tc>
          <w:tcPr>
            <w:tcW w:w="32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340" w:type="dxa"/>
            <w:vAlign w:val="bottom"/>
          </w:tcPr>
          <w:p>
            <w:pPr>
              <w:spacing w:after="0"/>
              <w:rPr>
                <w:sz w:val="17"/>
                <w:szCs w:val="17"/>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7"/>
                <w:szCs w:val="17"/>
                <w:color w:val="auto"/>
              </w:rPr>
            </w:pPr>
          </w:p>
        </w:tc>
        <w:tc>
          <w:tcPr>
            <w:tcW w:w="34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-2022475</wp:posOffset>
            </wp:positionV>
            <wp:extent cx="6032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-2005330</wp:posOffset>
            </wp:positionV>
            <wp:extent cx="6032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-2022475</wp:posOffset>
            </wp:positionV>
            <wp:extent cx="6032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-2005330</wp:posOffset>
            </wp:positionV>
            <wp:extent cx="6032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-2022475</wp:posOffset>
            </wp:positionV>
            <wp:extent cx="596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-2005330</wp:posOffset>
            </wp:positionV>
            <wp:extent cx="596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-2022475</wp:posOffset>
            </wp:positionV>
            <wp:extent cx="6858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-2005330</wp:posOffset>
            </wp:positionV>
            <wp:extent cx="685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-1302385</wp:posOffset>
            </wp:positionV>
            <wp:extent cx="6032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-1285240</wp:posOffset>
            </wp:positionV>
            <wp:extent cx="6032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-1302385</wp:posOffset>
            </wp:positionV>
            <wp:extent cx="6032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-1285240</wp:posOffset>
            </wp:positionV>
            <wp:extent cx="6032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-1302385</wp:posOffset>
            </wp:positionV>
            <wp:extent cx="596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-1285240</wp:posOffset>
            </wp:positionV>
            <wp:extent cx="5969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-1302385</wp:posOffset>
            </wp:positionV>
            <wp:extent cx="6858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-1285240</wp:posOffset>
            </wp:positionV>
            <wp:extent cx="6858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7 DERIVATIVE FINANCIAL INSTRUMENTS</w:t>
      </w:r>
    </w:p>
    <w:p>
      <w:pPr>
        <w:spacing w:after="0" w:line="18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During the last quarter of 2023, the Bank entered into three pay-fixed, receive-variable interest rate swap transactions, with a combined notional value of $100.0 million, each of which was designated and qualified as cash flow hedges.</w:t>
      </w:r>
    </w:p>
    <w:p>
      <w:pPr>
        <w:spacing w:after="0" w:line="13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that were recorded on the Company's consolidated balance sheets related to cumulative basis adjustments for interest rate swap derivatives designated as fair value accounting hedges as of September 30, 2026 and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September 30, 2026</w:t>
            </w:r>
          </w:p>
        </w:tc>
        <w:tc>
          <w:tcPr>
            <w:tcW w:w="120" w:type="dxa"/>
            <w:vAlign w:val="bottom"/>
          </w:tcPr>
          <w:p>
            <w:pPr>
              <w:spacing w:after="0"/>
              <w:rPr>
                <w:sz w:val="18"/>
                <w:szCs w:val="18"/>
                <w:color w:val="auto"/>
              </w:rPr>
            </w:pPr>
          </w:p>
        </w:tc>
        <w:tc>
          <w:tcPr>
            <w:tcW w:w="256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Pr>
          <w:p>
            <w:pPr>
              <w:spacing w:after="0"/>
              <w:rPr>
                <w:sz w:val="18"/>
                <w:szCs w:val="18"/>
                <w:color w:val="auto"/>
              </w:rPr>
            </w:pPr>
          </w:p>
        </w:tc>
      </w:tr>
      <w:tr>
        <w:trPr>
          <w:trHeight w:val="191"/>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Cumulative</w:t>
            </w:r>
          </w:p>
        </w:tc>
        <w:tc>
          <w:tcPr>
            <w:tcW w:w="3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Cumulative</w:t>
            </w:r>
          </w:p>
        </w:tc>
        <w:tc>
          <w:tcPr>
            <w:tcW w:w="120" w:type="dxa"/>
            <w:vAlign w:val="bottom"/>
          </w:tcPr>
          <w:p>
            <w:pPr>
              <w:spacing w:after="0"/>
              <w:rPr>
                <w:sz w:val="16"/>
                <w:szCs w:val="16"/>
                <w:color w:val="auto"/>
              </w:rPr>
            </w:pP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Amount of Fair</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Amount of Fair</w:t>
            </w: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Value Hedging</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Value Hedging</w:t>
            </w: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Adjustment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Adjustment</w:t>
            </w: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Included in the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Included in the</w:t>
            </w: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Carrying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Carrying</w:t>
            </w:r>
          </w:p>
        </w:tc>
        <w:tc>
          <w:tcPr>
            <w:tcW w:w="12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Amount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Amount of</w:t>
            </w:r>
          </w:p>
        </w:tc>
        <w:tc>
          <w:tcPr>
            <w:tcW w:w="12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Amount of</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Line Item in the Consolidated Balance Sheets in which the Hedged Item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the Hedged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the Hedged</w:t>
            </w:r>
          </w:p>
        </w:tc>
        <w:tc>
          <w:tcPr>
            <w:tcW w:w="12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the Hedged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the Hedged</w:t>
            </w:r>
          </w:p>
        </w:tc>
      </w:tr>
      <w:tr>
        <w:trPr>
          <w:trHeight w:val="234"/>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is Included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Assets</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0"/>
                <w:szCs w:val="20"/>
                <w:color w:val="auto"/>
              </w:rPr>
            </w:pPr>
          </w:p>
        </w:tc>
      </w:tr>
      <w:tr>
        <w:trPr>
          <w:trHeight w:val="210"/>
        </w:trPr>
        <w:tc>
          <w:tcPr>
            <w:tcW w:w="5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Loans</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5"/>
              </w:rPr>
              <w:t>197,583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214,513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following tables present a summary of interest rate swap derivatives designated as fair value accounting hedges of fixed-rate receivables used in the Bank's asset/liability management activities at September 30, 2026 and December 31, 2025, identified by the underlying interest rate-sensitive instruments.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Notional</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Remaining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8"/>
                <w:szCs w:val="18"/>
                <w:color w:val="auto"/>
              </w:rPr>
              <w:t>Weighted Average Rate</w:t>
            </w:r>
          </w:p>
        </w:tc>
        <w:tc>
          <w:tcPr>
            <w:tcW w:w="0" w:type="dxa"/>
            <w:vAlign w:val="bottom"/>
          </w:tcPr>
          <w:p>
            <w:pPr>
              <w:spacing w:after="0"/>
              <w:rPr>
                <w:sz w:val="1"/>
                <w:szCs w:val="1"/>
                <w:color w:val="auto"/>
              </w:rPr>
            </w:pPr>
          </w:p>
        </w:tc>
      </w:tr>
      <w:tr>
        <w:trPr>
          <w:trHeight w:val="221"/>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Value (In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Maturity</w:t>
            </w:r>
          </w:p>
        </w:tc>
        <w:tc>
          <w:tcPr>
            <w:tcW w:w="12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(In</w:t>
            </w:r>
          </w:p>
        </w:tc>
        <w:tc>
          <w:tcPr>
            <w:tcW w:w="25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Instruments Associated With</w:t>
            </w:r>
          </w:p>
        </w:tc>
        <w:tc>
          <w:tcPr>
            <w:tcW w:w="12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Thousands)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Thousands)</w:t>
            </w:r>
          </w:p>
        </w:tc>
        <w:tc>
          <w:tcPr>
            <w:tcW w:w="11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Receive</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Pay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tcBorders>
              <w:top w:val="single" w:sz="8" w:color="auto"/>
              <w:right w:val="single" w:sz="8" w:color="CFF0FC"/>
            </w:tcBorders>
            <w:shd w:val="clear" w:color="auto" w:fill="CFF0FC"/>
          </w:tcPr>
          <w:p>
            <w:pPr>
              <w:ind w:left="40"/>
              <w:spacing w:after="0" w:line="191" w:lineRule="exact"/>
              <w:rPr>
                <w:sz w:val="20"/>
                <w:szCs w:val="20"/>
                <w:color w:val="auto"/>
              </w:rPr>
            </w:pPr>
            <w:r>
              <w:rPr>
                <w:rFonts w:ascii="Times New Roman" w:cs="Times New Roman" w:eastAsia="Times New Roman" w:hAnsi="Times New Roman"/>
                <w:sz w:val="18"/>
                <w:szCs w:val="18"/>
                <w:color w:val="auto"/>
              </w:rPr>
              <w:t>USD-SOFR-</w:t>
            </w:r>
          </w:p>
        </w:tc>
        <w:tc>
          <w:tcPr>
            <w:tcW w:w="120" w:type="dxa"/>
            <w:vAlign w:val="bottom"/>
            <w:tcBorders>
              <w:right w:val="single" w:sz="8" w:color="CFF0FC"/>
            </w:tcBorders>
            <w:shd w:val="clear" w:color="auto" w:fill="CFF0FC"/>
          </w:tcPr>
          <w:p>
            <w:pPr>
              <w:spacing w:after="0"/>
              <w:rPr>
                <w:sz w:val="16"/>
                <w:szCs w:val="16"/>
                <w:color w:val="auto"/>
              </w:rPr>
            </w:pPr>
          </w:p>
        </w:tc>
        <w:tc>
          <w:tcPr>
            <w:tcW w:w="1140" w:type="dxa"/>
            <w:vAlign w:val="bottom"/>
            <w:tcBorders>
              <w:top w:val="single" w:sz="8" w:color="auto"/>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shd w:val="clear" w:color="auto" w:fill="CFF0FC"/>
          </w:tcPr>
          <w:p>
            <w:pPr>
              <w:spacing w:after="0"/>
              <w:rPr>
                <w:sz w:val="20"/>
                <w:szCs w:val="20"/>
                <w:color w:val="auto"/>
              </w:rPr>
            </w:pPr>
          </w:p>
        </w:tc>
        <w:tc>
          <w:tcPr>
            <w:tcW w:w="11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OIS</w:t>
            </w:r>
          </w:p>
        </w:tc>
        <w:tc>
          <w:tcPr>
            <w:tcW w:w="14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Total swap portfolio at September 30, 2026</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6"/>
                <w:szCs w:val="16"/>
                <w:color w:val="auto"/>
              </w:rPr>
            </w:pP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Pr>
          <w:p>
            <w:pPr>
              <w:spacing w:after="0"/>
              <w:rPr>
                <w:sz w:val="16"/>
                <w:szCs w:val="16"/>
                <w:color w:val="auto"/>
              </w:rPr>
            </w:pPr>
          </w:p>
        </w:tc>
        <w:tc>
          <w:tcPr>
            <w:tcW w:w="11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USD-SOFR-</w:t>
            </w:r>
          </w:p>
        </w:tc>
        <w:tc>
          <w:tcPr>
            <w:tcW w:w="14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140"/>
        </w:trPr>
        <w:tc>
          <w:tcPr>
            <w:tcW w:w="470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OIS</w:t>
            </w: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Weighted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Notional</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Remaining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8"/>
                <w:szCs w:val="18"/>
                <w:color w:val="auto"/>
              </w:rPr>
              <w:t>Weighted Average Rate</w:t>
            </w:r>
          </w:p>
        </w:tc>
        <w:tc>
          <w:tcPr>
            <w:tcW w:w="0" w:type="dxa"/>
            <w:vAlign w:val="bottom"/>
          </w:tcPr>
          <w:p>
            <w:pPr>
              <w:spacing w:after="0"/>
              <w:rPr>
                <w:sz w:val="1"/>
                <w:szCs w:val="1"/>
                <w:color w:val="auto"/>
              </w:rPr>
            </w:pPr>
          </w:p>
        </w:tc>
      </w:tr>
      <w:tr>
        <w:trPr>
          <w:trHeight w:val="221"/>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Value (In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Maturity</w:t>
            </w:r>
          </w:p>
        </w:tc>
        <w:tc>
          <w:tcPr>
            <w:tcW w:w="12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Fair Value (In</w:t>
            </w:r>
          </w:p>
        </w:tc>
        <w:tc>
          <w:tcPr>
            <w:tcW w:w="25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Instruments Associated With</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Thousands)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Thousands)</w:t>
            </w:r>
          </w:p>
        </w:tc>
        <w:tc>
          <w:tcPr>
            <w:tcW w:w="11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Receive</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Pay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tcBorders>
              <w:top w:val="single" w:sz="8" w:color="auto"/>
              <w:right w:val="single" w:sz="8" w:color="CFF0FC"/>
            </w:tcBorders>
            <w:shd w:val="clear" w:color="auto" w:fill="CFF0FC"/>
          </w:tcPr>
          <w:p>
            <w:pPr>
              <w:ind w:left="40"/>
              <w:spacing w:after="0" w:line="191" w:lineRule="exact"/>
              <w:rPr>
                <w:sz w:val="20"/>
                <w:szCs w:val="20"/>
                <w:color w:val="auto"/>
              </w:rPr>
            </w:pPr>
            <w:r>
              <w:rPr>
                <w:rFonts w:ascii="Times New Roman" w:cs="Times New Roman" w:eastAsia="Times New Roman" w:hAnsi="Times New Roman"/>
                <w:sz w:val="18"/>
                <w:szCs w:val="18"/>
                <w:color w:val="auto"/>
              </w:rPr>
              <w:t>USD-SOFR-</w:t>
            </w:r>
          </w:p>
        </w:tc>
        <w:tc>
          <w:tcPr>
            <w:tcW w:w="120" w:type="dxa"/>
            <w:vAlign w:val="bottom"/>
            <w:tcBorders>
              <w:right w:val="single" w:sz="8" w:color="CFF0FC"/>
            </w:tcBorders>
            <w:shd w:val="clear" w:color="auto" w:fill="CFF0FC"/>
          </w:tcPr>
          <w:p>
            <w:pPr>
              <w:spacing w:after="0"/>
              <w:rPr>
                <w:sz w:val="16"/>
                <w:szCs w:val="16"/>
                <w:color w:val="auto"/>
              </w:rPr>
            </w:pPr>
          </w:p>
        </w:tc>
        <w:tc>
          <w:tcPr>
            <w:tcW w:w="1140" w:type="dxa"/>
            <w:vAlign w:val="bottom"/>
            <w:tcBorders>
              <w:top w:val="single" w:sz="8" w:color="auto"/>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(1,555)</w:t>
            </w:r>
          </w:p>
        </w:tc>
        <w:tc>
          <w:tcPr>
            <w:tcW w:w="11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OIS</w:t>
            </w: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Total swap portfolio at December 31, 2025</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6"/>
                <w:szCs w:val="16"/>
                <w:color w:val="auto"/>
              </w:rPr>
            </w:pP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(1,555)</w:t>
            </w:r>
          </w:p>
        </w:tc>
        <w:tc>
          <w:tcPr>
            <w:tcW w:w="11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USD-SOFR-</w:t>
            </w:r>
          </w:p>
        </w:tc>
        <w:tc>
          <w:tcPr>
            <w:tcW w:w="14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4"/>
        </w:trPr>
        <w:tc>
          <w:tcPr>
            <w:tcW w:w="470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OIS</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-1722120</wp:posOffset>
            </wp:positionV>
            <wp:extent cx="6858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-1722120</wp:posOffset>
            </wp:positionV>
            <wp:extent cx="6858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-1722120</wp:posOffset>
            </wp:positionV>
            <wp:extent cx="6858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-1722120</wp:posOffset>
            </wp:positionV>
            <wp:extent cx="6858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-1722120</wp:posOffset>
            </wp:positionV>
            <wp:extent cx="12001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-307975</wp:posOffset>
            </wp:positionV>
            <wp:extent cx="6858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-307975</wp:posOffset>
            </wp:positionV>
            <wp:extent cx="6858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-307975</wp:posOffset>
            </wp:positionV>
            <wp:extent cx="6858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-307975</wp:posOffset>
            </wp:positionV>
            <wp:extent cx="6858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-307975</wp:posOffset>
            </wp:positionV>
            <wp:extent cx="11176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These derivative financial instruments were entered into for the purpose of managing the interest rate risk of certain assets and liabilities. The Bank pledged $800 thousand and $2.3 million of cash collateral to counterparties as security for its obligations related to these interest rate swap transactions at September 30, 2026 and December 31, 2025, respectively. Collateral posted and received is dependent on the market valuation of the underlying hedges.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notional amount and fair value of interest rate swaps utilized by the Bank at September 30, 2026 and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color w:val="auto"/>
              </w:rPr>
              <w:t>September 30, 2026</w:t>
            </w:r>
          </w:p>
        </w:tc>
        <w:tc>
          <w:tcPr>
            <w:tcW w:w="180" w:type="dxa"/>
            <w:vAlign w:val="bottom"/>
          </w:tcPr>
          <w:p>
            <w:pPr>
              <w:spacing w:after="0"/>
              <w:rPr>
                <w:sz w:val="18"/>
                <w:szCs w:val="18"/>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Pr>
          <w:p>
            <w:pPr>
              <w:spacing w:after="0"/>
              <w:rPr>
                <w:sz w:val="18"/>
                <w:szCs w:val="18"/>
                <w:color w:val="auto"/>
              </w:rPr>
            </w:pPr>
          </w:p>
        </w:tc>
      </w:tr>
      <w:tr>
        <w:trPr>
          <w:trHeight w:val="191"/>
        </w:trPr>
        <w:tc>
          <w:tcPr>
            <w:tcW w:w="5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34"/>
        </w:trPr>
        <w:tc>
          <w:tcPr>
            <w:tcW w:w="5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Fair Value</w:t>
            </w: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Derivatives</w:t>
            </w: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rate swaps associated with loans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0"/>
        </w:trPr>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contracts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8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rate swaps associated with loans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(1,555)</w:t>
            </w:r>
          </w:p>
        </w:tc>
      </w:tr>
      <w:tr>
        <w:trPr>
          <w:trHeight w:val="20"/>
        </w:trPr>
        <w:tc>
          <w:tcPr>
            <w:tcW w:w="5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contracts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(1,555)</w:t>
            </w:r>
          </w:p>
        </w:tc>
      </w:tr>
      <w:tr>
        <w:trPr>
          <w:trHeight w:val="40"/>
        </w:trPr>
        <w:tc>
          <w:tcPr>
            <w:tcW w:w="540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-753745</wp:posOffset>
            </wp:positionV>
            <wp:extent cx="6858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-753745</wp:posOffset>
            </wp:positionV>
            <wp:extent cx="6858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-753745</wp:posOffset>
            </wp:positionV>
            <wp:extent cx="6858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-170815</wp:posOffset>
            </wp:positionV>
            <wp:extent cx="6858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858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effects of the Bank's interest rate swap agreements on the Company’s consolidated statement of income during the three and nine months ended September 30, 2026 and September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Nine Months Ended</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jc w:val="right"/>
              <w:ind w:right="34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220" w:type="dxa"/>
            <w:vAlign w:val="bottom"/>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380" w:type="dxa"/>
            <w:vAlign w:val="bottom"/>
          </w:tcPr>
          <w:p>
            <w:pPr>
              <w:spacing w:after="0"/>
              <w:rPr>
                <w:sz w:val="16"/>
                <w:szCs w:val="16"/>
                <w:color w:val="auto"/>
              </w:rPr>
            </w:pPr>
          </w:p>
        </w:tc>
        <w:tc>
          <w:tcPr>
            <w:tcW w:w="1440" w:type="dxa"/>
            <w:vAlign w:val="bottom"/>
            <w:gridSpan w:val="3"/>
          </w:tcPr>
          <w:p>
            <w:pPr>
              <w:jc w:val="right"/>
              <w:ind w:right="34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240" w:type="dxa"/>
            <w:vAlign w:val="bottom"/>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16"/>
                <w:szCs w:val="16"/>
                <w:color w:val="auto"/>
              </w:rPr>
            </w:pPr>
          </w:p>
        </w:tc>
      </w:tr>
      <w:tr>
        <w:trPr>
          <w:trHeight w:val="234"/>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Line Item in the Consolidated Statements of Income</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including fees</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(242)</w:t>
            </w:r>
          </w:p>
        </w:tc>
        <w:tc>
          <w:tcPr>
            <w:tcW w:w="82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(686)</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5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interest income</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(231)</w:t>
            </w:r>
          </w:p>
        </w:tc>
        <w:tc>
          <w:tcPr>
            <w:tcW w:w="82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18"/>
                <w:szCs w:val="18"/>
                <w:color w:val="auto"/>
              </w:rPr>
            </w:pPr>
          </w:p>
        </w:tc>
        <w:tc>
          <w:tcPr>
            <w:tcW w:w="3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(633)</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r>
      <w:tr>
        <w:trPr>
          <w:trHeight w:val="40"/>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-170815</wp:posOffset>
            </wp:positionV>
            <wp:extent cx="685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858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8 QUALIFIED AFFORDABLE HOUSING PROJECT INVESTMENTS</w:t>
      </w:r>
    </w:p>
    <w:p>
      <w:pPr>
        <w:spacing w:after="0" w:line="19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Company invests in certain qualified affordable housing projects. The Company has elected to account for its investment in qualified affordable housing projects using the proportional amortization method. Under the proportional amortization method, an investor amortizes the initial cost of the investment to income tax expense in proportion to the tax credits and other tax benefits received and recognizes the net investment performance in the income statement as a component of income tax expense.</w:t>
      </w:r>
    </w:p>
    <w:p>
      <w:pPr>
        <w:spacing w:after="0" w:line="13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At September 30, 2026 and December 31, 2025, the balance of the Company's investments in qualified affordable housing projects was $2.8 million and $3.1 million, respectively. This balance is reflected in the other assets line on the condensed consolidated balance sheets. The unfunded commitments related to the investments in qualified housing projects totaled $335 and $418 thousand at September 30, 2026 and December 31, 2025, respectively. These balances are reflected in the accrued expense and other liabilities line on the condensed consolidated balance sheets.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did not incur any impairment losses related to its investments in qualified affordable housing projects in 2026 or 2025.</w:t>
      </w:r>
    </w:p>
    <w:p>
      <w:pPr>
        <w:spacing w:after="0" w:line="19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Company's investments in qualified affordable housing projects as of September 30, 2026 and December 31, 2025 along with the related expenses and tax credits recognized for the three and nine months ended September 30, 2026 and September 30, 2025.</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September 30, 2026</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Pr>
          <w:p>
            <w:pPr>
              <w:spacing w:after="0"/>
              <w:rPr>
                <w:sz w:val="18"/>
                <w:szCs w:val="18"/>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Low-income-housing tax credit investments</w:t>
            </w: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FF0FC"/>
          </w:tcPr>
          <w:p>
            <w:pPr>
              <w:spacing w:after="0"/>
              <w:rPr>
                <w:sz w:val="18"/>
                <w:szCs w:val="18"/>
                <w:color w:val="auto"/>
              </w:rPr>
            </w:pPr>
          </w:p>
        </w:tc>
        <w:tc>
          <w:tcPr>
            <w:tcW w:w="720" w:type="dxa"/>
            <w:vAlign w:val="bottom"/>
            <w:tcBorders>
              <w:top w:val="single" w:sz="8" w:color="auto"/>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Unfunded commitments</w:t>
            </w:r>
          </w:p>
        </w:tc>
        <w:tc>
          <w:tcPr>
            <w:tcW w:w="200" w:type="dxa"/>
            <w:vAlign w:val="bottom"/>
          </w:tcPr>
          <w:p>
            <w:pPr>
              <w:spacing w:after="0"/>
              <w:rPr>
                <w:sz w:val="18"/>
                <w:szCs w:val="18"/>
                <w:color w:val="auto"/>
              </w:rPr>
            </w:pP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w:t>
            </w:r>
          </w:p>
        </w:tc>
      </w:tr>
      <w:tr>
        <w:trPr>
          <w:trHeight w:val="249"/>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funded low-income-housing tax credit investments</w:t>
            </w: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-25400</wp:posOffset>
            </wp:positionV>
            <wp:extent cx="6032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032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gridSpan w:val="4"/>
          </w:tcPr>
          <w:p>
            <w:pPr>
              <w:jc w:val="right"/>
              <w:ind w:right="117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5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520" w:type="dxa"/>
            <w:vAlign w:val="bottom"/>
            <w:tcBorders>
              <w:top w:val="single" w:sz="8" w:color="auto"/>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520" w:type="dxa"/>
            <w:vAlign w:val="bottom"/>
            <w:tcBorders>
              <w:top w:val="single" w:sz="8" w:color="auto"/>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18"/>
                <w:szCs w:val="18"/>
                <w:color w:val="auto"/>
              </w:rPr>
            </w:pPr>
          </w:p>
        </w:tc>
      </w:tr>
      <w:tr>
        <w:trPr>
          <w:trHeight w:val="210"/>
        </w:trPr>
        <w:tc>
          <w:tcPr>
            <w:tcW w:w="2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0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FF0FC"/>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 recognized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-723265</wp:posOffset>
            </wp:positionV>
            <wp:extent cx="85090" cy="17970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5090" cy="17970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-723265</wp:posOffset>
            </wp:positionV>
            <wp:extent cx="85725" cy="17970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9 FAIR VALUE OF FINANCIAL INSTRUMENTS</w:t>
      </w:r>
    </w:p>
    <w:p>
      <w:pPr>
        <w:spacing w:after="0" w:line="18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bank premises and equipment and intangibles.</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Fair Value Measurements: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 general, fair values determined by Level 1 inputs use quoted prices in active markets for identical assets or liabilities in active markets that the Company has the ability to access.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Available-for-sale securities, when quoted prices are available in an active market, are valued using the quoted price and are classified as Level 1. The quoted prices are not adjusted.</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3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43" w:lineRule="exact"/>
        <w:rPr>
          <w:sz w:val="20"/>
          <w:szCs w:val="20"/>
          <w:color w:val="auto"/>
        </w:rPr>
      </w:pPr>
    </w:p>
    <w:p>
      <w:pPr>
        <w:jc w:val="both"/>
        <w:ind w:left="760"/>
        <w:spacing w:after="0" w:line="312" w:lineRule="auto"/>
        <w:rPr>
          <w:sz w:val="20"/>
          <w:szCs w:val="20"/>
          <w:color w:val="auto"/>
        </w:rPr>
      </w:pPr>
      <w:r>
        <w:rPr>
          <w:rFonts w:ascii="Times New Roman" w:cs="Times New Roman" w:eastAsia="Times New Roman" w:hAnsi="Times New Roman"/>
          <w:sz w:val="17"/>
          <w:szCs w:val="17"/>
          <w:color w:val="auto"/>
        </w:rPr>
        <w:t>Interest rate swaps classified as Level 2 are valued using the prices obtained from an independent pricing service and not adjusted. The fair value of interest rate swaps with a positive fair value are reported as assets while interest rate swaps with a negative fair value are reported as liabilities.</w:t>
      </w:r>
    </w:p>
    <w:p>
      <w:pPr>
        <w:spacing w:after="0" w:line="11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Level 3 inputs are unobservable inputs, including inputs that are available in situations where there is little, if any, market activity for the related asset or liability. The Bank holds three local municipals that the Bank evaluates based on the credit strength of the underlying project. The fair value is determined by valuing similar credit payment streams at similar rates.</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measured at fair value on a recurring basis as of September 30, 2026 and December 31, 2025, segregated by level within the fair value hierarchy utilized to measure fair value:</w:t>
      </w:r>
    </w:p>
    <w:p>
      <w:pPr>
        <w:spacing w:after="0" w:line="1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w:t>
      </w:r>
    </w:p>
    <w:p>
      <w:pPr>
        <w:spacing w:after="0" w:line="27" w:lineRule="exact"/>
        <w:rPr>
          <w:sz w:val="20"/>
          <w:szCs w:val="20"/>
          <w:color w:val="auto"/>
        </w:rPr>
      </w:pPr>
    </w:p>
    <w:tbl>
      <w:tblPr>
        <w:tblLayout w:type="fixed"/>
        <w:tblInd w:w="30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0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Quoted Prices in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400"/>
              <w:spacing w:after="0" w:line="191" w:lineRule="exact"/>
              <w:rPr>
                <w:sz w:val="20"/>
                <w:szCs w:val="20"/>
                <w:color w:val="auto"/>
              </w:rPr>
            </w:pPr>
            <w:r>
              <w:rPr>
                <w:rFonts w:ascii="Times New Roman" w:cs="Times New Roman" w:eastAsia="Times New Roman" w:hAnsi="Times New Roman"/>
                <w:sz w:val="18"/>
                <w:szCs w:val="18"/>
                <w:color w:val="auto"/>
              </w:rPr>
              <w:t>Significant</w:t>
            </w:r>
          </w:p>
        </w:tc>
        <w:tc>
          <w:tcPr>
            <w:tcW w:w="100" w:type="dxa"/>
            <w:vAlign w:val="bottom"/>
          </w:tcPr>
          <w:p>
            <w:pPr>
              <w:spacing w:after="0"/>
              <w:rPr>
                <w:sz w:val="16"/>
                <w:szCs w:val="16"/>
                <w:color w:val="auto"/>
              </w:rPr>
            </w:pPr>
          </w:p>
        </w:tc>
        <w:tc>
          <w:tcPr>
            <w:tcW w:w="114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Active Markets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 Identical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Inputs</w:t>
            </w: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Assets (Level 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0"/>
        </w:trPr>
        <w:tc>
          <w:tcPr>
            <w:tcW w:w="20" w:type="dxa"/>
            <w:vAlign w:val="bottom"/>
          </w:tcPr>
          <w:p>
            <w:pPr>
              <w:spacing w:after="0"/>
              <w:rPr>
                <w:sz w:val="18"/>
                <w:szCs w:val="18"/>
                <w:color w:val="auto"/>
              </w:rPr>
            </w:pPr>
          </w:p>
        </w:tc>
        <w:tc>
          <w:tcPr>
            <w:tcW w:w="6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 (Securities Available-for-Sale)</w:t>
            </w:r>
          </w:p>
        </w:tc>
        <w:tc>
          <w:tcPr>
            <w:tcW w:w="1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135,517</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83,089</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52,577</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144,866</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309,666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 assets</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 liabilities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648"/>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Quoted Prices in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400"/>
              <w:spacing w:after="0" w:line="191" w:lineRule="exact"/>
              <w:rPr>
                <w:sz w:val="20"/>
                <w:szCs w:val="20"/>
                <w:color w:val="auto"/>
              </w:rPr>
            </w:pPr>
            <w:r>
              <w:rPr>
                <w:rFonts w:ascii="Times New Roman" w:cs="Times New Roman" w:eastAsia="Times New Roman" w:hAnsi="Times New Roman"/>
                <w:sz w:val="18"/>
                <w:szCs w:val="18"/>
                <w:color w:val="auto"/>
              </w:rPr>
              <w:t>Significant</w:t>
            </w:r>
          </w:p>
        </w:tc>
        <w:tc>
          <w:tcPr>
            <w:tcW w:w="100" w:type="dxa"/>
            <w:vAlign w:val="bottom"/>
          </w:tcPr>
          <w:p>
            <w:pPr>
              <w:spacing w:after="0"/>
              <w:rPr>
                <w:sz w:val="16"/>
                <w:szCs w:val="16"/>
                <w:color w:val="auto"/>
              </w:rPr>
            </w:pPr>
          </w:p>
        </w:tc>
        <w:tc>
          <w:tcPr>
            <w:tcW w:w="114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Active Markets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 Identical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Inputs</w:t>
            </w: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Assets (Level 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09"/>
        </w:trPr>
        <w:tc>
          <w:tcPr>
            <w:tcW w:w="20" w:type="dxa"/>
            <w:vAlign w:val="bottom"/>
          </w:tcPr>
          <w:p>
            <w:pPr>
              <w:spacing w:after="0"/>
              <w:rPr>
                <w:sz w:val="18"/>
                <w:szCs w:val="18"/>
                <w:color w:val="auto"/>
              </w:rPr>
            </w:pPr>
          </w:p>
        </w:tc>
        <w:tc>
          <w:tcPr>
            <w:tcW w:w="6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 (Securities Available-for-Sale)</w:t>
            </w:r>
          </w:p>
        </w:tc>
        <w:tc>
          <w:tcPr>
            <w:tcW w:w="1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89,853</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101,881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143,382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53,938</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121,416</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299,201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swaps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 liabilities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changes in the Level 3 fair-value category of which unobservable inputs are relied upon as of the three and nine months ended September 30, 2026 and September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80" w:type="dxa"/>
            <w:vAlign w:val="bottom"/>
            <w:gridSpan w:val="8"/>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1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80" w:type="dxa"/>
            <w:vAlign w:val="bottom"/>
            <w:gridSpan w:val="10"/>
          </w:tcPr>
          <w:p>
            <w:pPr>
              <w:jc w:val="center"/>
              <w:ind w:right="136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center"/>
              <w:ind w:left="49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Tax-Exempt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Taxable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9"/>
              </w:rPr>
              <w:t>Total</w:t>
            </w: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July 1, 2026</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Maturities &amp; Calls</w:t>
            </w:r>
          </w:p>
        </w:tc>
        <w:tc>
          <w:tcPr>
            <w:tcW w:w="19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gridSpan w:val="2"/>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FF0FC"/>
          </w:tcPr>
          <w:p>
            <w:pPr>
              <w:spacing w:after="0"/>
              <w:rPr>
                <w:sz w:val="22"/>
                <w:szCs w:val="22"/>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0"/>
        </w:trPr>
        <w:tc>
          <w:tcPr>
            <w:tcW w:w="1140" w:type="dxa"/>
            <w:vAlign w:val="bottom"/>
          </w:tcPr>
          <w:p>
            <w:pPr>
              <w:spacing w:after="0"/>
              <w:rPr>
                <w:sz w:val="24"/>
                <w:szCs w:val="24"/>
                <w:color w:val="auto"/>
              </w:rPr>
            </w:pPr>
          </w:p>
        </w:tc>
        <w:tc>
          <w:tcPr>
            <w:tcW w:w="3320" w:type="dxa"/>
            <w:vAlign w:val="bottom"/>
            <w:tcBorders>
              <w:top w:val="single" w:sz="8" w:color="CFF0FC"/>
            </w:tcBorders>
          </w:tcPr>
          <w:p>
            <w:pPr>
              <w:spacing w:after="0"/>
              <w:rPr>
                <w:sz w:val="24"/>
                <w:szCs w:val="24"/>
                <w:color w:val="auto"/>
              </w:rPr>
            </w:pPr>
          </w:p>
        </w:tc>
        <w:tc>
          <w:tcPr>
            <w:tcW w:w="1960" w:type="dxa"/>
            <w:vAlign w:val="bottom"/>
            <w:tcBorders>
              <w:top w:val="single" w:sz="8" w:color="CFF0FC"/>
            </w:tcBorders>
          </w:tcPr>
          <w:p>
            <w:pPr>
              <w:jc w:val="right"/>
              <w:ind w:right="61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-1148080</wp:posOffset>
            </wp:positionV>
            <wp:extent cx="5143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-1148080</wp:posOffset>
            </wp:positionV>
            <wp:extent cx="5143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-1148080</wp:posOffset>
            </wp:positionV>
            <wp:extent cx="5143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-864870</wp:posOffset>
            </wp:positionV>
            <wp:extent cx="5143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-847725</wp:posOffset>
            </wp:positionV>
            <wp:extent cx="5143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-864870</wp:posOffset>
            </wp:positionV>
            <wp:extent cx="5143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-847725</wp:posOffset>
            </wp:positionV>
            <wp:extent cx="5143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-864870</wp:posOffset>
            </wp:positionV>
            <wp:extent cx="5143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-847725</wp:posOffset>
            </wp:positionV>
            <wp:extent cx="5143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ectPr>
          <w:pgSz w:w="11900" w:h="16838" w:orient="portrait"/>
          <w:cols w:equalWidth="0" w:num="1">
            <w:col w:w="10139"/>
          </w:cols>
          <w:pgMar w:left="320" w:top="7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January 1, 2026</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Payments, Maturities &amp; Calls</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Balance at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July 1, 2025</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Payments, Maturities &amp; Calls</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Balance at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January 1, 2025</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Payments, Maturities &amp; Calls</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Balance at September 30, 2025</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29743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Fair Value Measurements Using Significant</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Unobservable Inputs (Level 3)</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State and Local Governments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16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Tax-Exempt</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Taxable</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9"/>
              </w:rPr>
              <w:t>Total</w:t>
            </w:r>
          </w:p>
        </w:tc>
        <w:tc>
          <w:tcPr>
            <w:tcW w:w="6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6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426"/>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tcPr>
          <w:p>
            <w:pPr>
              <w:spacing w:after="0"/>
              <w:rPr>
                <w:sz w:val="24"/>
                <w:szCs w:val="24"/>
                <w:color w:val="auto"/>
              </w:rPr>
            </w:pP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9"/>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10"/>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 Inputs (Level 3)</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8"/>
          </w:tcPr>
          <w:p>
            <w:pPr>
              <w:jc w:val="center"/>
              <w:ind w:left="49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7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Tax-Exempt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Taxable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9"/>
              </w:rPr>
              <w:t>Total</w:t>
            </w:r>
          </w:p>
        </w:tc>
        <w:tc>
          <w:tcPr>
            <w:tcW w:w="6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6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425"/>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tcPr>
          <w:p>
            <w:pPr>
              <w:spacing w:after="0"/>
              <w:rPr>
                <w:sz w:val="24"/>
                <w:szCs w:val="24"/>
                <w:color w:val="auto"/>
              </w:rPr>
            </w:pP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9"/>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10"/>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 Inputs (Level 3)</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8"/>
          </w:tcPr>
          <w:p>
            <w:pPr>
              <w:jc w:val="center"/>
              <w:ind w:left="49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7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Tax-Exempt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Taxable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9"/>
              </w:rPr>
              <w:t>Total</w:t>
            </w:r>
          </w:p>
        </w:tc>
        <w:tc>
          <w:tcPr>
            <w:tcW w:w="6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6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5"/>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tcPr>
          <w:p>
            <w:pPr>
              <w:spacing w:after="0"/>
              <w:rPr>
                <w:sz w:val="24"/>
                <w:szCs w:val="24"/>
                <w:color w:val="auto"/>
              </w:rPr>
            </w:pP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60" w:type="dxa"/>
            <w:vAlign w:val="bottom"/>
          </w:tcPr>
          <w:p>
            <w:pPr>
              <w:spacing w:after="0"/>
              <w:rPr>
                <w:sz w:val="24"/>
                <w:szCs w:val="24"/>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-4954270</wp:posOffset>
            </wp:positionV>
            <wp:extent cx="5700395" cy="13716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-4679950</wp:posOffset>
            </wp:positionV>
            <wp:extent cx="5700395" cy="13716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-4405630</wp:posOffset>
            </wp:positionV>
            <wp:extent cx="5700395" cy="14541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-4122420</wp:posOffset>
            </wp:positionV>
            <wp:extent cx="5700395" cy="16256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-2973705</wp:posOffset>
            </wp:positionV>
            <wp:extent cx="5700395" cy="13716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-2699385</wp:posOffset>
            </wp:positionV>
            <wp:extent cx="5700395" cy="13716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-2425065</wp:posOffset>
            </wp:positionV>
            <wp:extent cx="5700395" cy="1460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-2142490</wp:posOffset>
            </wp:positionV>
            <wp:extent cx="5700395" cy="16319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-993775</wp:posOffset>
            </wp:positionV>
            <wp:extent cx="5700395" cy="13716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-719455</wp:posOffset>
            </wp:positionV>
            <wp:extent cx="5700395" cy="13716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-445135</wp:posOffset>
            </wp:positionV>
            <wp:extent cx="5700395" cy="14541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-161925</wp:posOffset>
            </wp:positionV>
            <wp:extent cx="5700395" cy="16256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720"/>
            <w:col w:w="3719"/>
          </w:cols>
          <w:pgMar w:left="320" w:top="769" w:right="1440" w:bottom="1440" w:gutter="0" w:footer="0" w:header="0"/>
          <w:type w:val="continuous"/>
        </w:sectPr>
      </w:pP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There were no securities that transferred in or out of Level 3 during the nine months ended September 30, 2026 or the twelve months ended December 31, 2025.</w:t>
      </w:r>
    </w:p>
    <w:p>
      <w:pPr>
        <w:spacing w:after="0" w:line="13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Company also has assets that, under certain conditions, are subject to measurement at fair value on a non-recurring basis. At both September 30, 2026 and December 31, 2025, such assets consist of collateral dependent loans and loan servicing rights. Collateral dependent loans categorized as Level 3 assets consist of non-homogeneous loans that have expected credit losses. The Company may also estimate the fair value of certain nonperforming loans using a discounted cash flow method of future cash flows using management's best estimate of key assumptions. These assumptions include future payment ability, timing of payment streams, and estimated realizable values of available collateral (typically based on outside appraisals.)</w:t>
      </w:r>
    </w:p>
    <w:p>
      <w:pPr>
        <w:spacing w:after="0" w:line="147"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At September 30, 2026 and December 31, 2025, collateral dependent loans categorized as Level 3 were $3.3 million and $860 thousand, respectively. The specific allocation for collateral dependent loans was $118 thousand as of September 30, 2026 and $145 thousand as of December 31, 2025. The specific allocations are accounted for in the allowance for credit losses (see Note 4).</w:t>
      </w:r>
    </w:p>
    <w:p>
      <w:pPr>
        <w:spacing w:after="0" w:line="13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During 2026 and 2025, impairment was recognized on loan servicing rights based upon the independent third party's quarterly valuation. A valuation allowance was established by strata to quantify the likely impairment of the value of the loan servicing rights to the Company. If the carrying amount of an individual strata exceeds the fair value, impairment was recorded on that strata so the servicing asset was carried at fair value. Impairment was $1.4 million and $883 thousand at September 30, 2026 and December 31, 2025, respectively. The impairment amount related to 1-4 family real estate loans was $10 and $5 thousand for the respective time periods with the remainder related to agricultural real estate loans.</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assets measured at fair value on a nonrecurring basis at September 30, 2026 and December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60" w:type="dxa"/>
            <w:vAlign w:val="bottom"/>
            <w:tcBorders>
              <w:bottom w:val="single" w:sz="8" w:color="auto"/>
            </w:tcBorders>
            <w:gridSpan w:val="10"/>
          </w:tcPr>
          <w:p>
            <w:pPr>
              <w:jc w:val="center"/>
              <w:ind w:right="50"/>
              <w:spacing w:after="0"/>
              <w:rPr>
                <w:sz w:val="20"/>
                <w:szCs w:val="20"/>
                <w:color w:val="auto"/>
              </w:rPr>
            </w:pPr>
            <w:r>
              <w:rPr>
                <w:rFonts w:ascii="Times New Roman" w:cs="Times New Roman" w:eastAsia="Times New Roman" w:hAnsi="Times New Roman"/>
                <w:sz w:val="18"/>
                <w:szCs w:val="18"/>
                <w:color w:val="auto"/>
              </w:rPr>
              <w:t>Assets Measured at Fair Value on a Nonrecurring Basis at September 30, 2026</w:t>
            </w:r>
          </w:p>
        </w:tc>
        <w:tc>
          <w:tcPr>
            <w:tcW w:w="100" w:type="dxa"/>
            <w:vAlign w:val="bottom"/>
          </w:tcPr>
          <w:p>
            <w:pPr>
              <w:spacing w:after="0"/>
              <w:rPr>
                <w:sz w:val="18"/>
                <w:szCs w:val="18"/>
                <w:color w:val="auto"/>
              </w:rPr>
            </w:pPr>
          </w:p>
        </w:tc>
      </w:tr>
      <w:tr>
        <w:trPr>
          <w:trHeight w:val="191"/>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rPr>
              <w:t>Quoted Prices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 Active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Markets for</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Balance at</w:t>
            </w: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Identical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Observable Inputs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Unobservable Inputs</w:t>
            </w:r>
          </w:p>
        </w:tc>
      </w:tr>
      <w:tr>
        <w:trPr>
          <w:trHeight w:val="234"/>
        </w:trPr>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280" w:type="dxa"/>
            <w:vAlign w:val="bottom"/>
          </w:tcPr>
          <w:p>
            <w:pPr>
              <w:spacing w:after="0"/>
              <w:rPr>
                <w:sz w:val="20"/>
                <w:szCs w:val="20"/>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(Level 3)</w:t>
            </w:r>
          </w:p>
        </w:tc>
      </w:tr>
      <w:tr>
        <w:trPr>
          <w:trHeight w:val="191"/>
        </w:trPr>
        <w:tc>
          <w:tcPr>
            <w:tcW w:w="33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Collateral dependent</w:t>
            </w:r>
          </w:p>
        </w:tc>
        <w:tc>
          <w:tcPr>
            <w:tcW w:w="12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84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shd w:val="clear" w:color="auto" w:fill="CFF0FC"/>
          </w:tcPr>
          <w:p>
            <w:pPr>
              <w:spacing w:after="0"/>
              <w:rPr>
                <w:sz w:val="20"/>
                <w:szCs w:val="20"/>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20"/>
                <w:szCs w:val="20"/>
                <w:color w:val="auto"/>
              </w:rPr>
            </w:pPr>
          </w:p>
        </w:tc>
      </w:tr>
      <w:tr>
        <w:trPr>
          <w:trHeight w:val="630"/>
        </w:trPr>
        <w:tc>
          <w:tcPr>
            <w:tcW w:w="3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60" w:type="dxa"/>
            <w:vAlign w:val="bottom"/>
            <w:tcBorders>
              <w:bottom w:val="single" w:sz="8" w:color="auto"/>
            </w:tcBorders>
            <w:gridSpan w:val="10"/>
          </w:tcPr>
          <w:p>
            <w:pPr>
              <w:jc w:val="center"/>
              <w:ind w:right="50"/>
              <w:spacing w:after="0"/>
              <w:rPr>
                <w:sz w:val="20"/>
                <w:szCs w:val="20"/>
                <w:color w:val="auto"/>
              </w:rPr>
            </w:pPr>
            <w:r>
              <w:rPr>
                <w:rFonts w:ascii="Times New Roman" w:cs="Times New Roman" w:eastAsia="Times New Roman" w:hAnsi="Times New Roman"/>
                <w:sz w:val="18"/>
                <w:szCs w:val="18"/>
                <w:color w:val="auto"/>
                <w:w w:val="99"/>
              </w:rPr>
              <w:t>Assets Measured at Fair Value on a Nonrecurring Basis at December 31, 2025</w:t>
            </w:r>
          </w:p>
        </w:tc>
        <w:tc>
          <w:tcPr>
            <w:tcW w:w="100" w:type="dxa"/>
            <w:vAlign w:val="bottom"/>
          </w:tcPr>
          <w:p>
            <w:pPr>
              <w:spacing w:after="0"/>
              <w:rPr>
                <w:sz w:val="18"/>
                <w:szCs w:val="18"/>
                <w:color w:val="auto"/>
              </w:rPr>
            </w:pPr>
          </w:p>
        </w:tc>
      </w:tr>
      <w:tr>
        <w:trPr>
          <w:trHeight w:val="191"/>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rPr>
              <w:t>Quoted Prices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 Active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Markets for</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Balance at</w:t>
            </w: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Identical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Observable Inputs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Unobservable Inputs</w:t>
            </w:r>
          </w:p>
        </w:tc>
      </w:tr>
      <w:tr>
        <w:trPr>
          <w:trHeight w:val="234"/>
        </w:trPr>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December 31, 2025</w:t>
            </w:r>
          </w:p>
        </w:tc>
        <w:tc>
          <w:tcPr>
            <w:tcW w:w="280" w:type="dxa"/>
            <w:vAlign w:val="bottom"/>
          </w:tcPr>
          <w:p>
            <w:pPr>
              <w:spacing w:after="0"/>
              <w:rPr>
                <w:sz w:val="20"/>
                <w:szCs w:val="20"/>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(Level 3)</w:t>
            </w:r>
          </w:p>
        </w:tc>
      </w:tr>
      <w:tr>
        <w:trPr>
          <w:trHeight w:val="191"/>
        </w:trPr>
        <w:tc>
          <w:tcPr>
            <w:tcW w:w="33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Collateral dependent</w:t>
            </w:r>
          </w:p>
        </w:tc>
        <w:tc>
          <w:tcPr>
            <w:tcW w:w="12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84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FF0FC"/>
          </w:tcPr>
          <w:p>
            <w:pPr>
              <w:spacing w:after="0"/>
              <w:rPr>
                <w:sz w:val="20"/>
                <w:szCs w:val="20"/>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20"/>
                <w:szCs w:val="20"/>
                <w:color w:val="auto"/>
              </w:rPr>
            </w:pPr>
          </w:p>
        </w:tc>
      </w:tr>
      <w:tr>
        <w:trPr>
          <w:trHeight w:val="522"/>
        </w:trPr>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4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unobservable inputs used in recurring and nonrecurring Level 3 fair value measurements: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(In Thousands)</w:t>
            </w: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191"/>
        </w:trPr>
        <w:tc>
          <w:tcPr>
            <w:tcW w:w="2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Fair Value at</w:t>
            </w: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(Weighted</w:t>
            </w:r>
          </w:p>
        </w:tc>
      </w:tr>
      <w:tr>
        <w:trPr>
          <w:trHeight w:val="234"/>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260" w:type="dxa"/>
            <w:vAlign w:val="bottom"/>
          </w:tcPr>
          <w:p>
            <w:pPr>
              <w:spacing w:after="0"/>
              <w:rPr>
                <w:sz w:val="20"/>
                <w:szCs w:val="20"/>
                <w:color w:val="auto"/>
              </w:rPr>
            </w:pPr>
          </w:p>
        </w:tc>
        <w:tc>
          <w:tcPr>
            <w:tcW w:w="1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Valuation Technique</w:t>
            </w:r>
          </w:p>
        </w:tc>
        <w:tc>
          <w:tcPr>
            <w:tcW w:w="120" w:type="dxa"/>
            <w:vAlign w:val="bottom"/>
          </w:tcPr>
          <w:p>
            <w:pPr>
              <w:spacing w:after="0"/>
              <w:rPr>
                <w:sz w:val="20"/>
                <w:szCs w:val="20"/>
                <w:color w:val="auto"/>
              </w:rPr>
            </w:pPr>
          </w:p>
        </w:tc>
        <w:tc>
          <w:tcPr>
            <w:tcW w:w="3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Unobservable Inputs</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2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3400" w:type="dxa"/>
            <w:vAlign w:val="bottom"/>
            <w:gridSpan w:val="2"/>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Credit strength of underlying project</w:t>
            </w:r>
          </w:p>
        </w:tc>
        <w:tc>
          <w:tcPr>
            <w:tcW w:w="1600" w:type="dxa"/>
            <w:vAlign w:val="bottom"/>
            <w:gridSpan w:val="2"/>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3.83-3.89%</w:t>
            </w: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or entity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(3.88%)</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8"/>
        </w:trPr>
        <w:tc>
          <w:tcPr>
            <w:tcW w:w="2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Collateral dependent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Collateral based</w:t>
            </w: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Discount to reflect current market</w:t>
            </w:r>
          </w:p>
        </w:tc>
        <w:tc>
          <w:tcPr>
            <w:tcW w:w="1600" w:type="dxa"/>
            <w:vAlign w:val="bottom"/>
            <w:gridSpan w:val="2"/>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20.00-25.00%</w:t>
            </w:r>
          </w:p>
        </w:tc>
      </w:tr>
      <w:tr>
        <w:trPr>
          <w:trHeight w:val="234"/>
        </w:trPr>
        <w:tc>
          <w:tcPr>
            <w:tcW w:w="2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measurements</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conditions and ultimate collectability</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(24.58%)</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8"/>
        </w:trPr>
        <w:tc>
          <w:tcPr>
            <w:tcW w:w="2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Constant prepayment rate and</w:t>
            </w:r>
          </w:p>
        </w:tc>
        <w:tc>
          <w:tcPr>
            <w:tcW w:w="1600" w:type="dxa"/>
            <w:vAlign w:val="bottom"/>
            <w:gridSpan w:val="2"/>
            <w:shd w:val="clear" w:color="auto" w:fill="CFF0FC"/>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1.22-605.81%</w:t>
            </w: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probability of default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(47.41%)</w:t>
            </w:r>
          </w:p>
        </w:tc>
      </w:tr>
      <w:tr>
        <w:trPr>
          <w:trHeight w:val="648"/>
        </w:trPr>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(In Thousands)</w:t>
            </w: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191"/>
        </w:trPr>
        <w:tc>
          <w:tcPr>
            <w:tcW w:w="2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Fair Value at</w:t>
            </w: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(Weighted</w:t>
            </w:r>
          </w:p>
        </w:tc>
      </w:tr>
      <w:tr>
        <w:trPr>
          <w:trHeight w:val="234"/>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260" w:type="dxa"/>
            <w:vAlign w:val="bottom"/>
          </w:tcPr>
          <w:p>
            <w:pPr>
              <w:spacing w:after="0"/>
              <w:rPr>
                <w:sz w:val="20"/>
                <w:szCs w:val="20"/>
                <w:color w:val="auto"/>
              </w:rPr>
            </w:pPr>
          </w:p>
        </w:tc>
        <w:tc>
          <w:tcPr>
            <w:tcW w:w="1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Valuation Technique</w:t>
            </w:r>
          </w:p>
        </w:tc>
        <w:tc>
          <w:tcPr>
            <w:tcW w:w="120" w:type="dxa"/>
            <w:vAlign w:val="bottom"/>
          </w:tcPr>
          <w:p>
            <w:pPr>
              <w:spacing w:after="0"/>
              <w:rPr>
                <w:sz w:val="20"/>
                <w:szCs w:val="20"/>
                <w:color w:val="auto"/>
              </w:rPr>
            </w:pPr>
          </w:p>
        </w:tc>
        <w:tc>
          <w:tcPr>
            <w:tcW w:w="3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Unobservable Inputs</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2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3400" w:type="dxa"/>
            <w:vAlign w:val="bottom"/>
            <w:gridSpan w:val="2"/>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Credit strength of underlying project</w:t>
            </w:r>
          </w:p>
        </w:tc>
        <w:tc>
          <w:tcPr>
            <w:tcW w:w="1600" w:type="dxa"/>
            <w:vAlign w:val="bottom"/>
            <w:gridSpan w:val="2"/>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3.26-3.75%</w:t>
            </w: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or entity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00" w:type="dxa"/>
            <w:vAlign w:val="bottom"/>
            <w:gridSpan w:val="2"/>
          </w:tcPr>
          <w:p>
            <w:pPr>
              <w:spacing w:after="0"/>
              <w:rPr>
                <w:sz w:val="18"/>
                <w:szCs w:val="18"/>
                <w:color w:val="auto"/>
              </w:rPr>
            </w:pPr>
          </w:p>
        </w:tc>
        <w:tc>
          <w:tcPr>
            <w:tcW w:w="1600" w:type="dxa"/>
            <w:vAlign w:val="bottom"/>
            <w:gridSpan w:val="2"/>
          </w:tcPr>
          <w:p>
            <w:pPr>
              <w:spacing w:after="0"/>
              <w:rPr>
                <w:sz w:val="18"/>
                <w:szCs w:val="18"/>
                <w:color w:val="auto"/>
              </w:rPr>
            </w:pPr>
          </w:p>
        </w:tc>
      </w:tr>
      <w:tr>
        <w:trPr>
          <w:trHeight w:val="198"/>
        </w:trPr>
        <w:tc>
          <w:tcPr>
            <w:tcW w:w="2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Collateral dependent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Collateral based</w:t>
            </w: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Discount to reflect current market</w:t>
            </w:r>
          </w:p>
        </w:tc>
        <w:tc>
          <w:tcPr>
            <w:tcW w:w="1600" w:type="dxa"/>
            <w:vAlign w:val="bottom"/>
            <w:gridSpan w:val="2"/>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20.00-30.00%</w:t>
            </w:r>
          </w:p>
        </w:tc>
      </w:tr>
      <w:tr>
        <w:trPr>
          <w:trHeight w:val="234"/>
        </w:trPr>
        <w:tc>
          <w:tcPr>
            <w:tcW w:w="2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measurements</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conditions and ultimate collectability</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(24.68%)</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00" w:type="dxa"/>
            <w:vAlign w:val="bottom"/>
            <w:gridSpan w:val="2"/>
          </w:tcPr>
          <w:p>
            <w:pPr>
              <w:spacing w:after="0"/>
              <w:rPr>
                <w:sz w:val="18"/>
                <w:szCs w:val="18"/>
                <w:color w:val="auto"/>
              </w:rPr>
            </w:pPr>
          </w:p>
        </w:tc>
        <w:tc>
          <w:tcPr>
            <w:tcW w:w="1600" w:type="dxa"/>
            <w:vAlign w:val="bottom"/>
            <w:gridSpan w:val="2"/>
          </w:tcPr>
          <w:p>
            <w:pPr>
              <w:spacing w:after="0"/>
              <w:rPr>
                <w:sz w:val="18"/>
                <w:szCs w:val="18"/>
                <w:color w:val="auto"/>
              </w:rPr>
            </w:pPr>
          </w:p>
        </w:tc>
      </w:tr>
      <w:tr>
        <w:trPr>
          <w:trHeight w:val="198"/>
        </w:trPr>
        <w:tc>
          <w:tcPr>
            <w:tcW w:w="2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Constant prepayment rate and</w:t>
            </w:r>
          </w:p>
        </w:tc>
        <w:tc>
          <w:tcPr>
            <w:tcW w:w="1600" w:type="dxa"/>
            <w:vAlign w:val="bottom"/>
            <w:gridSpan w:val="2"/>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22.72-583.71%</w:t>
            </w: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probability of default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(36.21%)</w:t>
            </w:r>
          </w:p>
        </w:tc>
      </w:tr>
    </w:tbl>
    <w:p>
      <w:pPr>
        <w:spacing w:after="0" w:line="198"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estimated fair values, and related carrying or notional amounts, for on and off-balance sheet financial instruments not carried at fair value as of September 30, 2026 and December 31, 2025 are reflected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September 30, 2026</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9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Level 3</w:t>
            </w: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205,811</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205,811</w:t>
            </w:r>
          </w:p>
        </w:tc>
        <w:tc>
          <w:tcPr>
            <w:tcW w:w="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205,811</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securities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12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Loans held for sale</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20" w:type="dxa"/>
            <w:vAlign w:val="bottom"/>
            <w:shd w:val="clear" w:color="auto" w:fill="CFF0FC"/>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net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2,709,358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2,595,400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2,595,400</w:t>
            </w:r>
          </w:p>
        </w:tc>
        <w:tc>
          <w:tcPr>
            <w:tcW w:w="12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receivable</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12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518,286</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518,286</w:t>
            </w:r>
          </w:p>
        </w:tc>
        <w:tc>
          <w:tcPr>
            <w:tcW w:w="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518,286</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Interest-bearing deposits</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1,756,336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1,754,961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1,754,961</w:t>
            </w:r>
          </w:p>
        </w:tc>
        <w:tc>
          <w:tcPr>
            <w:tcW w:w="120" w:type="dxa"/>
            <w:vAlign w:val="bottom"/>
            <w:shd w:val="clear" w:color="auto" w:fill="CFF0FC"/>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Time deposits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687,870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683,772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683,772</w:t>
            </w:r>
          </w:p>
        </w:tc>
        <w:tc>
          <w:tcPr>
            <w:tcW w:w="120" w:type="dxa"/>
            <w:vAlign w:val="bottom"/>
          </w:tcPr>
          <w:p>
            <w:pPr>
              <w:spacing w:after="0"/>
              <w:rPr>
                <w:sz w:val="18"/>
                <w:szCs w:val="18"/>
                <w:color w:val="auto"/>
              </w:rPr>
            </w:pPr>
          </w:p>
        </w:tc>
      </w:tr>
      <w:tr>
        <w:trPr>
          <w:trHeight w:val="210"/>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Deposits</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2,962,492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2,957,019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518,286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2,438,733</w:t>
            </w:r>
          </w:p>
        </w:tc>
        <w:tc>
          <w:tcPr>
            <w:tcW w:w="12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512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5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agreement to repurchase</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120" w:type="dxa"/>
            <w:vAlign w:val="bottom"/>
            <w:shd w:val="clear" w:color="auto" w:fill="CFF0FC"/>
          </w:tcPr>
          <w:p>
            <w:pPr>
              <w:spacing w:after="0"/>
              <w:rPr>
                <w:sz w:val="20"/>
                <w:szCs w:val="20"/>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167,534</w:t>
            </w:r>
          </w:p>
        </w:tc>
        <w:tc>
          <w:tcPr>
            <w:tcW w:w="12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34,443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34,443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34"/>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payable</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8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56"/>
        </w:trPr>
        <w:tc>
          <w:tcPr>
            <w:tcW w:w="4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7"/>
          </w:tcPr>
          <w:p>
            <w:pPr>
              <w:jc w:val="center"/>
              <w:ind w:left="670"/>
              <w:spacing w:after="0"/>
              <w:rPr>
                <w:sz w:val="20"/>
                <w:szCs w:val="20"/>
                <w:color w:val="auto"/>
              </w:rPr>
            </w:pPr>
            <w:r>
              <w:rPr>
                <w:rFonts w:ascii="Times New Roman" w:cs="Times New Roman" w:eastAsia="Times New Roman" w:hAnsi="Times New Roman"/>
                <w:sz w:val="18"/>
                <w:szCs w:val="18"/>
                <w:color w:val="auto"/>
              </w:rPr>
              <w:t>December 31, 2025</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4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Level 3</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5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97,718</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97,718</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securities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Loans held for sale</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net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2,685,990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2,653,152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2,653,152</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receivable</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527,327</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527,327</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Interest-bearing deposits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1,605,623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1,605,435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1,605,435</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Time deposits</w:t>
            </w: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597,785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596,189</w:t>
            </w:r>
          </w:p>
        </w:tc>
        <w:tc>
          <w:tcPr>
            <w:tcW w:w="100" w:type="dxa"/>
            <w:vAlign w:val="bottom"/>
          </w:tcPr>
          <w:p>
            <w:pPr>
              <w:spacing w:after="0"/>
              <w:rPr>
                <w:sz w:val="18"/>
                <w:szCs w:val="18"/>
                <w:color w:val="auto"/>
              </w:rPr>
            </w:pPr>
          </w:p>
        </w:tc>
      </w:tr>
      <w:tr>
        <w:trPr>
          <w:trHeight w:val="209"/>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Deposits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2,730,735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2,728,951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527,327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2,201,624</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58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agreement to repurchase</w:t>
            </w: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37,718</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37,718</w:t>
            </w:r>
          </w:p>
        </w:tc>
        <w:tc>
          <w:tcPr>
            <w:tcW w:w="100" w:type="dxa"/>
            <w:vAlign w:val="bottom"/>
            <w:shd w:val="clear" w:color="auto" w:fill="CFF0FC"/>
          </w:tcPr>
          <w:p>
            <w:pPr>
              <w:spacing w:after="0"/>
              <w:rPr>
                <w:sz w:val="20"/>
                <w:szCs w:val="20"/>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228,232</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34,933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34"/>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payable</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tcPr>
          <w:p>
            <w:pPr>
              <w:spacing w:after="0"/>
              <w:rPr>
                <w:sz w:val="20"/>
                <w:szCs w:val="20"/>
                <w:color w:val="auto"/>
              </w:rPr>
            </w:pPr>
          </w:p>
        </w:tc>
      </w:tr>
      <w:tr>
        <w:trPr>
          <w:trHeight w:val="522"/>
        </w:trPr>
        <w:tc>
          <w:tcPr>
            <w:tcW w:w="4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5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10 FEDERAL FUNDS PURCHASED AND SECURITIES SOLD UNDER AGREEMENTS TO REPURCHASE</w:t>
      </w:r>
    </w:p>
    <w:p>
      <w:pPr>
        <w:spacing w:after="0" w:line="18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Company had no federal funds purchased at September 30, 2026 and $15.0 million at December 31, 2025. Securities sold under agreement to repurchase, which were comprised of U.S. Treasuries and government agency securities, were as follows at September 30, 2026 and December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10"/>
          </w:tcPr>
          <w:p>
            <w:pPr>
              <w:ind w:left="200"/>
              <w:spacing w:after="0"/>
              <w:rPr>
                <w:sz w:val="20"/>
                <w:szCs w:val="20"/>
                <w:color w:val="auto"/>
              </w:rPr>
            </w:pPr>
            <w:r>
              <w:rPr>
                <w:rFonts w:ascii="Times New Roman" w:cs="Times New Roman" w:eastAsia="Times New Roman" w:hAnsi="Times New Roman"/>
                <w:sz w:val="18"/>
                <w:szCs w:val="18"/>
                <w:color w:val="auto"/>
              </w:rPr>
              <w:t>Remaining Contractual Maturity of the Agreements</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407"/>
        </w:trPr>
        <w:tc>
          <w:tcPr>
            <w:tcW w:w="4860" w:type="dxa"/>
            <w:vAlign w:val="bottom"/>
          </w:tcPr>
          <w:p>
            <w:pPr>
              <w:spacing w:after="0"/>
              <w:rPr>
                <w:sz w:val="24"/>
                <w:szCs w:val="24"/>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Overnight &amp;</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Greater Than</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8"/>
              </w:rPr>
              <w:t>Continuous</w:t>
            </w:r>
          </w:p>
        </w:tc>
        <w:tc>
          <w:tcPr>
            <w:tcW w:w="220" w:type="dxa"/>
            <w:vAlign w:val="bottom"/>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Up to 30 days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30-90 days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90 days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funds purchased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&amp; agency securities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7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14,763</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100" w:type="dxa"/>
            <w:vAlign w:val="bottom"/>
            <w:shd w:val="clear" w:color="auto" w:fill="CFF0FC"/>
          </w:tcPr>
          <w:p>
            <w:pPr>
              <w:spacing w:after="0"/>
              <w:rPr>
                <w:sz w:val="18"/>
                <w:szCs w:val="18"/>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14,763</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10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2"/>
        </w:trPr>
        <w:tc>
          <w:tcPr>
            <w:tcW w:w="4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December 31, 2025</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10"/>
          </w:tcPr>
          <w:p>
            <w:pPr>
              <w:ind w:left="200"/>
              <w:spacing w:after="0"/>
              <w:rPr>
                <w:sz w:val="20"/>
                <w:szCs w:val="20"/>
                <w:color w:val="auto"/>
              </w:rPr>
            </w:pPr>
            <w:r>
              <w:rPr>
                <w:rFonts w:ascii="Times New Roman" w:cs="Times New Roman" w:eastAsia="Times New Roman" w:hAnsi="Times New Roman"/>
                <w:sz w:val="18"/>
                <w:szCs w:val="18"/>
                <w:color w:val="auto"/>
              </w:rPr>
              <w:t>Remaining Contractual Maturity of the Agreements</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407"/>
        </w:trPr>
        <w:tc>
          <w:tcPr>
            <w:tcW w:w="4860" w:type="dxa"/>
            <w:vAlign w:val="bottom"/>
          </w:tcPr>
          <w:p>
            <w:pPr>
              <w:spacing w:after="0"/>
              <w:rPr>
                <w:sz w:val="24"/>
                <w:szCs w:val="24"/>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Overnight &amp;</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Greater Than</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8"/>
              </w:rPr>
              <w:t>Continuous</w:t>
            </w:r>
          </w:p>
        </w:tc>
        <w:tc>
          <w:tcPr>
            <w:tcW w:w="220" w:type="dxa"/>
            <w:vAlign w:val="bottom"/>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Up to 30 days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30-90 days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90 days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funds purchased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7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&amp; agency securities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00" w:type="dxa"/>
            <w:vAlign w:val="bottom"/>
            <w:shd w:val="clear" w:color="auto" w:fill="CFF0FC"/>
          </w:tcPr>
          <w:p>
            <w:pPr>
              <w:spacing w:after="0"/>
              <w:rPr>
                <w:sz w:val="18"/>
                <w:szCs w:val="18"/>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37,718</w:t>
            </w:r>
          </w:p>
        </w:tc>
        <w:tc>
          <w:tcPr>
            <w:tcW w:w="10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-1893570</wp:posOffset>
            </wp:positionV>
            <wp:extent cx="6858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-1893570</wp:posOffset>
            </wp:positionV>
            <wp:extent cx="6858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-1893570</wp:posOffset>
            </wp:positionV>
            <wp:extent cx="6858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-1893570</wp:posOffset>
            </wp:positionV>
            <wp:extent cx="6858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-170815</wp:posOffset>
            </wp:positionV>
            <wp:extent cx="6858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-170815</wp:posOffset>
            </wp:positionV>
            <wp:extent cx="6858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-170815</wp:posOffset>
            </wp:positionV>
            <wp:extent cx="6858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-170815</wp:posOffset>
            </wp:positionV>
            <wp:extent cx="6858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11 SUBORDINATED NOTES</w:t>
      </w:r>
    </w:p>
    <w:p>
      <w:pPr>
        <w:spacing w:after="0" w:line="19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Company has $35.0 million aggregate principal amount of 3.25% fixed-to-floating rate subordinated notes due July 30, 2031 (the “Notes”). The Notes qualified as Tier 2 capital for regulatory purposes until July 30, 2026. Beginning July 31, 2026, the Note amount that qualifies as Tier 2 capital is reduced in proportionate amounts until July 30, 2031.</w:t>
      </w:r>
    </w:p>
    <w:p>
      <w:pPr>
        <w:spacing w:after="0" w:line="13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Interest on the Notes accrues at a rate equal to (i) 3.25% per annum from the original issue date of July 2021 to, but excluding, the five-year anniversary, payable semi-annually in arrears, and (ii) a floating rate per annum equal to a benchmark rate, which is the Three-Month Term SOFR (as defined in the Notes), plus a spread of 263 basis points from and including the five-year anniversary until maturity, payable quarterly in arrears. The interest rate for Notes outstanding as of September 30, 2026 was SOFR plus 2.63% (or 6.27%). Beginning on or after the fifth anniversary of the issue date through maturity, the Notes may be redeemed, at the Company’s option, on any scheduled interest payment date. Any redemption will be at a redemption price equal to 100% of the principal amount of Notes being redeemed, plus accrued and unpaid interest.</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September 30, 2026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rPr>
              <w:t>Unamortized Note</w:t>
            </w: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rPr>
              <w:t>Unamortized Note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20"/>
                <w:szCs w:val="20"/>
                <w:color w:val="auto"/>
              </w:rPr>
            </w:pPr>
          </w:p>
        </w:tc>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Costs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Issuance Costs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4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12 - SEGMENT REPORTING</w:t>
      </w:r>
    </w:p>
    <w:p>
      <w:pPr>
        <w:spacing w:after="0" w:line="18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Company has one reportable operating segment, commercial banking. While our chief operating decision makers (CODM) monitor revenue streams of various products and services, the identifiable segments’ operations are managed, and financial performance is evaluated on a Company wide basis. The commercial banking segment provides a broad array of financial products and services including commercial, agricultural, and residential mortgage as well as consumer lending activities,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commercial and consumer banking services, wealth advisory services and insurance to individual and business clients through most of its banking center locations in Ohio, Indiana, and Michigan.</w:t>
      </w:r>
    </w:p>
    <w:p>
      <w:pPr>
        <w:spacing w:after="0" w:line="13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accounting policies of the commercial banking segment are the same as those described in management's discussion and analysis of the financial condition and results of operations of the Company. The CODM assess performance for the commercial banking segment and decide how to allocate resources based on net income which is also reported on the Consolidated Statements of Income as net income. The measure of segment assets is reported on the Consolidated Balance Sheets as total assets.</w:t>
      </w:r>
    </w:p>
    <w:p>
      <w:pPr>
        <w:spacing w:after="0" w:line="13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CODM use net income to evaluate income generated from segment assets (return on average total assets) in deciding whether to reinvest profits into the commercial banking segment or to pay dividends or fund acquisitions. Net income is also used by the CODM to monitor budget versus actual results. Net income as well as other common company-wide financial performance and credit quality metrics such as return on average assets, return on average equity, earnings per common share, net interest margin, operating efficiency and nonaccrual loans to total loans, among others, are used for competitive analysis by benchmarking to the Company’s competitors as well as used in assessing the performance of the segment and for establishing management’s compensation. Loans, investments and deposits provide revenue in the banking operation. Interest expense, provisions for credit losses, salaries, wages and associated employee benefits, and data processing are the significant expenses in the banking operation.</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CODM are the President and senior management team of the Company.</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13 RECENT ACCOUNTING PRONOUNCEMENTS</w:t>
      </w:r>
    </w:p>
    <w:p>
      <w:pPr>
        <w:spacing w:after="0" w:line="196"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 xml:space="preserve">In October 2023, the Financial Accounting Standards Board (FASB) issued Accounting Standards Update (ASU) 2023-06 </w:t>
      </w: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 Codification Amendments in Response to the SEC’s Disclosure Update and Simplification Initiative." </w:t>
      </w:r>
      <w:r>
        <w:rPr>
          <w:rFonts w:ascii="Times New Roman" w:cs="Times New Roman" w:eastAsia="Times New Roman" w:hAnsi="Times New Roman"/>
          <w:sz w:val="18"/>
          <w:szCs w:val="18"/>
          <w:color w:val="auto"/>
        </w:rPr>
        <w:t>The amendments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 are the result of the FASB’s decision to incorporate into the Accounting Standards Codification certain disclosure requirements, referred by the SEC, that require incremental information to US GAAP. Topics in the ASU that have applicability to the Company are as follows:</w:t>
      </w:r>
    </w:p>
    <w:p>
      <w:pPr>
        <w:spacing w:after="0" w:line="72" w:lineRule="exact"/>
        <w:rPr>
          <w:sz w:val="20"/>
          <w:szCs w:val="20"/>
          <w:color w:val="auto"/>
        </w:rPr>
      </w:pPr>
    </w:p>
    <w:p>
      <w:pPr>
        <w:ind w:left="1500" w:firstLine="5"/>
        <w:spacing w:after="0" w:line="284" w:lineRule="auto"/>
        <w:tabs>
          <w:tab w:leader="none" w:pos="1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Statement of Cash Flows </w:t>
      </w:r>
      <w:r>
        <w:rPr>
          <w:rFonts w:ascii="Times New Roman" w:cs="Times New Roman" w:eastAsia="Times New Roman" w:hAnsi="Times New Roman"/>
          <w:sz w:val="18"/>
          <w:szCs w:val="18"/>
          <w:color w:val="auto"/>
        </w:rPr>
        <w:t>- requires an accounting policy disclosure in annual periods of where cash flows associated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their related gains and losses are presented in the statement of cash flows.</w:t>
      </w:r>
    </w:p>
    <w:p>
      <w:pPr>
        <w:spacing w:after="0" w:line="50" w:lineRule="exact"/>
        <w:rPr>
          <w:rFonts w:ascii="Times New Roman" w:cs="Times New Roman" w:eastAsia="Times New Roman" w:hAnsi="Times New Roman"/>
          <w:sz w:val="18"/>
          <w:szCs w:val="18"/>
          <w:color w:val="auto"/>
        </w:rPr>
      </w:pPr>
    </w:p>
    <w:p>
      <w:pPr>
        <w:ind w:left="1500" w:right="20" w:firstLine="5"/>
        <w:spacing w:after="0" w:line="284" w:lineRule="auto"/>
        <w:tabs>
          <w:tab w:leader="none" w:pos="16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requires disclosure of amounts and terms of unused lines of credit and unfunded commitments and the weighted-average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on outstanding short-term borrowings.</w:t>
      </w:r>
    </w:p>
    <w:p>
      <w:pPr>
        <w:spacing w:after="0" w:line="50" w:lineRule="exact"/>
        <w:rPr>
          <w:rFonts w:ascii="Times New Roman" w:cs="Times New Roman" w:eastAsia="Times New Roman" w:hAnsi="Times New Roman"/>
          <w:sz w:val="18"/>
          <w:szCs w:val="18"/>
          <w:color w:val="auto"/>
        </w:rPr>
      </w:pPr>
    </w:p>
    <w:p>
      <w:pPr>
        <w:ind w:left="1500" w:firstLine="5"/>
        <w:spacing w:after="0" w:line="284" w:lineRule="auto"/>
        <w:tabs>
          <w:tab w:leader="none" w:pos="16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 adds cross-reference to disclosure requirements related to where cash flows associated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their related gains and losses are presented in the statement of cash flows.</w:t>
      </w:r>
    </w:p>
    <w:p>
      <w:pPr>
        <w:spacing w:after="0" w:line="120"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effective date for each amendment will be the date on which the SEC’s removal of that related disclosure from Regulation S-X or Regulation S-K becomes effective, with early adoption prohibited. If by June 30, 2027, the SEC has not removed the applicable requirement from Regulation S-X or Regulation S-K, the pending content of the related amendment will be removed from the Accounting Standards Codification and will not become effective for any entity. Management is reviewing the provisions of ASU 2023-06, and does not expect the adoption of the ASU to have a material effect on the Company’s financial statements.</w:t>
      </w:r>
    </w:p>
    <w:p>
      <w:pPr>
        <w:spacing w:after="0" w:line="141"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w:t>
      </w:r>
      <w:r>
        <w:rPr>
          <w:rFonts w:ascii="Times New Roman" w:cs="Times New Roman" w:eastAsia="Times New Roman" w:hAnsi="Times New Roman"/>
          <w:sz w:val="18"/>
          <w:szCs w:val="18"/>
          <w:color w:val="auto"/>
        </w:rPr>
        <w:t>. The amendments in this Update require disclosure, in the notes to financial statements, of specified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certain costs and expenses. The amendments require that at each interim and annual reporting period (1) the Company disclose the amounts of (a) employee compensation, (c) depreciation, and (d) intangible asset amortization included in each relevant expense caption. A relevant expense caption is an expense caption presented on the face of the income statement within continuing operations that contains any of the expense categories listed. (2) Include certain amounts that are already required to be disclosed under current generally accepted accounting principles (GAAP) in the same disclosure as the other disaggregation requirements. (3) Disclose a qualitative description of the amounts remaining in relevant expense captions that are not separately disaggregated quantitatively. (4) Disclose the total amount of selling expenses and, in annual reporting periods, the Company’s definition of selling expenses. The amendments in this Update are effective for annual reporting periods beginning after December 15, 2026, and interim reporting periods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Management is currently evaluating the Update and does not expect adoption of the Update to have a material effect on the Company’s financial position or results of operations.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83"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 xml:space="preserve">In November 2025, the FASB issued ASU 2025-08 </w:t>
      </w:r>
      <w:r>
        <w:rPr>
          <w:rFonts w:ascii="Times New Roman" w:cs="Times New Roman" w:eastAsia="Times New Roman" w:hAnsi="Times New Roman"/>
          <w:sz w:val="18"/>
          <w:szCs w:val="18"/>
          <w:i w:val="1"/>
          <w:iCs w:val="1"/>
          <w:color w:val="auto"/>
        </w:rPr>
        <w:t>Financial Instruments—Credit Losses (Topic 326) — Purchased Loans</w:t>
      </w:r>
      <w:r>
        <w:rPr>
          <w:rFonts w:ascii="Times New Roman" w:cs="Times New Roman" w:eastAsia="Times New Roman" w:hAnsi="Times New Roman"/>
          <w:sz w:val="18"/>
          <w:szCs w:val="18"/>
          <w:color w:val="auto"/>
        </w:rPr>
        <w:t>. The amendments in this Update expand the population of acquired financial assets subject to the gross-up approach in Topic 326. In accordance with the amendments in this Update, loans (excluding credit cards) acquired without credit deterioration and deemed “seasoned” are purchased seasoned loans and accounted for using the gross-up approach at acquisition. All non- PCD (purchased financial asset with credit deterioration) loans (excluding credit cards) that are acquired in a business combination are deemed seasoned. Other non-PCD loans (excluding credit cards) are seasoned if they were purchased at least 90 days after origination and the acquirer was not involved in the origination of the loans. The amendments in this Update are effective for all entities for annual reporting periods beginning after December 15, 2026, and interim reporting periods within those annual reporting periods. The amendments in this Update should be applied prospectively to loans that are acquired on or after the initial application date. Early adoption is permitted in an interim or annual reporting period in which financial statements have not yet been issued or made available for issuance.</w:t>
      </w:r>
    </w:p>
    <w:p>
      <w:pPr>
        <w:spacing w:after="0" w:line="15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2025, the FASB issued ASU 2025-09 </w:t>
      </w:r>
      <w:r>
        <w:rPr>
          <w:rFonts w:ascii="Times New Roman" w:cs="Times New Roman" w:eastAsia="Times New Roman" w:hAnsi="Times New Roman"/>
          <w:sz w:val="18"/>
          <w:szCs w:val="18"/>
          <w:i w:val="1"/>
          <w:iCs w:val="1"/>
          <w:color w:val="auto"/>
        </w:rPr>
        <w:t>Derivatives and Hedging (Topic 815) — Hedge Accounting Improvements.</w:t>
      </w:r>
      <w:r>
        <w:rPr>
          <w:rFonts w:ascii="Times New Roman" w:cs="Times New Roman" w:eastAsia="Times New Roman" w:hAnsi="Times New Roman"/>
          <w:sz w:val="18"/>
          <w:szCs w:val="18"/>
          <w:color w:val="auto"/>
        </w:rPr>
        <w:t xml:space="preserve"> The amendments in this Update are intended to more closely align hedge accounting with the economics of an entity’s risk management activities. The amendments included in five issues addressed in this Update are intended to better reflect those strategies in financial reporting by enabling entities to achieve and maintain hedge accounting for highly effective economic hedges of forecasted transactions. The issues addressed in the ASU include:</w:t>
      </w:r>
    </w:p>
    <w:p>
      <w:pPr>
        <w:spacing w:after="0" w:line="77" w:lineRule="exact"/>
        <w:rPr>
          <w:sz w:val="20"/>
          <w:szCs w:val="20"/>
          <w:color w:val="auto"/>
        </w:rPr>
      </w:pPr>
    </w:p>
    <w:p>
      <w:pPr>
        <w:jc w:val="both"/>
        <w:ind w:left="1500" w:firstLine="5"/>
        <w:spacing w:after="0" w:line="266" w:lineRule="auto"/>
        <w:tabs>
          <w:tab w:leader="none" w:pos="17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hedged risks permitted to be aggregated in a group of individual forecasted transactions in a cash flow hedge by changing the requirement to designate a group of individual forecasted transactions from having a shared risk exposure to having a similar risk exposure;</w:t>
      </w:r>
    </w:p>
    <w:p>
      <w:pPr>
        <w:spacing w:after="0" w:line="67" w:lineRule="exact"/>
        <w:rPr>
          <w:rFonts w:ascii="Times New Roman" w:cs="Times New Roman" w:eastAsia="Times New Roman" w:hAnsi="Times New Roman"/>
          <w:sz w:val="18"/>
          <w:szCs w:val="18"/>
          <w:color w:val="auto"/>
        </w:rPr>
      </w:pPr>
    </w:p>
    <w:p>
      <w:pPr>
        <w:jc w:val="both"/>
        <w:ind w:left="1500" w:firstLine="5"/>
        <w:spacing w:after="0" w:line="266" w:lineRule="auto"/>
        <w:tabs>
          <w:tab w:leader="none" w:pos="176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model to facilitate the application of cash flow hedge accounting to forecasted interest payments on variable-rate debt instruments with contractual terms that permit the borrower to change the interest rate index and interest rate tenor (that is, reset frequency) upon which interest is accrued (commonly referred to as “choose-your-rate” debt instruments);</w:t>
      </w:r>
    </w:p>
    <w:p>
      <w:pPr>
        <w:spacing w:after="0" w:line="67" w:lineRule="exact"/>
        <w:rPr>
          <w:rFonts w:ascii="Times New Roman" w:cs="Times New Roman" w:eastAsia="Times New Roman" w:hAnsi="Times New Roman"/>
          <w:sz w:val="18"/>
          <w:szCs w:val="18"/>
          <w:color w:val="auto"/>
        </w:rPr>
      </w:pPr>
    </w:p>
    <w:p>
      <w:pPr>
        <w:ind w:left="1760" w:hanging="255"/>
        <w:spacing w:after="0"/>
        <w:tabs>
          <w:tab w:leader="none" w:pos="1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hedge accounting for forecasted purchases and sales of nonfinancial assets;</w:t>
      </w:r>
    </w:p>
    <w:p>
      <w:pPr>
        <w:spacing w:after="0" w:line="117" w:lineRule="exact"/>
        <w:rPr>
          <w:rFonts w:ascii="Times New Roman" w:cs="Times New Roman" w:eastAsia="Times New Roman" w:hAnsi="Times New Roman"/>
          <w:sz w:val="18"/>
          <w:szCs w:val="18"/>
          <w:color w:val="auto"/>
        </w:rPr>
      </w:pPr>
    </w:p>
    <w:p>
      <w:pPr>
        <w:jc w:val="both"/>
        <w:ind w:left="1500" w:right="20" w:firstLine="5"/>
        <w:spacing w:after="0" w:line="261" w:lineRule="auto"/>
        <w:tabs>
          <w:tab w:leader="none" w:pos="17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the hedge accounting guidance to accommodate differences in the loan and swap markets that developed after the cessation of the London Interbank Offered Rate. Specifically, the amendments in this Update eliminate the requirement to apply the net written option test to a compound derivative comprising a swap and a written option designated as the hedging instrument in a cash flow hedge or a fair value hedge of interest rate risk; and</w:t>
      </w:r>
    </w:p>
    <w:p>
      <w:pPr>
        <w:spacing w:after="0" w:line="71" w:lineRule="exact"/>
        <w:rPr>
          <w:rFonts w:ascii="Times New Roman" w:cs="Times New Roman" w:eastAsia="Times New Roman" w:hAnsi="Times New Roman"/>
          <w:sz w:val="18"/>
          <w:szCs w:val="18"/>
          <w:color w:val="auto"/>
        </w:rPr>
      </w:pPr>
    </w:p>
    <w:p>
      <w:pPr>
        <w:jc w:val="both"/>
        <w:ind w:left="1500" w:firstLine="5"/>
        <w:spacing w:after="0" w:line="266" w:lineRule="auto"/>
        <w:tabs>
          <w:tab w:leader="none" w:pos="17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recognition and presentation mismatch related to a dual hedge strategy (that is, a hedge for which a foreign currency-denominated debt instrument is both designated as the hedging instrument in a net investment hedge and designated as the hedged item in a fair value hedge of interest rate risk).</w:t>
      </w:r>
    </w:p>
    <w:p>
      <w:pPr>
        <w:spacing w:after="0" w:line="135" w:lineRule="exact"/>
        <w:rPr>
          <w:sz w:val="20"/>
          <w:szCs w:val="20"/>
          <w:color w:val="auto"/>
        </w:rPr>
      </w:pPr>
    </w:p>
    <w:p>
      <w:pPr>
        <w:jc w:val="both"/>
        <w:ind w:left="760"/>
        <w:spacing w:after="0" w:line="274" w:lineRule="auto"/>
        <w:rPr>
          <w:sz w:val="20"/>
          <w:szCs w:val="20"/>
          <w:color w:val="auto"/>
        </w:rPr>
      </w:pPr>
      <w:r>
        <w:rPr>
          <w:rFonts w:ascii="Times New Roman" w:cs="Times New Roman" w:eastAsia="Times New Roman" w:hAnsi="Times New Roman"/>
          <w:sz w:val="17"/>
          <w:szCs w:val="17"/>
          <w:color w:val="auto"/>
        </w:rPr>
        <w:t>For public business entities, the amendments in this Update are effective for annual reporting periods beginning after December 15, 2026, and interim periods within those annual reporting periods. Early adoption is permitted on any date on or after the issuance of this Update. Entities should apply the amendments in this Update on a prospective basis for all hedging relationships. An entity may elect to adopt the amendments in this Update for hedging relationships that exist as of the date of adoption. Upon adoption of the amendments in this Update, entities are permitted to modify certain critical terms of certain existing hedging relationships without de-designating the hedge. Management is currently evaluating the Update and does not expect adoption of the Update to have a material effect on the Company’s financial position or results of operations.</w:t>
      </w:r>
    </w:p>
    <w:p>
      <w:pPr>
        <w:spacing w:after="0" w:line="130"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 Narrow-Scope Improvements.</w:t>
      </w:r>
      <w:r>
        <w:rPr>
          <w:rFonts w:ascii="Times New Roman" w:cs="Times New Roman" w:eastAsia="Times New Roman" w:hAnsi="Times New Roman"/>
          <w:sz w:val="18"/>
          <w:szCs w:val="18"/>
          <w:color w:val="auto"/>
        </w:rPr>
        <w:t xml:space="preserve"> The amendments in this Update clarify interim disclosure requirements and the applicability of Topic 270. The amendments in this Update result in a comprehensive list of interim disclosures that are required by GAAP. In developing the list of disclosures required by other Topics, the FASB Board focused on identifying the interim disclosures that are currently required under GAAP. The objective of the amendments is to provide clarity about the current requirements, rather than evaluate whether to expand or reduce interim disclosure requirements. The amendments in this Update also include a disclosure principle that requires entities to disclose events since the end of the last annual reporting period that have a material impact on the entity. The amendments in this Update are effective for public business entities for interim reporting periods within annual reporting periods beginning after December 15, 2027. Early adoption is permitted. The amendments in this Update can be applied either (1) prospectively or (2) retrospectively to any or all prior periods presented in the financial statements. Management is currently evaluating the Update.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After completion of the third quarter, the Company is well-positioned to finish the year strong, resulting from disciplined execution of our strategic plan. The largest benefit evident is the improvement in overall profitability, driven by increases in interest and non-interest income and a decrease in interest expense. Additionally, non-interest expense was up year-over year, but to a comparatively smaller extent than increases in income. These factors have all contributed to an increase in net income of $9.4 million, or 40.0% year-to-date compared to the same period in 2025. On a quarterly basis, net income is up $2.7 million or 30.3% compared to the same quarter last year. In comparing year-to-date September 30, 2026, to September 30, 2025, both aspects of net interest income have improved due to our pricing discipline – interest income is up nearly $7.0 million and interest expense decreased by $2.8 million. Interest income from loans benefited by higher average balances and higher yields in comparing both the third quarters and the nine months of 2026 to 2025.</w:t>
      </w:r>
    </w:p>
    <w:p>
      <w:pPr>
        <w:spacing w:after="0" w:line="124"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Another strong benefit of the Company’s performance in relation to the strategic plan, the Company has been able to increase what it returns to shareholders. The Company returns capital to its shareholders through its normal quarterly dividend, declaring dividends of $3.4 million and $3.1 million in the third quarters of 2026 and 2025, respectively, and $9.7 million and $9.1 million for the comparative year-to-date periods. Furthermore, the Company can also repurchase its own shares outstanding. Through approval from the Board of Directors this year, the Company has been able to further expand on its stock repurchase program. During the quarter, the Company repurchased 41,500 shares totaling $1.4 million, which is more than the Company has repurchased in the last three years. These increases in dividends, as well as share repurchases, are a testament to Company performance and confidence of the Board and senior management. Furthermore, these repurchases are intended to partially offset dilution associated with equity-based management compensation while supporting the Company's broader objective of managing capital in a manner that enhances long-term shareholder value.</w:t>
      </w:r>
    </w:p>
    <w:p>
      <w:pPr>
        <w:spacing w:after="0" w:line="121"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Total deposits also grew in comparisons of the two periods, mainly in money market and certificate of deposit balances. Interest expense decreased in comparing 2026 to 2025 in both third quarter and year-to-date performances. Deposit growth enabled FHLB borrowings to be paid down. This all culminated with net interest margin for the third quarter 2026 at 3.57% compared to 3.40% for the same period a year ago and year-to-date at 3.50% compared to 3.22% a year ago. We expect the net interest margin to continue to improve with the percentage of favorable repricing in the loan portfolio in the next 18 months, although the extent of that improvement will depend on market interest rates, funding costs, and other factors.</w:t>
      </w:r>
    </w:p>
    <w:p>
      <w:pPr>
        <w:spacing w:after="0" w:line="106"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 portion of our strategic plan focuses on improvement in noninterest income while controlling noninterest expense. From a year-to-date perspective, the Company generated noninterest income of $15.3 million in 2026, up $2.8 million compared to $12.5 million for the same period in 2025. The largest contributors to this success are increases in cash surrender value of our Bank Owned Life Insurance “BOLI” portfolio and gains on sale of loans, followed up by contributions from service fees and other charges, as well as loan servicing income.</w:t>
      </w:r>
    </w:p>
    <w:p>
      <w:pPr>
        <w:spacing w:after="0" w:line="112"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Operating expenses were $59.3 million in the first nine months of 2026, up $1.5 million, from $57.8 million. This is a 2.6% increase compared to 13.7% increase in net interest income after provision for credit losses. Furthermore, this increase is primarily attributable to employee expenses, as we recognize additional expenses with higher performance payouts. Furniture and equipment costs were comparatively higher in 2026 after adding a new office in the second half of 2025 and closure of the Custar office in the third quarter of 2026. We had increases in loan expense and mortgage servicing rights amortization, which were substantially offset by decreases in consulting and professional fees among others. Consulting fees are considerably lower in 2026 versus 2025 which included one-time fees associated with data processing, but we will also be incurring additional consulting fees in the remainder of the year with a couple of projects currently in process.</w:t>
      </w:r>
    </w:p>
    <w:p>
      <w:pPr>
        <w:spacing w:after="0" w:line="121"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Overall, we have seen improvement in our past due loans and nonaccrual/nonperforming loan balances in the first half of the year which were sustained through the third quarter. In the last two quarters past-due loan levels remained below the elevated levels experienced in preceding quarters. Consumer, Consumer Real Estate and Commercial loan past due percentages are all well below prior year averages. Agricultural Real Estate past due loans includes one loan of $3.0 million as of September 2026. Year-to-date, the Company has net charge offs of $257 thousand compared to $380 thousand in the prior year period combined, as well as combined provision for credit losses of $1.0 million versus $1.5 million in the prior year.</w:t>
      </w:r>
    </w:p>
    <w:p>
      <w:pPr>
        <w:spacing w:after="0" w:line="106"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In looking at the current economy in our market areas, a great deal of attention remains on the agricultural section. For our grain farmers, the planting season was relatively timely and overall crop conditions were good in our market area as we head into harvest season at the end of the third quarter. Projected margins are tight for 2026 but government subsidies have provided some support. Land values remain stable showing continued demand for land with financially able buyers. The livestock market continues to be profitable. The agricultural and grain elevator lines of credit saw increased usage in the first quarter of 2026, and we have seen some reductions in line usage area for the second and third quarters. Our agricultural equipment dealers continue to endure lower sales, but the overall performance of agricultural businesses has been acceptable. Agricultural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8"/>
          <w:szCs w:val="18"/>
          <w:color w:val="auto"/>
        </w:rPr>
        <w:t>borrowers in the Bank’s Ohio, Michigan, and Indiana markets remain exposed to changes in export demand. Tariffs and uncertainty surrounding trade with China, particularly for soybeans, could adversely affect crop marketing opportunities, farm income, and borrowers’ repayment capacity. Management continues to monitor these conditions and their potential effects on agricultural credit quality and the allowance for credit losses.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Commercial banking division realized modest growth in the third quarter after being flat the first half of 2026. Loan volume in the first half was consistent with previous quarters; however, the expected payoffs and normal amortization outweighed the overall production. Lending rates moved higher in the third quarter and overall terms remained consistent. However, there were competitive pressures as we finished the third quarter. The Iran conflict's impact on the economy, oil and overall inflation remained the largest concerns to commercial business in the F&amp;M footprint year-to-date 2026. The commercial team continues to monitor the portfolio and borrowing bases closely for the impact of credit and inflationary pressures. Credit quality and past due pressures exist but remained sound in the third quarter. Collateral values and auction values are still consistent with previous quarters.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 made the decision to discontinue the Indirect Lending Department as of March 2026 and directed that business to our direct consumer lending department. This contributed to a decrease in the consumer loan portfolio of 19.7% or $11.6 million as compared to year-end 2025 and 21.9% or $13.2 million as compared to September 30, 2025.</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Fixed home loan originations to be sold to the secondary market experienced the highest dollar volume by quarter of the last two years at $16.8 million and $13.3 for the second and third quarters, respectively. Similarly, the same is true for the actual dollar volume of sold loans during the quarter at $15.4 million and $14.9 million. We continue to see home equities being the driver to higher balances in the consumer real estate portfolio segment. Home equities account for increased balances of $17.1 million since year-end 2025 and $8.0 million over second quarter of 2026, while the overall consumer real estate portfolio segment shows a smaller gain in comparison to the same time periods of $22.5 million and higher by $15.5 million, respectively.</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the Company has had strong performance thus far in 2026, net income continues to expand in 2026 at a greater percentage than our asset growth, and income generation exceeding growth or reduction in certain expenses. When comparing September 30, 2026, to September 30, 2025, assets grew 6.1% while net income grew 40.0%. Our continued attention on maximizing revenues while limiting expenses is serving us well. The Company remains well capitalized with sound liquidity levels and strong asset quality.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ACTIVITIES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Farmers &amp; Merchants Bancorp, Inc. (the “Company”) is a financial holding company incorporated under the laws of Ohio in 1985. Our subsidiary is The Farmers &amp; Merchants State Bank (the “Bank”), a local independent community bank that has been primarily serving Northwest Ohio, Northeast Indiana and Southeast Michigan since 1897. The Bank includes F&amp;M Insurance Agency, LLC, a subsidiary offering insurance products, which was formed in November of 2023. We report our financial condition and net income on a consolidated basis and we have only one segment.</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offices are located at 307 North Defiance Street, Archbold, Ohio 43502, and our telephone number is (419) 446-2501. The Bank operates thirty-seven full-service banking offices throughout Northwest Ohio, Northeast Indiana and Southeast Michigan along with a drive-up facility in Archbold. The Bank also operates three Loan Production Offices (LPOs), two in Ohio and one in Indiana.</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Farmers &amp; Merchants State Bank engages in general commercial banking and savings business including commercial, agricultural and residential mortgage as well as consumer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of Ohio, Indiana and Michigan. Because the Bank's offices are primarily located in Northwest Ohio, Northeast Indiana and Southeast Michigan, a substantial amount of the loan portfolio is comprised of loans made to customers in the agricultural industry for such items as farmland, farm equipment and operating loans for seed, fertilizer, and feed. Other types of lending activities include loans for home improvements, and loans for the purchase of autos, trucks, and other consumer goods.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Mobile banking has been widely accepted and used by consumers. Upgrades to our digital products and services continue to occur in both retail</w:t>
      </w:r>
    </w:p>
    <w:p>
      <w:pPr>
        <w:spacing w:after="0" w:line="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and business lines. The Bank continues to offer new suites of products as customer preferences change and the Bank adapts and adopts new technologies. The Bank continues to offer products that also meet the needs of our more traditional customers.</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Bank has established underwriting policies and procedures which facilitate operating in a safe and sound manner in accordance with supervisory and regulatory laws and guidance. Within this sphere of safety and soundness, the Bank's practice has been to not promote innovative, unproven credit products which may not be in the best interest of the Bank or its customers. The Bank does offer a hybrid mortgage loan. Hybrid mortgage loans are loans that start out as a fixed rate mortgage but after a set number of years automatically adjust to an adjustable-rate mortgage. The Bank offers a seven and ten year fixed rate mortgage and a seven year jumbo fixed rate mortgage after which the interest rate will adjust annually for all. In order to offer longer-term fixed rate mortgages, the Bank does participate in the Freddie Mac secondary mortgage market, Farm Service Agency (FSA) guaranteed secondary agricultural market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longer-term fixed-rate agricultural mortgages into the secondary market with the aid of brokers. The Bank currently participates in four State of Ohio programs: Ag-Link, Grow Now, Ohio Homebuyers Plus and Buckeye Business Advantage. These four programs allow the Bank to offer a more competitive interest rate to customers. With the acquisition of Perpetual Federal Savings Bank in the fourth quarter of 2021 and the addition of Peoples Federal Savings in the fourth quarter of 2022, the Bank saw an increase in fixed-rate, long-term mortgage loans to our portfolio from that banking service area. In November 2023, the Bank began offering a home buyer mortgage program, Hometown Advantage Mortgage Program, which is available to low- and moderate-income home buyers as well as on properties located in low- and moderate-income census tracts. In the first quarter of 2026, the Bank rolled out a CD/Savings secured loan product for credit building or credit repair to be secured by a time deposit or savings account with a minimum $1,000 loan amount, no origination costs, and no minimum credit score or debt-to-income requirements. This loan product is also intended to assist low- and moderate-income individuals with strengthening their credit.</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loan requests are reviewed as to credit worthiness and are subject to the Bank's underwriting guidelines as to secured versus unsecured credit. Secured loans are in turn subject to loan-to-value (LTV) requirements based on collateral types as set forth in the Bank's Loan Policy. In addition, credit scores of those seeking consumer credit are reviewed and if they do not meet the Bank's Loan Policy guidelines, additional officer approval is required.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Loans:</w:t>
      </w:r>
    </w:p>
    <w:p>
      <w:pPr>
        <w:spacing w:after="0" w:line="27" w:lineRule="exact"/>
        <w:rPr>
          <w:sz w:val="20"/>
          <w:szCs w:val="20"/>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loan to value (LTV) for cars, SUVs, and trucks is 110%.</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with LTVs above 100% are generally the result of sales tax.</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Boats, campers, motorcycles, RV's and Motor Coaches range from 80%-90% based on age of vehicle.</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or 2nd mortgages on 1-4 family homes maximum range from 80-85%.</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land LTV maximum ranges from 65%-75% depending on whether or not the property has been improved.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Commercial/Agriculture: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7" w:lineRule="exact"/>
        <w:rPr>
          <w:sz w:val="20"/>
          <w:szCs w:val="20"/>
          <w:color w:val="auto"/>
        </w:rPr>
      </w:pPr>
    </w:p>
    <w:p>
      <w:pPr>
        <w:ind w:left="1040" w:hanging="29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 LTV less retainages and greater than 90 days.</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w:t>
      </w:r>
    </w:p>
    <w:p>
      <w:pPr>
        <w:spacing w:after="0" w:line="27" w:lineRule="exact"/>
        <w:rPr>
          <w:sz w:val="20"/>
          <w:szCs w:val="20"/>
          <w:color w:val="auto"/>
        </w:rPr>
      </w:pPr>
    </w:p>
    <w:p>
      <w:pPr>
        <w:ind w:left="1040" w:hanging="29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Agriculture:</w:t>
      </w:r>
    </w:p>
    <w:p>
      <w:pPr>
        <w:spacing w:after="0" w:line="9" w:lineRule="exact"/>
        <w:rPr>
          <w:sz w:val="20"/>
          <w:szCs w:val="20"/>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Livestock and grain up to 80% LTV, crops (insured) up to 75% and Warehouse Receipts up to 87%.</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of 50% on raw and finished goods.</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Floor plan:</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New/used vehicles to 100% of wholesale.</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New/Used recreational vehicles and manufactured homes to 80% of wholesale.</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Equipment:</w:t>
      </w:r>
    </w:p>
    <w:p>
      <w:pPr>
        <w:spacing w:after="0" w:line="27" w:lineRule="exact"/>
        <w:rPr>
          <w:sz w:val="20"/>
          <w:szCs w:val="20"/>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not to exceed (NTE) 80% of invoice, used NTE 50% of listed book or 75% of appraised value.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equipment up to 35% of market value.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trucks, titled trailers NTE 75% LTV and aircraft up to 75% of appraised value.</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Real Estate:</w:t>
      </w:r>
    </w:p>
    <w:p>
      <w:pPr>
        <w:spacing w:after="0" w:line="27" w:lineRule="exact"/>
        <w:rPr>
          <w:sz w:val="20"/>
          <w:szCs w:val="20"/>
          <w:color w:val="auto"/>
        </w:rPr>
      </w:pPr>
    </w:p>
    <w:p>
      <w:pPr>
        <w:ind w:left="1020" w:hanging="275"/>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LTVs range from 70%-80% depending on type.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on non-traditional loan up to 85%.</w:t>
      </w:r>
    </w:p>
    <w:p>
      <w:pPr>
        <w:spacing w:after="0" w:line="1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FM Investment Services, the brokerage department of the Bank, opened for business in April 1999. Securities are offered through Raymond James Financial Services, Inc. In November of 2020, FM Investment Services purchased the assets and</w:t>
      </w:r>
    </w:p>
    <w:p>
      <w:pPr>
        <w:spacing w:after="0" w:line="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clients of Adams County Financial Resources (ACFR) which is discussed in further detail in Note 2 to the Company’s financial statements.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holding company is regulated and examined by the Federal Reserve. Our subsidiary bank is in turn regulated and examined by the Ohio Division of Financial Institutions and the Federal Deposit Insurance Corporation. The activities of our bank subsidiary are also subject to other federal and state laws and regulations.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formed an insurance agency, F&amp;M Insurance Agency, LLC, in November 2023 to offer insurance products to our customers. The insurance agency is organized in Ohio and regulated by the State of Ohio, Division of Insurance.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Bank’s primary market includes communities located in the Ohio counties of Butler, Champaign, Defiance, Fulton, Hancock, Henry, Lucas, Shelby, Williams, Wood and in the Indiana counties of Adams, Allen, DeKalb, Jay, Steuben and Wells. The Michigan footprint includes Oakland County.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2026, we had 486 full-time equivalent employees. The employees are not represented by a collective bargaining unit. We provide our employees with a comprehensive benefit program, some of which is contributory. We consider our employee relations to be good.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the Bank continue to monitor federal regulatory developments that may impact operations, capital, and strategic initiatives. Changes in laws, rules, and guidance present operational and compliance challenges and require ongoing evaluation of policies, procedures, and systems.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Truth in Lending Act – Ability to Repay / Qualified Mortgage. </w:t>
      </w:r>
      <w:r>
        <w:rPr>
          <w:rFonts w:ascii="Times New Roman" w:cs="Times New Roman" w:eastAsia="Times New Roman" w:hAnsi="Times New Roman"/>
          <w:sz w:val="18"/>
          <w:szCs w:val="18"/>
          <w:color w:val="auto"/>
        </w:rPr>
        <w:t>The Bank monitors consumer mortgage loans to ensure they meet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Mortgage (QM) requirements, which provide a presumption of compliance under TILA’s Ability to Repay rules. The final General QM Rule, effective October 2022, eliminated the 43% debt-to-income limit, removed Appendix Q underwriting standards, and established price-based thresholds for QM status. Loans must still meet underwriting standards, product features, and points-and-fees limits. The Bank occasionally originates Non-QM and Higher Priced Mortgage Loans, which are reviewed periodically by the Loan Committee.</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Equal Credit Opportunity Act (ECOA) / Section 1071 – Small Business Lending Data Collection. </w:t>
      </w:r>
      <w:r>
        <w:rPr>
          <w:rFonts w:ascii="Times New Roman" w:cs="Times New Roman" w:eastAsia="Times New Roman" w:hAnsi="Times New Roman"/>
          <w:sz w:val="18"/>
          <w:szCs w:val="18"/>
          <w:color w:val="auto"/>
        </w:rPr>
        <w:t>The CFPB’s Section 1071 rule 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institutions to collect and report demographic data on small business credit applications. Court injunctions originally stayed mandatory compliance for community banks, including the Bank. On May 1, 2026, the rule was finalized with an effective date of June 30, 2026 and compliance date of January 1, 2028 to begin data collection. The finalized rule revised certain provision of Regulation B, Subpart B which implements the Equal Credit Opportunity Act. Revisions included coverage of certain credit transactions and financial institutions; covered transaction thresholds for financial institutions subject to reporting; the definition of small business; and exclusion of certain data points not specifically required by Section 1071 statutory language. Initial analysis indicates the Bank may not immediately be subject to data reporting requirements as of January 1, 2028. The Bank continues to evaluate these final rules to gauge impact on small business lending operations, monitor loan volume of reportable loans, and assess these changes in connection with its fair lending program and broader compliance management system.</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Equal Credit Opportunity Act / Regulation B Amendments. </w:t>
      </w:r>
      <w:r>
        <w:rPr>
          <w:rFonts w:ascii="Times New Roman" w:cs="Times New Roman" w:eastAsia="Times New Roman" w:hAnsi="Times New Roman"/>
          <w:sz w:val="18"/>
          <w:szCs w:val="18"/>
          <w:color w:val="auto"/>
        </w:rPr>
        <w:t>In April 2026, the CFPB issued final amendments to Regulation B addressing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disparate impact, discouragement of applicants or prospective applicants, and special purpose credit programs. These amendments may affect fair lending compliance, credit policy administration, training, monitoring, and documentation practices. The Bank continues to evaluate these changes in connection with its fair lending program and broader consumer compliance management system. Additionally, in August 2026, rescission of an interagency statement on special purpose credit programs emphasized creditors may not use race-based or other prohibited characteristics criteria in lending programs unless tied to specific, proven instances of unlawful discrimination.</w:t>
      </w:r>
    </w:p>
    <w:p>
      <w:pPr>
        <w:spacing w:after="0" w:line="1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Community Reinvestment Act (CRA) Updates. </w:t>
      </w:r>
      <w:r>
        <w:rPr>
          <w:rFonts w:ascii="Times New Roman" w:cs="Times New Roman" w:eastAsia="Times New Roman" w:hAnsi="Times New Roman"/>
          <w:sz w:val="18"/>
          <w:szCs w:val="18"/>
          <w:color w:val="auto"/>
        </w:rPr>
        <w:t>The 2023 CRA rule, jointly issued by the Federal Reserve, FDIC, and OCC, is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ongoing litigation and its implementation is currently paused. The agencies have proposed rescinding the 2023 framework and reverting to pre-October 2023 standards. In August 2026, the FDIC, OCC, and Treasury jointly issued new</w:t>
      </w:r>
    </w:p>
    <w:p>
      <w:pPr>
        <w:spacing w:after="0" w:line="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49" w:name="page50"/>
    <w:bookmarkEnd w:id="4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proposed CRA rules offering targeted changes and a 60-day comment period ending on October 13, 2026. The Bank continues to operate under the prior 1995 CRA framework and monitors regulatory updates.</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Financial Data Transparency Act. </w:t>
      </w:r>
      <w:r>
        <w:rPr>
          <w:rFonts w:ascii="Times New Roman" w:cs="Times New Roman" w:eastAsia="Times New Roman" w:hAnsi="Times New Roman"/>
          <w:sz w:val="18"/>
          <w:szCs w:val="18"/>
          <w:color w:val="auto"/>
        </w:rPr>
        <w:t>In June 2026, multiple federal financial regulatory agencies issued final joint data standards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Data Transparency Act to promote interoperability and standardization of regulatory data. Although implementation requirements will depend on subsequent agency actions and the specific reporting obligations applicable to the Company and the Bank, these standards may affect future regulatory reporting formats, data governance, system capabilities, and internal controls over regulatory submissions. The Company and the Bank continue to monitor implementation timelines and assess potential operational impacts.</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Basel III Endgame. </w:t>
      </w:r>
      <w:r>
        <w:rPr>
          <w:rFonts w:ascii="Times New Roman" w:cs="Times New Roman" w:eastAsia="Times New Roman" w:hAnsi="Times New Roman"/>
          <w:sz w:val="18"/>
          <w:szCs w:val="18"/>
          <w:color w:val="auto"/>
        </w:rPr>
        <w:t>The Basel Committee initiated the final phase of Basel III reforms in July 2025, increasing capital requirements, revising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standardized approaches, and limiting internal model usage. While these rules primarily affect global banks, the Bank continues to assess potential indirect implications for capital adequacy and regulatory compliance.</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Community Bank Leverage Ratio. </w:t>
      </w:r>
      <w:r>
        <w:rPr>
          <w:rFonts w:ascii="Times New Roman" w:cs="Times New Roman" w:eastAsia="Times New Roman" w:hAnsi="Times New Roman"/>
          <w:sz w:val="18"/>
          <w:szCs w:val="18"/>
          <w:color w:val="auto"/>
        </w:rPr>
        <w:t>In April 2026, the federal banking agencies finalized revisions to the Community Bank Leverage Ratio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framework, lowering the minimum leverage ratio from 9% to 8% and extending the grace period for temporary noncompliance from two quarters to four quarters, effective July 1, 2026. The change may provide qualifying community banking organizations with additional flexibility to use the simplified capital framework and reduce certain regulatory reporting and capital calculation burdens. The Company and the Bank continue to evaluate eligibility, capital planning considerations, and any related Call Report or regulatory reporting impacts.</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Expanded Examination Cycle for Certain Small Insured Depository Institutions. </w:t>
      </w:r>
      <w:r>
        <w:rPr>
          <w:rFonts w:ascii="Times New Roman" w:cs="Times New Roman" w:eastAsia="Times New Roman" w:hAnsi="Times New Roman"/>
          <w:sz w:val="18"/>
          <w:szCs w:val="18"/>
          <w:color w:val="auto"/>
        </w:rPr>
        <w:t>In September 2026, the federal banking agencies jointly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an interim final rule that expanded eligibility for an 18-month safety and soundness examination cycle for well-capitalized, well managed institutions with less than $6 billion in assets. This doubled the previous $3 billion asset threshold. Effective September 2026, this interim rule is intended to reduce regulatory burden and provide scheduling certainty for qualifying banks. The Bank is presently impacted by this change in the safety and soundness examination cycle.</w:t>
      </w:r>
    </w:p>
    <w:p>
      <w:pPr>
        <w:spacing w:after="0" w:line="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Updated Examination Policies and Examination Manuals. </w:t>
      </w:r>
      <w:r>
        <w:rPr>
          <w:rFonts w:ascii="Times New Roman" w:cs="Times New Roman" w:eastAsia="Times New Roman" w:hAnsi="Times New Roman"/>
          <w:sz w:val="18"/>
          <w:szCs w:val="18"/>
          <w:color w:val="auto"/>
        </w:rPr>
        <w:t>In late August, the FDIC made updates to their Risk Management Manual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Examination Policies for safety and soundness examinations to incorporate changes to requirements in the FDIC Rules and Regulations. These updates included Section 1.1 Basic Examination Concepts, 4.5 Violations of Laws and Regulations, 16.1 Report of Examination Instructions, and 17.1 Example of Risk Management Report of Examination Pages. Concurrently, the FDIC made updates to the Consumer Compliance Examination Manual involving recent changes to Unsafe and Unsound Practices and Matters Requiring Attention. Updated sections included Documenting Earnings in II-4 under Pre-Examination Planning, II-8 Investigations and Visitations, II-11 Appeals, V-9 HMDA, and V-17 Small Dollar Lending.</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Supervisory Ratings and Risk-Based Examination Focus. </w:t>
      </w:r>
      <w:r>
        <w:rPr>
          <w:rFonts w:ascii="Times New Roman" w:cs="Times New Roman" w:eastAsia="Times New Roman" w:hAnsi="Times New Roman"/>
          <w:sz w:val="18"/>
          <w:szCs w:val="18"/>
          <w:color w:val="auto"/>
        </w:rPr>
        <w:t>In May 2026, the federal banking agencies requested comment on proposed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revisions to the Uniform Financial Institutions Rating System, commonly referred to as the CAMELS rating system. Separately, the OCC and other agencies have continued to emphasize risk-based supervision and the removal of reputation risk as a standalone supervisory consideration. These developments may affect the scope, focus, and documentation expectations for examinations, including greater emphasis on material financial risks, governance, internal controls, and risk management practices. The Bank continues to monitor these supervisory developments and assess related policy, procedure, and examination preparation impacts.</w:t>
      </w:r>
    </w:p>
    <w:p>
      <w:pPr>
        <w:spacing w:after="0" w:line="1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GENIUS Act – Payment Stablecoins. </w:t>
      </w:r>
      <w:r>
        <w:rPr>
          <w:rFonts w:ascii="Times New Roman" w:cs="Times New Roman" w:eastAsia="Times New Roman" w:hAnsi="Times New Roman"/>
          <w:sz w:val="18"/>
          <w:szCs w:val="18"/>
          <w:color w:val="auto"/>
        </w:rPr>
        <w:t>Enacted in July 2025, the GENIUS Act establishes standards for payment stablecoins issued by banks,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reserve requirements, reporting, audits, and supervisory oversight. The Bank is evaluating potential strategic and compliance implications under this framework as part of its digital asset initiatives. The Bank remains attentive to proposed rules since regulatory agencies have until 2027 to finalize implementing rules.</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Bank Secrecy Act / Anti-Money Laundering and Sanctions Compliance. </w:t>
      </w:r>
      <w:r>
        <w:rPr>
          <w:rFonts w:ascii="Times New Roman" w:cs="Times New Roman" w:eastAsia="Times New Roman" w:hAnsi="Times New Roman"/>
          <w:sz w:val="18"/>
          <w:szCs w:val="18"/>
          <w:color w:val="auto"/>
        </w:rPr>
        <w:t>Federal banking agencies and FinCEN have continued rulemaking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guidance activity related to anti-money laundering, countering the financing of terrorism, sanctions compliance, customer identification, and customer due diligence expectations, including proposed changes to AML/CFT program requirements that would require financial institutions to maintain effective, risk-based, and reasonably designed AML/CFT programs. These developments may require updates to policies, procedures, risk assessments, customer due diligence processes, monitoring systems, training, and governance practices. The Bank continues to monitor these developments and evaluate potential implications for its BSA/AML and sanctions compliance program.</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Credit Risk and Loan Portfolio Risk Management. </w:t>
      </w:r>
      <w:r>
        <w:rPr>
          <w:rFonts w:ascii="Times New Roman" w:cs="Times New Roman" w:eastAsia="Times New Roman" w:hAnsi="Times New Roman"/>
          <w:sz w:val="18"/>
          <w:szCs w:val="18"/>
          <w:color w:val="auto"/>
        </w:rPr>
        <w:t>The FDIC continues to emphasize safe and sound lending and loan portfolio risk-management practices through its Risk Management Manual of Examination Policies, including Section 3.2, Loans, which was updated in March 2026, and related examination documentation modules for loan portfolio review. These materials address lending policies, loan administration, credit risk rating or grading systems, loan review systems, underwriting, portfolio composition, problem credit management, allowance for credit losses considerations, and board and management</w:t>
      </w:r>
    </w:p>
    <w:p>
      <w:pPr>
        <w:spacing w:after="0" w:line="7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0" w:name="page51"/>
    <w:bookmarkEnd w:id="50"/>
    <w:p>
      <w:pPr>
        <w:jc w:val="both"/>
        <w:spacing w:after="0" w:line="258" w:lineRule="auto"/>
        <w:rPr>
          <w:sz w:val="20"/>
          <w:szCs w:val="20"/>
          <w:color w:val="auto"/>
        </w:rPr>
      </w:pPr>
      <w:r>
        <w:rPr>
          <w:rFonts w:ascii="Times New Roman" w:cs="Times New Roman" w:eastAsia="Times New Roman" w:hAnsi="Times New Roman"/>
          <w:sz w:val="18"/>
          <w:szCs w:val="18"/>
          <w:color w:val="auto"/>
        </w:rPr>
        <w:t>responsibilities. In addition, the interagency guidance on credit risk review systems, which applies to FDIC-supervised depository institutions, emphasizes independent, ongoing credit review and appropriate communication to management and the board regarding loan portfolio performance. These supervisory expectations may affect the Bank’s credit policies, internal controls, loan review practices, allowance for credit losses processes, and documentation of credit risk management activities. The Bank continues to evaluate FDIC and interagency guidance in light of its loan portfolio composition and credit risk profile.</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Executive Order on Fair Banking. </w:t>
      </w:r>
      <w:r>
        <w:rPr>
          <w:rFonts w:ascii="Times New Roman" w:cs="Times New Roman" w:eastAsia="Times New Roman" w:hAnsi="Times New Roman"/>
          <w:sz w:val="18"/>
          <w:szCs w:val="18"/>
          <w:color w:val="auto"/>
        </w:rPr>
        <w:t>An Executive Order issued in August 2025 prohibits denial of financial services based on constitutionally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statutorily protected beliefs, affiliations, or political views, and prohibits politicized or unlawful “debanking.” Banking decisions must be based on individualized, objective, and risk-based analysis. The Bank continues to review and evaluate policies and practices to ensure it does not inadvertently deny financial services based on beliefs, affiliations, or political views.</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Ongoing Commitment. </w:t>
      </w:r>
      <w:r>
        <w:rPr>
          <w:rFonts w:ascii="Times New Roman" w:cs="Times New Roman" w:eastAsia="Times New Roman" w:hAnsi="Times New Roman"/>
          <w:sz w:val="18"/>
          <w:szCs w:val="18"/>
          <w:color w:val="auto"/>
        </w:rPr>
        <w:t>The Company and the Bank continue to make good faith efforts to comply with applicable laws, rules, regulations,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guidance from federal agencies and remain attentive to developments that could affect operations, capital, or strategic initiatives. Changes to the laws and regulations, both at the federal and state levels, can affect the operating environment of the Company and its subsidiaries in substantial and unpredictable ways.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management's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Allowance for Credit Losses (ACL) as the accounting area that requires the most subjective or complex judgments, and as such could be the most subject to revision as new information becomes available.</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that management has the intent and ability to hold for the foreseeable future or until maturity or payoff are reported at amortized cost. Amortized cost is the principal balance outstanding, net of purchase premiums and discounts, deferred loan fees and costs. Accrued interest receivable totaled $14.3 million and $11.7 million at September 30, 2026 and December 31, 2025, respectively, and was reported in Other Assets on the condensed consolidated balance sheets and is excluded from the estimate of credit losses.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that do not share risk characteristics are evaluated on an individual basis. Loans evaluated individually are not included in the collective evaluation; reserves for expected credit losses for collateral-dependent loans are based on the expected shortfall of the loan based on the discounted collateral value. This specific reserve portion of the ACL was $118 thousand at September 30, 2026 and $145 thousand at December 31, 2025.</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1 in the Company's Annual Report on Form 10-K for the year ended December 31, 2025 for further information related to loans and the ACL.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actual composition and classification of loans involved in the establishment of the allowance for credit loss, please see Note 4 provided with the notes to consolidated financial statements.</w:t>
      </w:r>
    </w:p>
    <w:p>
      <w:pPr>
        <w:spacing w:after="0" w:line="2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MATERIAL CHANGES IN FINANCIAL CONDITION, LIQUIDITY AND CAPITAL RESOURCES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continues to focus on deposit growth in both its legacy and newer markets. Core deposits may provide opportunities for additional noninterest income for the Company through the opportunity to cross-sell additional services such as treasury management services and interchange fees. Noninterest bearing deposits increased $17.5 million from September 30, 2025 to September 30, 2026. Interest bearing deposits also increased by $193.0 million over the same time period. This was comprised of an increase in savings accounts of $90.3 million, an increase in time deposits of $70.2 million and an increase in NOW accounts of $32.5 million.</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Deposits have increased $231.8 million as of September 30, 2026 since December 31, 2025 with there being increases in all interest bearing deposits and non-interest bearing being down just slightly. Cash and cash equivalents also increased $108.1 million since December 31, 2025. The Bank had net repayments of $59.5 million in FHLB Borrowings and $15.0 million in federal funds, while funding a net increase in loans of $25.5 million.</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cash and cash equivalent balance increases, the Bank has access to $213 million in unsecured Federal Funds lines for overnight funds from our correspondent banking relationships, which includes a $50 million line of credit that was added in the fourth quarter of 2025. The Company also has a $15.0 million line of credit. The Bank has established four market sources for brokered CDs as additional contingent funding resources. Lastly, the Bank’s secured borrowing capacity limits at the FHLB Cincinnati is $154.8 million based on current collateral pledging. Any additional borrowing over $7.9 million may require additional stock purchases. Pledged collateral included eligible 1-4 family, home equity, and specific commercial and multi-family real estate loans.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2026, the investment portfolio of the Bank had $280.7 million of pledged securities with $170.7 million available in unpledged securities for future borrowings. Currently, securities may be pledged to offset public deposits, our repurchase agreement portfolio or at the Federal Discount Window.</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continues to hold bi-weekly, what is termed “sub-ALCO”, meetings along with continuing the use of a liquidity dashboard and cashflow projection. The liquidity dashboard and the five month forward looking cashflow projection are actively managed documents which continue to be enhanced to provide the most accurate forecast of liquidity positions. The cashflow projection includes loan pipeline expectations and runoffs, and maturities of both sources and uses of funds. The Company has the tools to monitor liquidity and continues to manage the risks to ensure adequate liquidity is maintained.</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comparing to the same period in 2025, the September 30, 2026 (at amortized cost) loan balances of $2.74 billion increased $79.0 million, or 3.0%, from $2.66 billion. This increase included a $66.3 million, or 36.9%, increase in Agricultural loans, a $47.5 million, or 16.1%, increase in Commercial and Industrial loans, and a $26.7 million, or 5.1%, increase in Consumer Real Estate loans. These increases were partially offset by a $34.3 million, or 2.7%, decrease in Commercial Real Estate loans, a $13.3 million, or 21.8%, decrease in Consumer loans, an $11.8 million, or 5.3% decrease in Agricultural Real Estate loans, and a $2.0 million, or 8.3% decrease in Other loans. The Company's team of lenders remain focused on growing a strong, diverse loan portfolio by providing customers valuable localized services as provided for by our deposit growth discussed above, thereby increasing our market share.</w:t>
      </w:r>
    </w:p>
    <w:p>
      <w:pPr>
        <w:spacing w:after="0" w:line="29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color w:val="auto"/>
        </w:rPr>
        <w:t>The chart below shows the breakdown by portfolio segment as of September 30, for the last three years, at amortized cost.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Pr>
          <w:p>
            <w:pPr>
              <w:spacing w:after="0"/>
              <w:rPr>
                <w:sz w:val="16"/>
                <w:szCs w:val="16"/>
                <w:color w:val="auto"/>
              </w:rPr>
            </w:pPr>
          </w:p>
        </w:tc>
      </w:tr>
      <w:tr>
        <w:trPr>
          <w:trHeight w:val="234"/>
        </w:trPr>
        <w:tc>
          <w:tcPr>
            <w:tcW w:w="5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2025</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0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549,582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522,930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524,270</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210,139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220,051</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245,973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179,699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137,587</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1,318,393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1,352,690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1,298,929</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343,349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295,815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260,488</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68,050</w:t>
            </w:r>
          </w:p>
        </w:tc>
        <w:tc>
          <w:tcPr>
            <w:tcW w:w="100" w:type="dxa"/>
            <w:vAlign w:val="bottom"/>
          </w:tcPr>
          <w:p>
            <w:pPr>
              <w:spacing w:after="0"/>
              <w:rPr>
                <w:sz w:val="18"/>
                <w:szCs w:val="18"/>
                <w:color w:val="auto"/>
              </w:rPr>
            </w:pPr>
          </w:p>
        </w:tc>
      </w:tr>
      <w:tr>
        <w:trPr>
          <w:trHeight w:val="216"/>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24,086</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9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Loans, amortized cost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2,737,319</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2,658,275</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2,535,291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4649470</wp:posOffset>
            </wp:positionH>
            <wp:positionV relativeFrom="paragraph">
              <wp:posOffset>-307975</wp:posOffset>
            </wp:positionV>
            <wp:extent cx="6032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-307975</wp:posOffset>
            </wp:positionV>
            <wp:extent cx="6032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-307975</wp:posOffset>
            </wp:positionV>
            <wp:extent cx="60325"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4649470</wp:posOffset>
            </wp:positionH>
            <wp:positionV relativeFrom="paragraph">
              <wp:posOffset>-25400</wp:posOffset>
            </wp:positionV>
            <wp:extent cx="6032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4649470</wp:posOffset>
            </wp:positionH>
            <wp:positionV relativeFrom="paragraph">
              <wp:posOffset>-8255</wp:posOffset>
            </wp:positionV>
            <wp:extent cx="6032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-25400</wp:posOffset>
            </wp:positionV>
            <wp:extent cx="6032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-8255</wp:posOffset>
            </wp:positionV>
            <wp:extent cx="6032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-25400</wp:posOffset>
            </wp:positionV>
            <wp:extent cx="6032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-8255</wp:posOffset>
            </wp:positionV>
            <wp:extent cx="6032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ind w:left="460"/>
        <w:spacing w:after="0" w:line="266" w:lineRule="auto"/>
        <w:rPr>
          <w:sz w:val="20"/>
          <w:szCs w:val="20"/>
          <w:color w:val="auto"/>
        </w:rPr>
      </w:pPr>
      <w:r>
        <w:rPr>
          <w:rFonts w:ascii="Times New Roman" w:cs="Times New Roman" w:eastAsia="Times New Roman" w:hAnsi="Times New Roman"/>
          <w:sz w:val="18"/>
          <w:szCs w:val="18"/>
          <w:color w:val="auto"/>
        </w:rPr>
        <w:t>The Bank maintains a well-balanced, diverse and high performing commercial real estate loan portfolio. Gross commercial real estate loans, excluding deferred loan fees and costs, represented 48.23% of the Company's total gross loan portfolio as of September 30, 2026. The tables below present the commercial real estate (CRE) portfolio segment by category, location and loan grade.</w:t>
      </w:r>
    </w:p>
    <w:p>
      <w:pPr>
        <w:spacing w:after="0" w:line="176"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Dollar</w:t>
            </w:r>
          </w:p>
        </w:tc>
        <w:tc>
          <w:tcPr>
            <w:tcW w:w="320" w:type="dxa"/>
            <w:vAlign w:val="bottom"/>
          </w:tcPr>
          <w:p>
            <w:pPr>
              <w:spacing w:after="0"/>
              <w:rPr>
                <w:sz w:val="18"/>
                <w:szCs w:val="18"/>
                <w:color w:val="auto"/>
              </w:rPr>
            </w:pPr>
          </w:p>
        </w:tc>
        <w:tc>
          <w:tcPr>
            <w:tcW w:w="12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Percent of</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Percent of</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Balance</w:t>
            </w:r>
          </w:p>
        </w:tc>
        <w:tc>
          <w:tcPr>
            <w:tcW w:w="320" w:type="dxa"/>
            <w:vAlign w:val="bottom"/>
          </w:tcPr>
          <w:p>
            <w:pPr>
              <w:spacing w:after="0"/>
              <w:rPr>
                <w:sz w:val="18"/>
                <w:szCs w:val="18"/>
                <w:color w:val="auto"/>
              </w:rPr>
            </w:pPr>
          </w:p>
        </w:tc>
        <w:tc>
          <w:tcPr>
            <w:tcW w:w="12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6"/>
              </w:rPr>
              <w:t>CRE</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Total Loan</w:t>
            </w:r>
          </w:p>
        </w:tc>
      </w:tr>
      <w:tr>
        <w:trPr>
          <w:trHeight w:val="234"/>
        </w:trPr>
        <w:tc>
          <w:tcPr>
            <w:tcW w:w="20" w:type="dxa"/>
            <w:vAlign w:val="bottom"/>
          </w:tcPr>
          <w:p>
            <w:pPr>
              <w:spacing w:after="0"/>
              <w:rPr>
                <w:sz w:val="20"/>
                <w:szCs w:val="20"/>
                <w:color w:val="auto"/>
              </w:rPr>
            </w:pPr>
          </w:p>
        </w:tc>
        <w:tc>
          <w:tcPr>
            <w:tcW w:w="25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CRE Category</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0"/>
                <w:szCs w:val="20"/>
                <w:color w:val="auto"/>
              </w:rPr>
            </w:pPr>
          </w:p>
        </w:tc>
        <w:tc>
          <w:tcPr>
            <w:tcW w:w="12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Portfolio</w:t>
            </w:r>
          </w:p>
        </w:tc>
        <w:tc>
          <w:tcPr>
            <w:tcW w:w="5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Portfolio</w:t>
            </w:r>
          </w:p>
        </w:tc>
        <w:tc>
          <w:tcPr>
            <w:tcW w:w="1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Multi-family</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248,851</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18.84%</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9.09%</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241,155</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18.25%</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8.80%</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Industrial</w:t>
            </w:r>
          </w:p>
        </w:tc>
        <w:tc>
          <w:tcPr>
            <w:tcW w:w="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211,320</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16.00%</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7.72%</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Hotels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176,727</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13.38%</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w:t>
            </w:r>
          </w:p>
        </w:tc>
        <w:tc>
          <w:tcPr>
            <w:tcW w:w="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125,283</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9.48%</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Gas Stations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83,361</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6.31%</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Food Service</w:t>
            </w:r>
          </w:p>
        </w:tc>
        <w:tc>
          <w:tcPr>
            <w:tcW w:w="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53,045</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4.02%</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35,527</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2.69%</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 Dealers</w:t>
            </w:r>
          </w:p>
        </w:tc>
        <w:tc>
          <w:tcPr>
            <w:tcW w:w="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26,163</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1.98%</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0.95%</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Senior Living</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17,205</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1.30%</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0.63%</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102,384</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7.75%</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3.74%</w:t>
            </w:r>
          </w:p>
        </w:tc>
      </w:tr>
      <w:tr>
        <w:trPr>
          <w:trHeight w:val="20"/>
        </w:trPr>
        <w:tc>
          <w:tcPr>
            <w:tcW w:w="20" w:type="dxa"/>
            <w:vAlign w:val="bottom"/>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CRE</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1,321,021</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100.00%</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48.23%</w:t>
            </w: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3449320</wp:posOffset>
            </wp:positionH>
            <wp:positionV relativeFrom="paragraph">
              <wp:posOffset>-170815</wp:posOffset>
            </wp:positionV>
            <wp:extent cx="5143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4752340</wp:posOffset>
            </wp:positionH>
            <wp:positionV relativeFrom="paragraph">
              <wp:posOffset>-170815</wp:posOffset>
            </wp:positionV>
            <wp:extent cx="11112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-170815</wp:posOffset>
            </wp:positionV>
            <wp:extent cx="11112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394"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Dollar</w:t>
            </w:r>
          </w:p>
        </w:tc>
        <w:tc>
          <w:tcPr>
            <w:tcW w:w="380" w:type="dxa"/>
            <w:vAlign w:val="bottom"/>
          </w:tcPr>
          <w:p>
            <w:pPr>
              <w:spacing w:after="0"/>
              <w:rPr>
                <w:sz w:val="18"/>
                <w:szCs w:val="18"/>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CRE Category</w:t>
            </w:r>
            <w:r>
              <w:rPr>
                <w:rFonts w:ascii="Times New Roman" w:cs="Times New Roman" w:eastAsia="Times New Roman" w:hAnsi="Times New Roman"/>
                <w:sz w:val="24"/>
                <w:szCs w:val="24"/>
                <w:color w:val="auto"/>
                <w:vertAlign w:val="superscript"/>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Balance</w:t>
            </w:r>
          </w:p>
        </w:tc>
        <w:tc>
          <w:tcPr>
            <w:tcW w:w="38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Borders>
              <w:bottom w:val="single" w:sz="8" w:color="auto"/>
            </w:tcBorders>
            <w:vMerge w:val="continue"/>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Portfolio</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Owner occupied</w:t>
            </w: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559,809</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Non-owner occupied</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476,834</w:t>
            </w:r>
          </w:p>
        </w:tc>
        <w:tc>
          <w:tcPr>
            <w:tcW w:w="2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248,851</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Land &amp; Development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35,527</w:t>
            </w:r>
          </w:p>
        </w:tc>
        <w:tc>
          <w:tcPr>
            <w:tcW w:w="38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CRE</w:t>
            </w: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1,321,021</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4263390</wp:posOffset>
            </wp:positionH>
            <wp:positionV relativeFrom="paragraph">
              <wp:posOffset>-24765</wp:posOffset>
            </wp:positionV>
            <wp:extent cx="4318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-7620</wp:posOffset>
            </wp:positionV>
            <wp:extent cx="4318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-24765</wp:posOffset>
            </wp:positionV>
            <wp:extent cx="11112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-7620</wp:posOffset>
            </wp:positionV>
            <wp:extent cx="11112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left="5240" w:right="3060" w:hanging="3845"/>
        <w:spacing w:after="0" w:line="657" w:lineRule="auto"/>
        <w:tabs>
          <w:tab w:leader="none" w:pos="15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Categories assume construction loans converted to either owner or non-owner occupied.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239395</wp:posOffset>
            </wp:positionV>
            <wp:extent cx="715772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161" w:right="339" w:bottom="1440" w:gutter="0" w:footer="0" w:header="0"/>
        </w:sectPr>
      </w:pPr>
    </w:p>
    <w:bookmarkStart w:id="53" w:name="page54"/>
    <w:bookmarkEnd w:id="53"/>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Dollar Balance</w:t>
            </w:r>
          </w:p>
        </w:tc>
        <w:tc>
          <w:tcPr>
            <w:tcW w:w="380" w:type="dxa"/>
            <w:vAlign w:val="bottom"/>
          </w:tcPr>
          <w:p>
            <w:pPr>
              <w:spacing w:after="0"/>
              <w:rPr>
                <w:sz w:val="18"/>
                <w:szCs w:val="18"/>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Percent of</w:t>
            </w:r>
          </w:p>
        </w:tc>
      </w:tr>
      <w:tr>
        <w:trPr>
          <w:trHeight w:val="234"/>
        </w:trPr>
        <w:tc>
          <w:tcPr>
            <w:tcW w:w="20" w:type="dxa"/>
            <w:vAlign w:val="bottom"/>
          </w:tcPr>
          <w:p>
            <w:pPr>
              <w:spacing w:after="0"/>
              <w:rPr>
                <w:sz w:val="20"/>
                <w:szCs w:val="20"/>
                <w:color w:val="auto"/>
              </w:rPr>
            </w:pPr>
          </w:p>
        </w:tc>
        <w:tc>
          <w:tcPr>
            <w:tcW w:w="29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Location</w:t>
            </w: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CRE Portfolio</w:t>
            </w:r>
          </w:p>
        </w:tc>
        <w:tc>
          <w:tcPr>
            <w:tcW w:w="1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Southeast Michigan</w:t>
            </w:r>
          </w:p>
        </w:tc>
        <w:tc>
          <w:tcPr>
            <w:tcW w:w="3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515,968</w:t>
            </w:r>
          </w:p>
        </w:tc>
        <w:tc>
          <w:tcPr>
            <w:tcW w:w="38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39.06%</w:t>
            </w:r>
          </w:p>
        </w:tc>
      </w:tr>
      <w:tr>
        <w:trPr>
          <w:trHeight w:val="216"/>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Northwest Ohio</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293,654</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22.23%</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Greater Fort Wayne, Indiana</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145,046</w:t>
            </w:r>
          </w:p>
        </w:tc>
        <w:tc>
          <w:tcPr>
            <w:tcW w:w="2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10.98%</w:t>
            </w:r>
          </w:p>
        </w:tc>
      </w:tr>
      <w:tr>
        <w:trPr>
          <w:trHeight w:val="216"/>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Columbus, Ohio</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99,439</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7.53%</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Greater Indianapolis, Indiana</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86,763</w:t>
            </w:r>
          </w:p>
        </w:tc>
        <w:tc>
          <w:tcPr>
            <w:tcW w:w="2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6.57%</w:t>
            </w:r>
          </w:p>
        </w:tc>
      </w:tr>
      <w:tr>
        <w:trPr>
          <w:trHeight w:val="216"/>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Dayton/Cincinnati, Ohio</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58,124</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122,027</w:t>
            </w:r>
          </w:p>
        </w:tc>
        <w:tc>
          <w:tcPr>
            <w:tcW w:w="38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9.23%</w:t>
            </w: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CRE</w:t>
            </w:r>
          </w:p>
        </w:tc>
        <w:tc>
          <w:tcPr>
            <w:tcW w:w="62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1,321,021</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-24765</wp:posOffset>
            </wp:positionV>
            <wp:extent cx="4318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4318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11112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1112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CRE Grades</w:t>
            </w:r>
          </w:p>
        </w:tc>
        <w:tc>
          <w:tcPr>
            <w:tcW w:w="280" w:type="dxa"/>
            <w:vAlign w:val="bottom"/>
          </w:tcPr>
          <w:p>
            <w:pPr>
              <w:spacing w:after="0"/>
              <w:rPr>
                <w:sz w:val="20"/>
                <w:szCs w:val="20"/>
                <w:color w:val="auto"/>
              </w:rPr>
            </w:pPr>
          </w:p>
        </w:tc>
        <w:tc>
          <w:tcPr>
            <w:tcW w:w="1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September 30, 2026</w:t>
            </w:r>
          </w:p>
        </w:tc>
        <w:tc>
          <w:tcPr>
            <w:tcW w:w="460" w:type="dxa"/>
            <w:vAlign w:val="bottom"/>
          </w:tcPr>
          <w:p>
            <w:pPr>
              <w:spacing w:after="0"/>
              <w:rPr>
                <w:sz w:val="20"/>
                <w:szCs w:val="20"/>
                <w:color w:val="auto"/>
              </w:rPr>
            </w:pPr>
          </w:p>
        </w:tc>
        <w:tc>
          <w:tcPr>
            <w:tcW w:w="1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September 30, 2025</w:t>
            </w:r>
          </w:p>
        </w:tc>
        <w:tc>
          <w:tcPr>
            <w:tcW w:w="460" w:type="dxa"/>
            <w:vAlign w:val="bottom"/>
          </w:tcPr>
          <w:p>
            <w:pPr>
              <w:spacing w:after="0"/>
              <w:rPr>
                <w:sz w:val="20"/>
                <w:szCs w:val="20"/>
                <w:color w:val="auto"/>
              </w:rPr>
            </w:pPr>
          </w:p>
        </w:tc>
        <w:tc>
          <w:tcPr>
            <w:tcW w:w="1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September 30, 2024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Pr>
          <w:p>
            <w:pPr>
              <w:spacing w:after="0"/>
              <w:rPr>
                <w:sz w:val="18"/>
                <w:szCs w:val="18"/>
                <w:color w:val="auto"/>
              </w:rPr>
            </w:pP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3.35%</w:t>
            </w: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2.44%</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5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41.17%</w:t>
            </w:r>
          </w:p>
        </w:tc>
        <w:tc>
          <w:tcPr>
            <w:tcW w:w="22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46.30%</w:t>
            </w: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37.27%</w:t>
            </w:r>
          </w:p>
        </w:tc>
        <w:tc>
          <w:tcPr>
            <w:tcW w:w="0" w:type="dxa"/>
            <w:vAlign w:val="bottom"/>
          </w:tcPr>
          <w:p>
            <w:pPr>
              <w:spacing w:after="0"/>
              <w:rPr>
                <w:sz w:val="1"/>
                <w:szCs w:val="1"/>
                <w:color w:val="auto"/>
              </w:rPr>
            </w:pPr>
          </w:p>
        </w:tc>
      </w:tr>
      <w:tr>
        <w:trPr>
          <w:trHeight w:val="216"/>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49.82%</w:t>
            </w: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43.63%</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58.34%</w:t>
            </w: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5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2.43%</w:t>
            </w:r>
          </w:p>
        </w:tc>
        <w:tc>
          <w:tcPr>
            <w:tcW w:w="22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4.27%</w:t>
            </w: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80" w:type="dxa"/>
            <w:vAlign w:val="bottom"/>
          </w:tcPr>
          <w:p>
            <w:pPr>
              <w:spacing w:after="0"/>
              <w:rPr>
                <w:sz w:val="18"/>
                <w:szCs w:val="18"/>
                <w:color w:val="auto"/>
              </w:rPr>
            </w:pP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3.23%</w:t>
            </w: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3.36%</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is a contractual maturity schedule by portfolio segment at amortized cost excluding fair value adjustments related to acquisitions as of September 30, 2026.</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September 30, 2026</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rPr>
              <w:t>After One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After Five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Within</w:t>
            </w:r>
          </w:p>
        </w:tc>
        <w:tc>
          <w:tcPr>
            <w:tcW w:w="100" w:type="dxa"/>
            <w:vAlign w:val="bottom"/>
          </w:tcPr>
          <w:p>
            <w:pPr>
              <w:spacing w:after="0"/>
              <w:rPr>
                <w:sz w:val="18"/>
                <w:szCs w:val="18"/>
                <w:color w:val="auto"/>
              </w:rPr>
            </w:pPr>
          </w:p>
        </w:tc>
        <w:tc>
          <w:tcPr>
            <w:tcW w:w="1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Year Within</w:t>
            </w:r>
          </w:p>
        </w:tc>
        <w:tc>
          <w:tcPr>
            <w:tcW w:w="100" w:type="dxa"/>
            <w:vAlign w:val="bottom"/>
          </w:tcPr>
          <w:p>
            <w:pPr>
              <w:spacing w:after="0"/>
              <w:rPr>
                <w:sz w:val="18"/>
                <w:szCs w:val="18"/>
                <w:color w:val="auto"/>
              </w:rPr>
            </w:pP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Years Within</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After</w:t>
            </w:r>
          </w:p>
        </w:tc>
      </w:tr>
      <w:tr>
        <w:trPr>
          <w:trHeight w:val="234"/>
        </w:trPr>
        <w:tc>
          <w:tcPr>
            <w:tcW w:w="5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One Year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Five Years</w:t>
            </w:r>
          </w:p>
        </w:tc>
        <w:tc>
          <w:tcPr>
            <w:tcW w:w="100" w:type="dxa"/>
            <w:vAlign w:val="bottom"/>
          </w:tcPr>
          <w:p>
            <w:pPr>
              <w:spacing w:after="0"/>
              <w:rPr>
                <w:sz w:val="20"/>
                <w:szCs w:val="20"/>
                <w:color w:val="auto"/>
              </w:rPr>
            </w:pPr>
          </w:p>
        </w:tc>
        <w:tc>
          <w:tcPr>
            <w:tcW w:w="116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Fifteen Years</w:t>
            </w:r>
          </w:p>
        </w:tc>
        <w:tc>
          <w:tcPr>
            <w:tcW w:w="100" w:type="dxa"/>
            <w:vAlign w:val="bottom"/>
          </w:tcPr>
          <w:p>
            <w:pPr>
              <w:spacing w:after="0"/>
              <w:rPr>
                <w:sz w:val="20"/>
                <w:szCs w:val="20"/>
                <w:color w:val="auto"/>
              </w:rPr>
            </w:pPr>
          </w:p>
        </w:tc>
        <w:tc>
          <w:tcPr>
            <w:tcW w:w="116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Fifteen Years</w:t>
            </w:r>
          </w:p>
        </w:tc>
        <w:tc>
          <w:tcPr>
            <w:tcW w:w="100" w:type="dxa"/>
            <w:vAlign w:val="bottom"/>
          </w:tcPr>
          <w:p>
            <w:pPr>
              <w:spacing w:after="0"/>
              <w:rPr>
                <w:sz w:val="20"/>
                <w:szCs w:val="20"/>
                <w:color w:val="auto"/>
              </w:rPr>
            </w:pP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30,587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212,579</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295,922</w:t>
            </w:r>
          </w:p>
        </w:tc>
        <w:tc>
          <w:tcPr>
            <w:tcW w:w="10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125,520</w:t>
            </w:r>
          </w:p>
        </w:tc>
        <w:tc>
          <w:tcPr>
            <w:tcW w:w="10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142,463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66,686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0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155,323</w:t>
            </w:r>
          </w:p>
        </w:tc>
        <w:tc>
          <w:tcPr>
            <w:tcW w:w="10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149,085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127,990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64,154</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r>
      <w:tr>
        <w:trPr>
          <w:trHeight w:val="216"/>
        </w:trPr>
        <w:tc>
          <w:tcPr>
            <w:tcW w:w="5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17,426</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394,599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917,114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842,159</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583,447</w:t>
            </w:r>
          </w:p>
        </w:tc>
        <w:tc>
          <w:tcPr>
            <w:tcW w:w="10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-170815</wp:posOffset>
            </wp:positionV>
            <wp:extent cx="7747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Presented below are fixed rate loans and variable rate loans by portfolio segment as of September 30, 2026 and December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(In Thousands)</w:t>
            </w: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209"/>
        </w:trPr>
        <w:tc>
          <w:tcPr>
            <w:tcW w:w="3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color w:val="auto"/>
              </w:rPr>
              <w:t>September 30, 2026</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10"/>
        </w:trPr>
        <w:tc>
          <w:tcPr>
            <w:tcW w:w="3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Fixed</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Variable</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Fixed</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Variable</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246,925</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301,988</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267,368</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259,071</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3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93,737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116,584</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104,902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112,132</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57,038</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188,601</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63,789</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154,261</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712,484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608,537</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800,127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555,444</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134,801</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208,919</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147,465</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166,940</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3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46,943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58,809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12,917</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9,172</w:t>
            </w:r>
          </w:p>
        </w:tc>
        <w:tc>
          <w:tcPr>
            <w:tcW w:w="2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13,709</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9,424</w:t>
            </w:r>
          </w:p>
        </w:tc>
      </w:tr>
      <w:tr>
        <w:trPr>
          <w:trHeight w:val="210"/>
        </w:trPr>
        <w:tc>
          <w:tcPr>
            <w:tcW w:w="3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1,304,845</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1,434,109</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1,456,169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1,257,301</w:t>
            </w:r>
          </w:p>
        </w:tc>
      </w:tr>
      <w:tr>
        <w:trPr>
          <w:trHeight w:val="20"/>
        </w:trPr>
        <w:tc>
          <w:tcPr>
            <w:tcW w:w="3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-170815</wp:posOffset>
            </wp:positionV>
            <wp:extent cx="12001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-170815</wp:posOffset>
            </wp:positionV>
            <wp:extent cx="120015"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120015"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Variable rate loans that have reached ceiling or floor limits are reported as fixed rate loans until such time as their rates adjust away from those limits.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Management feels confident that anticipated liquidity needs can be met through additional maturities from the security portfolio, increased deposit generating efforts and additional borrowings. While the security portfolio has been utilized to fund loan growth in previous periods, additional sources have been cultivated. The security portfolio increased in the first nine months of 2026 from year end 2025 due to net purchases of $42.4 million. During the current quarter, the security portfolio increased due to net purchases of $20.5 million. In the first quarter of 2026, sales of odd lot mortgage-backed securities were executed and generated a realized loss of $347 thousand which were replaced with purchases of higher yielding securities. The amount of pledged investment securities increased by $14.2 million as compared to year end and $13.6 million as compared to September 30, 2025. As of September 30, 2026, pledged investment securities totaled $280.7 million. The Company plans to make additional purchases of securities for the remainder of the year for the purpose of increasing our investment holdings, liquidity and contingency planning and as a means of balance sheet gap management.</w:t>
      </w:r>
    </w:p>
    <w:p>
      <w:pPr>
        <w:spacing w:after="0" w:line="14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As mentioned previously, an additional $154.8 million is also available to the Bank from the FHLB based on current amounts of pledged collateral. The Bank has pledged eligible 1-4 family, home equity, commercial real estate, multifamily real estate portfolios and specific securities. The CRE holdings may be adjusted quarterly to replace paydowns or increase availability of funds. Based on total asset capacity, the Bank would have more than $1.2 billion available to borrow.</w:t>
      </w:r>
    </w:p>
    <w:p>
      <w:pPr>
        <w:spacing w:after="0" w:line="15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With the exception of FHLB stocks, carried at cost, which is shown as other securities, all of the Company’s security portfolio is categorized as “available-for-sale” and as such is recorded at fair value.</w:t>
      </w:r>
    </w:p>
    <w:p>
      <w:pPr>
        <w:spacing w:after="0" w:line="12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Overall total assets increased 4.8% or $164.7 million since year end 2025 and $96.9 million or 2.8% since June 30, 2026. The largest areas of growth since December 2025 occurred in the cash and due from banks and the security portfolio of $108.1 million and $33.9 million, respectively, as well as a $23.4 million increase in the loan portfolio. Although the loan portfolio did increase, the Bank continues to pursue loan growth with total new money funded in the nine months ended September 30, 2026 of $676.8 million and $231.2 million in the third quarter.</w:t>
      </w:r>
    </w:p>
    <w:p>
      <w:pPr>
        <w:spacing w:after="0" w:line="13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Total liabilities increased $148.6 million since year end 2025 and $94.7 million since the end on the second quarter. The largest increase was in total deposits of $231.8 million. The mix of deposits saw increases in interest-bearing NOW accounts, savings and money market deposit accounts and time deposit accounts, offset by decreases in noninterest-bearing accounts since December 31, 2025. During the first nine months of 2026, net FHLB advances of $59.4 million and federal funds purchased of $15 million have been repaid.</w:t>
      </w:r>
    </w:p>
    <w:p>
      <w:pPr>
        <w:spacing w:after="0" w:line="153"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Shareholders’ equity increased by $16.1 million as of September 30, 2026 compared to year end 2025 and $2.2 million since June 30, 2026. Accumulated other comprehensive loss increased in unrealized loss position by $6.7 million from December 2025 to an unrealized loss of approximately $18.6 million on September 30, 2026. Dividends declared increased from the prior quarter $0.23 per share to $0.25 per share and were 9.9% over third quarter 2025’s $0.2275 per share. Compared to September 30, 2025, shareholders’ equity increased 7.0% or $25.1 million, primarily attributable to net income generated over this period, less dividends provided to shareholders. Net income was higher for the nine months ended September 30, 2026 compared to September 30, 2025 by 40.0% or $9.4 million.</w:t>
      </w:r>
    </w:p>
    <w:p>
      <w:pPr>
        <w:spacing w:after="0" w:line="147"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Basel III regulatory capital requirements include a capital conservation buffer of 2.5%. As of September 30, 2026, the Company and the Bank are both positioned well above the current requirement.</w:t>
      </w:r>
    </w:p>
    <w:p>
      <w:pPr>
        <w:spacing w:after="0" w:line="12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While the Holding Company generally has sufficient liquidity to maintain its dividend policy without relying on the upstreaming of dividends from the Bank, the Bank declared a $9 million dividend during the third quarter of 2026. A portion of the excess funds upstreamed are for sub-debt paydowns and the repurchase of shares, of which 41,500 shares were repurchased in the third quarter for approximately $1.4 million. The Company intends to pay down $7.0 million, or 20%, of its outstanding subordinated notes with its next quarterly interest payment October 30, 2026.</w:t>
      </w:r>
    </w:p>
    <w:p>
      <w:pPr>
        <w:spacing w:after="0" w:line="156"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Bank continues to be well-capitalized at September 30, 2026 in accordance with Federal regulatory capital requirements as the capital ratios below show: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I Leverage Ratio</w:t>
            </w:r>
          </w:p>
        </w:tc>
        <w:tc>
          <w:tcPr>
            <w:tcW w:w="3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Risk Based Capital Tier I</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Risk Based Capital</w:t>
            </w:r>
          </w:p>
        </w:tc>
        <w:tc>
          <w:tcPr>
            <w:tcW w:w="3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Equity/Total Assets</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Conservation Buffer</w:t>
            </w:r>
          </w:p>
        </w:tc>
        <w:tc>
          <w:tcPr>
            <w:tcW w:w="3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240" w:type="dxa"/>
            <w:vAlign w:val="bottom"/>
          </w:tcPr>
          <w:p>
            <w:pPr>
              <w:spacing w:after="0"/>
              <w:rPr>
                <w:sz w:val="18"/>
                <w:szCs w:val="18"/>
                <w:color w:val="auto"/>
              </w:rPr>
            </w:pPr>
          </w:p>
        </w:tc>
      </w:tr>
      <w:tr>
        <w:trPr>
          <w:trHeight w:val="715"/>
        </w:trPr>
        <w:tc>
          <w:tcPr>
            <w:tcW w:w="2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80" w:type="dxa"/>
            <w:vAlign w:val="bottom"/>
          </w:tcPr>
          <w:p>
            <w:pPr>
              <w:jc w:val="right"/>
              <w:ind w:right="3190"/>
              <w:spacing w:after="0"/>
              <w:rPr>
                <w:sz w:val="20"/>
                <w:szCs w:val="20"/>
                <w:color w:val="auto"/>
              </w:rPr>
            </w:pPr>
            <w:r>
              <w:rPr>
                <w:rFonts w:ascii="Times New Roman" w:cs="Times New Roman" w:eastAsia="Times New Roman" w:hAnsi="Times New Roman"/>
                <w:sz w:val="18"/>
                <w:szCs w:val="18"/>
                <w:color w:val="auto"/>
              </w:rPr>
              <w:t>55</w:t>
            </w:r>
          </w:p>
        </w:tc>
        <w:tc>
          <w:tcPr>
            <w:tcW w:w="2240" w:type="dxa"/>
            <w:vAlign w:val="bottom"/>
          </w:tcPr>
          <w:p>
            <w:pPr>
              <w:spacing w:after="0"/>
              <w:rPr>
                <w:sz w:val="24"/>
                <w:szCs w:val="24"/>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ind w:left="760"/>
        <w:spacing w:after="0"/>
        <w:rPr>
          <w:sz w:val="20"/>
          <w:szCs w:val="20"/>
          <w:color w:val="auto"/>
        </w:rPr>
      </w:pPr>
      <w:r>
        <w:rPr>
          <w:rFonts w:ascii="Times New Roman" w:cs="Times New Roman" w:eastAsia="Times New Roman" w:hAnsi="Times New Roman"/>
          <w:sz w:val="18"/>
          <w:szCs w:val="18"/>
          <w:b w:val="1"/>
          <w:bCs w:val="1"/>
          <w:color w:val="auto"/>
        </w:rPr>
        <w:t>MATERIAL CHANGES IN RESULTS OF OPERATIONS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Results of Interest Earnings and Expenses for three month periods ended September 30, 2026 and 2025</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8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When comparing third quarter 2026 to third quarter 2025, average loan balances grew $77.2 million, which represented a 2.9% increase. Interest income on loans increased just under $1.1 million or 2.6% as compared to the quarter ended September 30, 2025. Loan interest for third quarter 2025 included a one-time fee collected of $195 thousand in addition to $191 thousand from the recovery of one acquired relationship that had been fully charged off prior to acquisition. The Company's loan portfolio is 52.4% variable rate with 33.9% of total loans subject to repricing within the next three months.</w:t>
      </w:r>
    </w:p>
    <w:p>
      <w:pPr>
        <w:spacing w:after="0" w:line="135"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available-for-sale securities portfolio increased in average balances by $24.5 million or 5.3% when comparing to the same quarter in 2025 with the income associated with the security portfolio increasing $711 thousand over third quarter 2025. During the current quarter, maturities and paydowns of securities were $19.7 million, purchases were $40.2 million and unrealized loss increased $5.9 million. The additional income from the security portfolio can be attributed to the increased book yield of 2.97% as of September 30, 2026 from 2.32% as of September 30, 2025. Federal funds sold and interest-bearing deposits increased in average balances by $89.3 million as compared to the same quarter in 2025 with increased income of $749 thousand for the current quarter. The increased balances are primarily the result of the focus on liquidity and deposit generation offset by funding loans and repayment of other borrowed money.</w:t>
      </w:r>
    </w:p>
    <w:p>
      <w:pPr>
        <w:spacing w:after="0" w:line="162"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overall total average balance of the Bank’s earning assets increased by $191 million and interest income for the quarter comparisons were higher for third quarter 2026 by 5.6% or $2.5 million as compared to third quarter 2025. Rate changes between periods have contributed to approximately 9.7% of the growth.</w:t>
      </w:r>
    </w:p>
    <w:p>
      <w:pPr>
        <w:spacing w:after="0" w:line="13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Annualized yield, for the quarter ended September 30, 2026, was 5.61% as compared to 5.62% for the quarter ended September 30, 2025. The following charts demonstrate increased loan balances accounted for 114.0% of the increased loan interest income which was offset by rate decreases of 14.0%. The yields on tax-exempt securities and the portion of the tax-exempt IDB and agricultural loans included in loans have been tax adjusted based on a 21% tax rate in the charts that follow. The tax-exempt interest income was $717 and $132 thousand for third quarter 2026 and 2025, respectively, which resulted in federal tax savings of $151 and $28 thousand, respectively, less the TEFRA adjustments of $15 and $4 thousand, respectively.</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Earning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Taxable investment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Tax-exempt investment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 funds sold &amp; other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Interest Earning Assets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5"/>
          </w:tcPr>
          <w:p>
            <w:pPr>
              <w:jc w:val="right"/>
              <w:ind w:right="13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5"/>
            <w:vMerge w:val="restart"/>
          </w:tcPr>
          <w:p>
            <w:pPr>
              <w:jc w:val="right"/>
              <w:ind w:right="980"/>
              <w:spacing w:after="0"/>
              <w:rPr>
                <w:sz w:val="20"/>
                <w:szCs w:val="20"/>
                <w:color w:val="auto"/>
              </w:rPr>
            </w:pPr>
            <w:r>
              <w:rPr>
                <w:rFonts w:ascii="Times New Roman" w:cs="Times New Roman" w:eastAsia="Times New Roman" w:hAnsi="Times New Roman"/>
                <w:sz w:val="18"/>
                <w:szCs w:val="18"/>
                <w:color w:val="auto"/>
              </w:rPr>
              <w:t>Annualized Yield/Rate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gridSpan w:val="5"/>
          </w:tcPr>
          <w:p>
            <w:pPr>
              <w:jc w:val="right"/>
              <w:ind w:right="330"/>
              <w:spacing w:after="0"/>
              <w:rPr>
                <w:sz w:val="20"/>
                <w:szCs w:val="20"/>
                <w:color w:val="auto"/>
              </w:rPr>
            </w:pPr>
            <w:r>
              <w:rPr>
                <w:rFonts w:ascii="Times New Roman" w:cs="Times New Roman" w:eastAsia="Times New Roman" w:hAnsi="Times New Roman"/>
                <w:sz w:val="18"/>
                <w:szCs w:val="18"/>
                <w:color w:val="auto"/>
              </w:rPr>
              <w:t>Quarter to Date Ended September 30, 2026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Interest/Dividends</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2,726,585</w:t>
            </w:r>
          </w:p>
        </w:tc>
        <w:tc>
          <w:tcPr>
            <w:tcW w:w="100" w:type="dxa"/>
            <w:vAlign w:val="bottom"/>
          </w:tcPr>
          <w:p>
            <w:pPr>
              <w:spacing w:after="0"/>
              <w:rPr>
                <w:sz w:val="16"/>
                <w:szCs w:val="16"/>
                <w:color w:val="auto"/>
              </w:rPr>
            </w:pPr>
          </w:p>
        </w:tc>
        <w:tc>
          <w:tcPr>
            <w:tcW w:w="3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42,061</w:t>
            </w:r>
          </w:p>
        </w:tc>
        <w:tc>
          <w:tcPr>
            <w:tcW w:w="100" w:type="dxa"/>
            <w:vAlign w:val="bottom"/>
          </w:tcPr>
          <w:p>
            <w:pPr>
              <w:spacing w:after="0"/>
              <w:rPr>
                <w:sz w:val="16"/>
                <w:szCs w:val="16"/>
                <w:color w:val="auto"/>
              </w:rPr>
            </w:pPr>
          </w:p>
        </w:tc>
        <w:tc>
          <w:tcPr>
            <w:tcW w:w="1800" w:type="dxa"/>
            <w:vAlign w:val="bottom"/>
            <w:gridSpan w:val="3"/>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6.18%</w:t>
            </w:r>
          </w:p>
        </w:tc>
        <w:tc>
          <w:tcPr>
            <w:tcW w:w="178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3.63%</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3,357,644</w:t>
            </w:r>
          </w:p>
        </w:tc>
        <w:tc>
          <w:tcPr>
            <w:tcW w:w="24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46,992</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5.61%</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-719455</wp:posOffset>
            </wp:positionV>
            <wp:extent cx="7132320" cy="13716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-445135</wp:posOffset>
            </wp:positionV>
            <wp:extent cx="7132320" cy="13716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-161925</wp:posOffset>
            </wp:positionV>
            <wp:extent cx="7132320" cy="16256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900" w:space="720"/>
            <w:col w:w="7620"/>
          </w:cols>
          <w:pgMar w:left="320" w:top="981" w:right="339" w:bottom="1440" w:gutter="0" w:footer="0" w:header="0"/>
          <w:type w:val="continuous"/>
        </w:sectPr>
      </w:pPr>
    </w:p>
    <w:p>
      <w:pPr>
        <w:ind w:left="2480"/>
        <w:spacing w:after="0"/>
        <w:rPr>
          <w:sz w:val="20"/>
          <w:szCs w:val="20"/>
          <w:color w:val="auto"/>
        </w:rPr>
      </w:pPr>
      <w:r>
        <w:rPr>
          <w:rFonts w:ascii="Times New Roman" w:cs="Times New Roman" w:eastAsia="Times New Roman" w:hAnsi="Times New Roman"/>
          <w:sz w:val="18"/>
          <w:szCs w:val="18"/>
          <w:u w:val="single" w:color="auto"/>
          <w:color w:val="auto"/>
        </w:rPr>
        <w:t>Change in Interest Income Quarter to Date September 30, 2026 Compared to September 30, 2025</w:t>
      </w:r>
    </w:p>
    <w:p>
      <w:pPr>
        <w:sectPr>
          <w:pgSz w:w="11900" w:h="16838" w:orient="portrait"/>
          <w:cols w:equalWidth="0" w:num="1">
            <w:col w:w="11240"/>
          </w:cols>
          <w:pgMar w:left="320" w:top="98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Interest Earning Assets: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Loans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Taxable investment securities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Tax-exempt investment securities</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Fed funds sold &amp; other</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Interest Earning Assets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Change Due</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Total Change</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 Volume</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 Rate</w:t>
            </w:r>
          </w:p>
        </w:tc>
      </w:tr>
      <w:tr>
        <w:trPr>
          <w:trHeight w:val="191"/>
        </w:trPr>
        <w:tc>
          <w:tcPr>
            <w:tcW w:w="20" w:type="dxa"/>
            <w:vAlign w:val="bottom"/>
          </w:tcPr>
          <w:p>
            <w:pPr>
              <w:spacing w:after="0"/>
              <w:rPr>
                <w:sz w:val="16"/>
                <w:szCs w:val="16"/>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1,048</w:t>
            </w:r>
          </w:p>
        </w:tc>
        <w:tc>
          <w:tcPr>
            <w:tcW w:w="3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1,195</w:t>
            </w:r>
          </w:p>
        </w:tc>
        <w:tc>
          <w:tcPr>
            <w:tcW w:w="3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(147)</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910</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0"/>
        </w:trPr>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2,263</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-719455</wp:posOffset>
            </wp:positionV>
            <wp:extent cx="5700395" cy="13716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-445135</wp:posOffset>
            </wp:positionV>
            <wp:extent cx="5700395" cy="13716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-161925</wp:posOffset>
            </wp:positionV>
            <wp:extent cx="5700395" cy="16256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4740" w:space="720"/>
            <w:col w:w="5780"/>
          </w:cols>
          <w:pgMar w:left="320" w:top="981" w:right="339" w:bottom="1440" w:gutter="0" w:footer="0" w:header="0"/>
          <w:type w:val="continuous"/>
        </w:sect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Contributing to the increased net interest income for the quarter was a decrease in interest expense of $531 thousand or 3.0% compared to third quarter 2025. Since September 30, 2025, average interest-bearing deposit balances have increased $186 million or 8.3% while the Company recognized $302 thousand less in interest expense for the most recent quarter. In September 2025, the Federal Reserve made its first rate change to the federal funds rate for 2025 with a reduction of 25 basis points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56" w:name="page57"/>
    <w:bookmarkEnd w:id="56"/>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followed by reductions of 25 basis points in both October and December. In September 2026, the Federal Reserve increased the federal funds rate by 25 basis points. Deposit rates continue to be reviewed and adjusted with rate changes. The following charts demonstrate increased average interest-bearing deposit balances accounted for $1.3 million of additional interest-bearing deposit expense while rate decreases accounted for decreased interest-bearing deposit expense of $1.6 million. Noninterest-bearing average deposits balances increased $13.8 million compared to third quarter 2025. The Bank continues to focus on capturing the full customer relationship; however, it has sometimes resulted in more expensive deposits being brought in.</w:t>
      </w:r>
    </w:p>
    <w:p>
      <w:pPr>
        <w:spacing w:after="0" w:line="160"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Interest expense on borrowed funds decreased $272 thousand in the third quarter 2026 over the same time frame in 2025 due to the repayment of FHLB advances. During the current quarter, FHLB borrowings of $547 thousand were repaid. Interest expense on federal funds purchased and securities sold under agreement to repurchase decreased $153 thousand compared to third quarter 2025 due to the decrease of $12.4 million in average balances. Cost of funds decreased even with growth in interest-bearing deposit balances offset by decreased borrowings and securities sold under agreement to repurchase compared to third quarter 2025. The average cost of funds decreased to 2.59% in third quarter of 2026 compared to 2.83% in third quarter 2025. Interest expense due to subordinated notes increased $196 thousand during the third quarter 2026 as compared to third quarter 2025 as the rate has changed to the Three-Month SOFR plus a spread of 263 basis points. Refer to Note 11 for additional information on subordinated notes.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(In Thousands)</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gridSpan w:val="5"/>
            <w:vMerge w:val="restart"/>
          </w:tcPr>
          <w:p>
            <w:pPr>
              <w:jc w:val="right"/>
              <w:ind w:right="1000"/>
              <w:spacing w:after="0"/>
              <w:rPr>
                <w:sz w:val="20"/>
                <w:szCs w:val="20"/>
                <w:color w:val="auto"/>
              </w:rPr>
            </w:pPr>
            <w:r>
              <w:rPr>
                <w:rFonts w:ascii="Times New Roman" w:cs="Times New Roman" w:eastAsia="Times New Roman" w:hAnsi="Times New Roman"/>
                <w:sz w:val="18"/>
                <w:szCs w:val="18"/>
                <w:color w:val="auto"/>
              </w:rPr>
              <w:t>Annualized Yield/Rate</w:t>
            </w:r>
          </w:p>
        </w:tc>
        <w:tc>
          <w:tcPr>
            <w:tcW w:w="0" w:type="dxa"/>
            <w:vAlign w:val="bottom"/>
          </w:tcPr>
          <w:p>
            <w:pPr>
              <w:spacing w:after="0"/>
              <w:rPr>
                <w:sz w:val="1"/>
                <w:szCs w:val="1"/>
                <w:color w:val="auto"/>
              </w:rPr>
            </w:pPr>
          </w:p>
        </w:tc>
      </w:tr>
      <w:tr>
        <w:trPr>
          <w:trHeight w:val="209"/>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80" w:type="dxa"/>
            <w:vAlign w:val="bottom"/>
          </w:tcPr>
          <w:p>
            <w:pPr>
              <w:spacing w:after="0"/>
              <w:rPr>
                <w:sz w:val="18"/>
                <w:szCs w:val="18"/>
                <w:color w:val="auto"/>
              </w:rPr>
            </w:pPr>
          </w:p>
        </w:tc>
        <w:tc>
          <w:tcPr>
            <w:tcW w:w="3740" w:type="dxa"/>
            <w:vAlign w:val="bottom"/>
            <w:gridSpan w:val="5"/>
          </w:tcPr>
          <w:p>
            <w:pPr>
              <w:jc w:val="right"/>
              <w:ind w:right="330"/>
              <w:spacing w:after="0"/>
              <w:rPr>
                <w:sz w:val="20"/>
                <w:szCs w:val="20"/>
                <w:color w:val="auto"/>
              </w:rPr>
            </w:pPr>
            <w:r>
              <w:rPr>
                <w:rFonts w:ascii="Times New Roman" w:cs="Times New Roman" w:eastAsia="Times New Roman" w:hAnsi="Times New Roman"/>
                <w:sz w:val="18"/>
                <w:szCs w:val="18"/>
                <w:color w:val="auto"/>
              </w:rPr>
              <w:t>Quarter to Date Ended September 30, 2026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NOW accounts and savings deposits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1,730,869</w:t>
            </w:r>
          </w:p>
        </w:tc>
        <w:tc>
          <w:tcPr>
            <w:tcW w:w="78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19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Borrowed funds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168,106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9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4.03%</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Fed funds purchased &amp; securities</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3.24%</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900" w:type="dxa"/>
            <w:vAlign w:val="bottom"/>
            <w:tcBorders>
              <w:bottom w:val="single" w:sz="8" w:color="CFF0FC"/>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5.49%</w:t>
            </w:r>
          </w:p>
        </w:tc>
        <w:tc>
          <w:tcPr>
            <w:tcW w:w="180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2,633,797</w:t>
            </w:r>
          </w:p>
        </w:tc>
        <w:tc>
          <w:tcPr>
            <w:tcW w:w="7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17,052</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-170815</wp:posOffset>
            </wp:positionV>
            <wp:extent cx="6858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-170815</wp:posOffset>
            </wp:positionV>
            <wp:extent cx="6858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u w:val="single" w:color="auto"/>
          <w:color w:val="auto"/>
        </w:rPr>
        <w:t>Change in Interest Expense Quarter to Date September 30, 2026 Compared to September 30, 2025</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91"/>
        </w:trPr>
        <w:tc>
          <w:tcPr>
            <w:tcW w:w="52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12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Change Due</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1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Total Change</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to Volume</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 Rate</w:t>
            </w: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NOW accounts and savings deposits</w:t>
            </w:r>
          </w:p>
        </w:tc>
        <w:tc>
          <w:tcPr>
            <w:tcW w:w="40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682</w:t>
            </w: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Borrowed funds</w:t>
            </w: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198"/>
        </w:trPr>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Fed funds purchased &amp; securities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4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4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977</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r>
      <w:tr>
        <w:trPr>
          <w:trHeight w:val="20"/>
        </w:trPr>
        <w:tc>
          <w:tcPr>
            <w:tcW w:w="5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-170815</wp:posOffset>
            </wp:positionV>
            <wp:extent cx="76835"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7747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As the following chart indicates, the decreased cost of funds of 24 basis points offset by a slight decrease in yields on interest earning assets of 1 basis point equated to a 23 basis point improvement in net interest spread when comparing to the same period a year ago. Competition for deposits remains intense with most competitors offering special rates for specific terms.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76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September 30,</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September 30,</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Interest/Dividend income/yield</w:t>
            </w:r>
          </w:p>
        </w:tc>
        <w:tc>
          <w:tcPr>
            <w:tcW w:w="276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5.61%</w:t>
            </w:r>
          </w:p>
        </w:tc>
        <w:tc>
          <w:tcPr>
            <w:tcW w:w="13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5.62%</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Expense/cost</w:t>
            </w:r>
          </w:p>
        </w:tc>
        <w:tc>
          <w:tcPr>
            <w:tcW w:w="14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44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3.02%</w:t>
            </w:r>
          </w:p>
        </w:tc>
        <w:tc>
          <w:tcPr>
            <w:tcW w:w="13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2.79%</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Interest Margin</w:t>
            </w:r>
          </w:p>
        </w:tc>
        <w:tc>
          <w:tcPr>
            <w:tcW w:w="1440" w:type="dxa"/>
            <w:vAlign w:val="bottom"/>
          </w:tcPr>
          <w:p>
            <w:pPr>
              <w:spacing w:after="0"/>
              <w:rPr>
                <w:sz w:val="17"/>
                <w:szCs w:val="17"/>
                <w:color w:val="auto"/>
              </w:rPr>
            </w:pPr>
          </w:p>
        </w:tc>
        <w:tc>
          <w:tcPr>
            <w:tcW w:w="1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3.57%</w:t>
            </w:r>
          </w:p>
        </w:tc>
        <w:tc>
          <w:tcPr>
            <w:tcW w:w="1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3.40%</w:t>
            </w: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-187960</wp:posOffset>
            </wp:positionV>
            <wp:extent cx="11112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-170815</wp:posOffset>
            </wp:positionV>
            <wp:extent cx="11112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-187960</wp:posOffset>
            </wp:positionV>
            <wp:extent cx="11112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111125"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-187960</wp:posOffset>
            </wp:positionV>
            <wp:extent cx="11112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111125"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89"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Net interest income increased slightly more than $3.0 million for the third quarter 2026 over the same time frame in 2025 due to the increase in interest income of $2.5 million combined with the interest expense decrease of $531 thousand as previously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7" w:name="page58"/>
    <w:bookmarkEnd w:id="57"/>
    <w:p>
      <w:pPr>
        <w:jc w:val="both"/>
        <w:spacing w:after="0" w:line="255" w:lineRule="auto"/>
        <w:rPr>
          <w:sz w:val="20"/>
          <w:szCs w:val="20"/>
          <w:color w:val="auto"/>
        </w:rPr>
      </w:pPr>
      <w:r>
        <w:rPr>
          <w:rFonts w:ascii="Times New Roman" w:cs="Times New Roman" w:eastAsia="Times New Roman" w:hAnsi="Times New Roman"/>
          <w:sz w:val="18"/>
          <w:szCs w:val="18"/>
          <w:color w:val="auto"/>
        </w:rPr>
        <w:t>mentioned. As the new loans added in 2025 and 2026 generate more income, management expects the benefits of the Company’s strategy of repositioning the balance sheet to increase interest income in the long run. The Company has some opportunity for improved asset yield with loans repricing in 2026 and a greater opportunity beginning in 2027 and 2028. Loans as a percentage of earning assets decreased to 81.2% in third quarter 2026 compared to 83.7% in third quarter 2025. Loans to total assets decreased to 76.8% in third quarter 2026 compared to 79.1% for the same period 2025. The percentage of earning assets to total assets remained flat at 94.6% for the three months ended September 30, 2026 and 2025. In terms of net interest margin, the Bank recognizes competition for deposits will continue; however, there is a greater opportunity for gradual improvement with repricing loans upwards in the next year.</w:t>
      </w:r>
    </w:p>
    <w:p>
      <w:pPr>
        <w:spacing w:after="0" w:line="158" w:lineRule="exact"/>
        <w:rPr>
          <w:sz w:val="20"/>
          <w:szCs w:val="20"/>
          <w:color w:val="auto"/>
        </w:rPr>
      </w:pPr>
    </w:p>
    <w:p>
      <w:pPr>
        <w:ind w:right="2020"/>
        <w:spacing w:after="0" w:line="45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Comparison of Noninterest Results of Operations for three month periods ended September 30, 2026 and 2025 </w:t>
      </w:r>
      <w:r>
        <w:rPr>
          <w:rFonts w:ascii="Times New Roman" w:cs="Times New Roman" w:eastAsia="Times New Roman" w:hAnsi="Times New Roman"/>
          <w:sz w:val="18"/>
          <w:szCs w:val="18"/>
          <w:b w:val="1"/>
          <w:bCs w:val="1"/>
          <w:color w:val="auto"/>
        </w:rPr>
        <w:t>Provision Expense</w:t>
      </w: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Credit Losses (ACL) has a direct impact on the provision expense. The increase in the ACL is funded through recoveries and provision expense.</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provision for credit losses increased $90 thousand for the three months ended September 30, 2026 as compared to the same period in 2025. Management continues to monitor asset quality, making adjustments to the provision as necessary, in accordance with the Bank's chosen CECL methodology. The impact of higher interest rates and inflation are taken into consideration when reviewing qualitative factors. Loan charge-offs were $15 thousand higher during the three months ended September 30, 2026 than the same period in 2025. Loan charge-offs for the current quarter were in the consumer portfolio and consumer real estate portfolio segments while 99.2% of charge-offs for the same period in 2025 were in the consumer portfolio. Of the total consumer charge-offs, $13 and $43 thousand were for automobiles and trucks for the three months ended September 30, 2026 and 2025, respectively. 2025 consumer charge-offs also included $9 thousand for recreational vehicles. Recoveries were $39 thousand higher during the three months ended September 30, 2026 as compared to same period in 2025 with 94.0% of total current quarter recoveries in the consumer portfolio compared to 78.7% for the same period in 2025. Of the total consumer recoveries, $59 thousand were for automobiles and trucks and $12 thousand were for recreational vehicles for the three months ended September 30, 2026 compared to $18 thousand for automobiles and trucks for the same period in 2025. Combined net charge-offs were $24 thousand lower in the three months ended September 30, 2026 than the same time period in 2025. All of the time periods in 2025 and 2026 had net charge-offs to total loans ratios lower than 0.1% attesting to the strong asset quality of the Bank's loan portfolio.</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provision for credit losses on loans decreased by $661 thousand or 118.7% in the third quarter of 2026 compared to the third quarter of 2025 with gross loan portfolio growth of $33.1 million or 1.2% in the third quarter of 2026 compared to gross loan portfolio growth of $33.3 million or 1.3% in the third quarter of 2025. Gross commercial real estate loan balances grew by $12.4 million or 0.9% in the third quarter of 2026 compared to gross commercial real estate loan balance growth of $9.2 million or 0.7% in the third quarter of 2025. Commercial real estate loans tend to have higher reserves; however, included in the commercial real estate loan category are construction loans, which decreased by $16.6 million in the third quarter of 2026, and typically carry higher reserves based on loss history. Likewise, the Bank has experienced reductions in consumer loans which tend to have higher reserves, and an increase in agricultural loans which tend to have a lower reserve based on loss history. Moreover, the reduction in the national unemployment rate resulted in lower expected future loss rates, as supported by the low level of net charge-off activity experienced in the third quarter of 2026. Similarly, the Bank’s total Special Mention and Substandard loans decreased by $30.3 million in the third quarter of 2026 compared to the second quarter of 2026, contributing to a lower allowance for credit loss. Lastly, the specific reserve portion of the ACL for collateral dependent loans decreased in the third quarter of 2026 by $93 thousand primarily due to some principal paydowns on individually evaluated loans, compared to an increase in specific reserves of $298 thousand in the third quarter of 2025.</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provision for unfunded loan commitments increased $751 thousand in the third quarter of 2026 compared to the third quarter of 2025. Unfunded loan commitments increased $55.0 million in third quarter of 2026 compared to decreasing $3.9 million in third quarter of 2025. The majority of the increase in unfunded loan commitments in the third quarter of 2026 included $28 million in Commercial &amp; Industrial and $27 million in Construction &amp; Development compared to the second quarter of 2026. The former is expected to fund in the fourth quarter of 2026 and the latter carries the highest reserve percentage among unfunded loan categories due to higher funding assumptions and historical loss rates, hence the larger increase in the allowance for unfunded loan commitments in the third quarter of 2026.</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past due 30 or more days increased $3.8 million at September 30, 2026 as compared to September 30, 2025. The largest changes were attributed to the agricultural real estate portfolio segment which increased $2.7 million for the same time period, of which $3.0 million is attributed to one loan. The consumer real estate portfolio segment also increased $1.4 million while the commercial real estate portfolio segment decreased $430 thousand as compared to September 30, 2025.</w:t>
      </w:r>
    </w:p>
    <w:p>
      <w:pPr>
        <w:spacing w:after="0" w:line="7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8" w:name="page59"/>
    <w:bookmarkEnd w:id="58"/>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activity within the ACL for each portfolio segment and shows the contribution provided by both recoveries and the provision, along with the reduction of the allowance caused by charge-offs. The time period covered is for the three months ended September 30, 2026, 2025, and 2024.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2"/>
          </w:tcPr>
          <w:p>
            <w:pPr>
              <w:jc w:val="right"/>
              <w:ind w:right="36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2"/>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September 30, 2026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September 30, 2024</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amortized cost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2,737,319</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2,658,275</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2,535,291</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Daily average of outstanding loans</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2,726,200</w:t>
            </w:r>
          </w:p>
        </w:tc>
        <w:tc>
          <w:tcPr>
            <w:tcW w:w="18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2,647,632</w:t>
            </w:r>
          </w:p>
        </w:tc>
        <w:tc>
          <w:tcPr>
            <w:tcW w:w="18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2,550,297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Nonaccrual loans</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6,219</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5,155</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2,898</w:t>
            </w:r>
          </w:p>
        </w:tc>
        <w:tc>
          <w:tcPr>
            <w:tcW w:w="1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Nonperforming loans*</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6,219</w:t>
            </w:r>
          </w:p>
        </w:tc>
        <w:tc>
          <w:tcPr>
            <w:tcW w:w="18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5,155</w:t>
            </w:r>
          </w:p>
        </w:tc>
        <w:tc>
          <w:tcPr>
            <w:tcW w:w="18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2,898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 January 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27,941</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26,977</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Loans Charged off:</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Agriculture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 Recoveries:</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Agriculture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Charge Offs (Recoveries):</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Agriculture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Allowance for Credit Losses - September 30,</w:t>
            </w: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27,802</w:t>
            </w: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Allowance for Unfunded Loan Commitments</w:t>
            </w:r>
          </w:p>
        </w:tc>
        <w:tc>
          <w:tcPr>
            <w:tcW w:w="140" w:type="dxa"/>
            <w:vAlign w:val="bottom"/>
            <w:shd w:val="clear" w:color="auto" w:fill="CFF0FC"/>
          </w:tcPr>
          <w:p>
            <w:pPr>
              <w:spacing w:after="0"/>
              <w:rPr>
                <w:sz w:val="17"/>
                <w:szCs w:val="17"/>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&amp; Letters of Credit - September 30,</w:t>
            </w:r>
          </w:p>
        </w:tc>
        <w:tc>
          <w:tcPr>
            <w:tcW w:w="14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Allowance for Credit Losses - September 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29,470</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28,511</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Ratio of Net Charge-offs to Average Outstanding</w:t>
            </w:r>
          </w:p>
        </w:tc>
        <w:tc>
          <w:tcPr>
            <w:tcW w:w="140" w:type="dxa"/>
            <w:vAlign w:val="bottom"/>
            <w:shd w:val="clear" w:color="auto" w:fill="CFF0FC"/>
          </w:tcPr>
          <w:p>
            <w:pPr>
              <w:spacing w:after="0"/>
              <w:rPr>
                <w:sz w:val="15"/>
                <w:szCs w:val="15"/>
                <w:color w:val="auto"/>
              </w:rPr>
            </w:pPr>
          </w:p>
        </w:tc>
        <w:tc>
          <w:tcPr>
            <w:tcW w:w="1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4"/>
        </w:trPr>
        <w:tc>
          <w:tcPr>
            <w:tcW w:w="47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Loans</w:t>
            </w:r>
          </w:p>
        </w:tc>
        <w:tc>
          <w:tcPr>
            <w:tcW w:w="140" w:type="dxa"/>
            <w:vAlign w:val="bottom"/>
            <w:shd w:val="clear" w:color="auto" w:fill="CFF0FC"/>
          </w:tcPr>
          <w:p>
            <w:pPr>
              <w:spacing w:after="0"/>
              <w:rPr>
                <w:sz w:val="18"/>
                <w:szCs w:val="18"/>
                <w:color w:val="auto"/>
              </w:rPr>
            </w:pPr>
          </w:p>
        </w:tc>
        <w:tc>
          <w:tcPr>
            <w:tcW w:w="19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Ratio of Nonaccrual Loans to Loans</w:t>
            </w:r>
          </w:p>
        </w:tc>
        <w:tc>
          <w:tcPr>
            <w:tcW w:w="140" w:type="dxa"/>
            <w:vAlign w:val="bottom"/>
          </w:tcPr>
          <w:p>
            <w:pPr>
              <w:spacing w:after="0"/>
              <w:rPr>
                <w:sz w:val="17"/>
                <w:szCs w:val="17"/>
                <w:color w:val="auto"/>
              </w:rPr>
            </w:pPr>
          </w:p>
        </w:tc>
        <w:tc>
          <w:tcPr>
            <w:tcW w:w="19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w:t>
            </w:r>
          </w:p>
        </w:tc>
        <w:tc>
          <w:tcPr>
            <w:tcW w:w="140" w:type="dxa"/>
            <w:vAlign w:val="bottom"/>
            <w:shd w:val="clear" w:color="auto" w:fill="CFF0FC"/>
          </w:tcPr>
          <w:p>
            <w:pPr>
              <w:spacing w:after="0"/>
              <w:rPr>
                <w:sz w:val="15"/>
                <w:szCs w:val="15"/>
                <w:color w:val="auto"/>
              </w:rPr>
            </w:pPr>
          </w:p>
        </w:tc>
        <w:tc>
          <w:tcPr>
            <w:tcW w:w="1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4"/>
        </w:trPr>
        <w:tc>
          <w:tcPr>
            <w:tcW w:w="47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to Loans</w:t>
            </w:r>
          </w:p>
        </w:tc>
        <w:tc>
          <w:tcPr>
            <w:tcW w:w="140" w:type="dxa"/>
            <w:vAlign w:val="bottom"/>
            <w:shd w:val="clear" w:color="auto" w:fill="CFF0FC"/>
          </w:tcPr>
          <w:p>
            <w:pPr>
              <w:spacing w:after="0"/>
              <w:rPr>
                <w:sz w:val="18"/>
                <w:szCs w:val="18"/>
                <w:color w:val="auto"/>
              </w:rPr>
            </w:pPr>
          </w:p>
        </w:tc>
        <w:tc>
          <w:tcPr>
            <w:tcW w:w="19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40" w:type="dxa"/>
            <w:vAlign w:val="bottom"/>
          </w:tcPr>
          <w:p>
            <w:pPr>
              <w:spacing w:after="0"/>
              <w:rPr>
                <w:sz w:val="15"/>
                <w:szCs w:val="15"/>
                <w:color w:val="auto"/>
              </w:rPr>
            </w:pPr>
          </w:p>
        </w:tc>
        <w:tc>
          <w:tcPr>
            <w:tcW w:w="1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447.05%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532.98%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879.37%</w:t>
            </w:r>
          </w:p>
        </w:tc>
        <w:tc>
          <w:tcPr>
            <w:tcW w:w="0" w:type="dxa"/>
            <w:vAlign w:val="bottom"/>
          </w:tcPr>
          <w:p>
            <w:pPr>
              <w:spacing w:after="0"/>
              <w:rPr>
                <w:sz w:val="1"/>
                <w:szCs w:val="1"/>
                <w:color w:val="auto"/>
              </w:rPr>
            </w:pPr>
          </w:p>
        </w:tc>
      </w:tr>
      <w:tr>
        <w:trPr>
          <w:trHeight w:val="194"/>
        </w:trPr>
        <w:tc>
          <w:tcPr>
            <w:tcW w:w="47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Nonaccrual Loans</w:t>
            </w:r>
          </w:p>
        </w:tc>
        <w:tc>
          <w:tcPr>
            <w:tcW w:w="14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40" w:type="dxa"/>
            <w:vAlign w:val="bottom"/>
            <w:shd w:val="clear" w:color="auto" w:fill="CFF0FC"/>
          </w:tcPr>
          <w:p>
            <w:pPr>
              <w:spacing w:after="0"/>
              <w:rPr>
                <w:sz w:val="15"/>
                <w:szCs w:val="15"/>
                <w:color w:val="auto"/>
              </w:rPr>
            </w:pPr>
          </w:p>
        </w:tc>
        <w:tc>
          <w:tcPr>
            <w:tcW w:w="1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447.05%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532.98%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879.37%</w:t>
            </w:r>
          </w:p>
        </w:tc>
        <w:tc>
          <w:tcPr>
            <w:tcW w:w="0" w:type="dxa"/>
            <w:vAlign w:val="bottom"/>
          </w:tcPr>
          <w:p>
            <w:pPr>
              <w:spacing w:after="0"/>
              <w:rPr>
                <w:sz w:val="1"/>
                <w:szCs w:val="1"/>
                <w:color w:val="auto"/>
              </w:rPr>
            </w:pPr>
          </w:p>
        </w:tc>
      </w:tr>
      <w:tr>
        <w:trPr>
          <w:trHeight w:val="214"/>
        </w:trPr>
        <w:tc>
          <w:tcPr>
            <w:tcW w:w="47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Nonperforming Loans*</w:t>
            </w:r>
          </w:p>
        </w:tc>
        <w:tc>
          <w:tcPr>
            <w:tcW w:w="140" w:type="dxa"/>
            <w:vAlign w:val="bottom"/>
            <w:shd w:val="clear" w:color="auto" w:fill="CFF0FC"/>
          </w:tcPr>
          <w:p>
            <w:pPr>
              <w:spacing w:after="0"/>
              <w:rPr>
                <w:sz w:val="18"/>
                <w:szCs w:val="18"/>
                <w:color w:val="auto"/>
              </w:rPr>
            </w:pPr>
          </w:p>
        </w:tc>
        <w:tc>
          <w:tcPr>
            <w:tcW w:w="19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-6102985</wp:posOffset>
            </wp:positionV>
            <wp:extent cx="11112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-6085840</wp:posOffset>
            </wp:positionV>
            <wp:extent cx="111125"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-6102985</wp:posOffset>
            </wp:positionV>
            <wp:extent cx="11112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-6085840</wp:posOffset>
            </wp:positionV>
            <wp:extent cx="111125"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-6102985</wp:posOffset>
            </wp:positionV>
            <wp:extent cx="11176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-6085840</wp:posOffset>
            </wp:positionV>
            <wp:extent cx="11176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-5777230</wp:posOffset>
            </wp:positionV>
            <wp:extent cx="11112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-5760085</wp:posOffset>
            </wp:positionV>
            <wp:extent cx="11112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-5777230</wp:posOffset>
            </wp:positionV>
            <wp:extent cx="11112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-5760085</wp:posOffset>
            </wp:positionV>
            <wp:extent cx="11112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-5777230</wp:posOffset>
            </wp:positionV>
            <wp:extent cx="11176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-5760085</wp:posOffset>
            </wp:positionV>
            <wp:extent cx="11176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-4366895</wp:posOffset>
            </wp:positionV>
            <wp:extent cx="136525" cy="17970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-4366895</wp:posOffset>
            </wp:positionV>
            <wp:extent cx="136525" cy="17970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-4366895</wp:posOffset>
            </wp:positionV>
            <wp:extent cx="137160" cy="17970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-3252470</wp:posOffset>
            </wp:positionV>
            <wp:extent cx="136525" cy="17970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-3252470</wp:posOffset>
            </wp:positionV>
            <wp:extent cx="136525" cy="17970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-3252470</wp:posOffset>
            </wp:positionV>
            <wp:extent cx="137160" cy="17970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-1842135</wp:posOffset>
            </wp:positionV>
            <wp:extent cx="11112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-1842135</wp:posOffset>
            </wp:positionV>
            <wp:extent cx="11112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-1842135</wp:posOffset>
            </wp:positionV>
            <wp:extent cx="11176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-1430655</wp:posOffset>
            </wp:positionV>
            <wp:extent cx="11112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-1430655</wp:posOffset>
            </wp:positionV>
            <wp:extent cx="11112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-1430655</wp:posOffset>
            </wp:positionV>
            <wp:extent cx="11176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-1010920</wp:posOffset>
            </wp:positionV>
            <wp:extent cx="11112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-993775</wp:posOffset>
            </wp:positionV>
            <wp:extent cx="111125"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-1010920</wp:posOffset>
            </wp:positionV>
            <wp:extent cx="111125"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-993775</wp:posOffset>
            </wp:positionV>
            <wp:extent cx="11112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-1010920</wp:posOffset>
            </wp:positionV>
            <wp:extent cx="11176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-993775</wp:posOffset>
            </wp:positionV>
            <wp:extent cx="11176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-573405</wp:posOffset>
            </wp:positionV>
            <wp:extent cx="111125"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-556260</wp:posOffset>
            </wp:positionV>
            <wp:extent cx="111125"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-573405</wp:posOffset>
            </wp:positionV>
            <wp:extent cx="111125"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-556260</wp:posOffset>
            </wp:positionV>
            <wp:extent cx="111125"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-573405</wp:posOffset>
            </wp:positionV>
            <wp:extent cx="11176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-556260</wp:posOffset>
            </wp:positionV>
            <wp:extent cx="11176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111125"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11112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111125"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11112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*Nonperforming loans are defined as all loans on nonaccrual, plus any loans past due 90 days not on nonaccrual.</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9" w:name="page60"/>
    <w:bookmarkEnd w:id="59"/>
    <w:p>
      <w:pPr>
        <w:jc w:val="both"/>
        <w:spacing w:after="0" w:line="261" w:lineRule="auto"/>
        <w:rPr>
          <w:sz w:val="20"/>
          <w:szCs w:val="20"/>
          <w:color w:val="auto"/>
        </w:rPr>
      </w:pPr>
      <w:r>
        <w:rPr>
          <w:rFonts w:ascii="Times New Roman" w:cs="Times New Roman" w:eastAsia="Times New Roman" w:hAnsi="Times New Roman"/>
          <w:sz w:val="18"/>
          <w:szCs w:val="18"/>
          <w:color w:val="auto"/>
        </w:rPr>
        <w:t>The balance of loans, amortized cost at September 30, 2026, September 30, 2025 and September 30, 2024 within this chart does not include a fair value basis adjustment for derivatives of a $159 thousand reduction, $1.9 million and $3.0 million, respectively, or a daily average outstanding balance of $385 thousand, $1.8 million or $1.6 million, respectively. Refer to Note 7 for additional information related to derivative financial instruments.</w:t>
      </w:r>
    </w:p>
    <w:p>
      <w:pPr>
        <w:spacing w:after="0" w:line="7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60" w:name="page61"/>
    <w:bookmarkEnd w:id="60"/>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Loans classified as nonaccrual were higher as of September 30, 2026 at $6.2 million as compared to $5.2 million as of September 30, 2025. The agricultural real estate portfolio segment increased $3.3 million as compared to September 30, 2025 with $3 million attributed to one loan with a specific allocation of $35 thousand. The consumer real estate portfolio, commercial and industrial portfolio and commercial real estate portfolio segments decreased $1.7 million, $333 thousand and $140 thousand, respectively, as compared to September 30, 2025. Nonaccrual loans in the agricultural portfolio segment increased $51 thousand while nonaccrual loans in the consumer portfolio segment decreased $36 thousand as compared to September 30, 2025.</w:t>
      </w:r>
    </w:p>
    <w:p>
      <w:pPr>
        <w:spacing w:after="0" w:line="160"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consumer portfolio segment accounted for the largest components of charge-offs and recoveries for both the three months ended September 30, 2026 and for the three months ended September 30, 2025. Management has factored in the continuing impact of high interest rates and inflationary pressures on borrowers' ability to make payments.</w:t>
      </w:r>
    </w:p>
    <w:p>
      <w:pPr>
        <w:spacing w:after="0" w:line="13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for allowance for credit losses per portfolio segment in terms of dollars, as a percentage of ACL and as a percentage of loans by category at September 30, 2026 and September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September 30, 2026</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September 30, 2025</w:t>
            </w:r>
          </w:p>
        </w:tc>
        <w:tc>
          <w:tcPr>
            <w:tcW w:w="1040" w:type="dxa"/>
            <w:vAlign w:val="bottom"/>
            <w:tcBorders>
              <w:bottom w:val="single" w:sz="8" w:color="auto"/>
            </w:tcBorders>
          </w:tcPr>
          <w:p>
            <w:pPr>
              <w:spacing w:after="0"/>
              <w:rPr>
                <w:sz w:val="20"/>
                <w:szCs w:val="20"/>
                <w:color w:val="auto"/>
              </w:rPr>
            </w:pPr>
          </w:p>
        </w:tc>
      </w:tr>
      <w:tr>
        <w:trPr>
          <w:trHeight w:val="191"/>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8"/>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of</w:t>
            </w: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of</w:t>
            </w: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 Applicable To:</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Thousands)</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ACL</w:t>
            </w: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Thousands)</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ACL</w:t>
            </w: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Loans</w:t>
            </w:r>
          </w:p>
        </w:tc>
      </w:tr>
      <w:tr>
        <w:trPr>
          <w:trHeight w:val="209"/>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16"/>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15,940</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r>
      <w:tr>
        <w:trPr>
          <w:trHeight w:val="216"/>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39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0.91%</w:t>
            </w:r>
          </w:p>
        </w:tc>
      </w:tr>
      <w:tr>
        <w:trPr>
          <w:trHeight w:val="210"/>
        </w:trPr>
        <w:tc>
          <w:tcPr>
            <w:tcW w:w="3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27,802</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392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Off Balance Sheet Commitments</w:t>
            </w: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r>
      <w:tr>
        <w:trPr>
          <w:trHeight w:val="210"/>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-453390</wp:posOffset>
            </wp:positionV>
            <wp:extent cx="6858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-453390</wp:posOffset>
            </wp:positionV>
            <wp:extent cx="6858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-453390</wp:posOffset>
            </wp:positionV>
            <wp:extent cx="7683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-453390</wp:posOffset>
            </wp:positionV>
            <wp:extent cx="6858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-453390</wp:posOffset>
            </wp:positionV>
            <wp:extent cx="6858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-170815</wp:posOffset>
            </wp:positionV>
            <wp:extent cx="6858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6858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18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Noninterest income was up $510 thousand, or 11.7%, for the three months ended September 30, 2026 over the same time frame in 2025. Customer service fees, other service charges and fees, and loan servicing were all relatively flat compared to the three months ended September 30, 2025. Interchange income increased $66 thousand for the current quarter.</w:t>
      </w:r>
    </w:p>
    <w:p>
      <w:pPr>
        <w:spacing w:after="0" w:line="14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volume of total originations of loans held for sale increased while the associated gain on the sale of these loans was $45 thousand lower for the three months ended September 30, 2026 over the same period in 2025. Total originations of loans held for sale for the three months ended September 30, 2026 were $21.5 million with proceeds from sale at $22.4 million for 2026 compared to 2025’s activity of $14.8 million in originations and $18.6 million in sales. The mortgages sold were both 1-4 family real estate and agricultural real estate loans originated for sale.</w:t>
      </w:r>
    </w:p>
    <w:p>
      <w:pPr>
        <w:spacing w:after="0" w:line="13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cash surrender value of bank owned life insurance increased $484 thousand from the same three months ended September 30, 2025. The increase in BOLI revenue was due to more investment dollars and higher earnings due to the Bank repositioning its holdings, which we expect to continue into the future.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1" w:name="page62"/>
    <w:bookmarkEnd w:id="61"/>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The impact of loan servicing rights, both to income and expense, is shown in the following table which reconciles the value of loan servicing rights. The capitalization runs through noninterest income while the amortization thereof is included in noninterest expense. For both the three months ended September 30, 2026 and 2025, loan servicing rights caused a net $99 thousand in income. Impairment of $150 thousand and $372 thousand was recognized during the three months ended September 30, 2026 and 2025, respectively. Capitalized additions of agricultural real estate loan servicing rights were $65 thousand for the three months ended September 30, 2026 compared to $141 thousand in capitalized additions for the three months ended September 30, 2025. Amortization of agricultural real estate loan servicing rights were $78 thousand and $75 thousand for the three months ended September 30, 2026 and 2025, respectively. The valuation allowance of agricultural real estate loan servicing rights was $1.4 million at September 30, 2026 compared to $454 thousand at September 30, 2025. For 1-4 family real estate loans of 15 years and less, the market value of the loan servicing rights was 1.359% in the third quarter 2026 versus 1.454% in third quarter 2025. For 1-4 family real estate loans over 15 years, the market value was 1.616% versus 1.421% for the same periods, respectively. At September 30, 2026 and 2025, the carrying value of certain strata were slightly above the market value thus requiring the establishment of a $10 and $5 thousand valuation allowance, respectively, for 1-4 family real estate servicing rights.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gridSpan w:val="6"/>
          </w:tcPr>
          <w:p>
            <w:pPr>
              <w:jc w:val="right"/>
              <w:ind w:right="120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290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9"/>
        </w:trPr>
        <w:tc>
          <w:tcPr>
            <w:tcW w:w="50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40" w:type="dxa"/>
            <w:vAlign w:val="bottom"/>
            <w:tcBorders>
              <w:top w:val="single" w:sz="8" w:color="auto"/>
              <w:bottom w:val="single" w:sz="8" w:color="auto"/>
            </w:tcBorders>
            <w:gridSpan w:val="5"/>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18"/>
                <w:szCs w:val="18"/>
                <w:color w:val="auto"/>
              </w:rPr>
            </w:pPr>
          </w:p>
        </w:tc>
      </w:tr>
      <w:tr>
        <w:trPr>
          <w:trHeight w:val="191"/>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360"/>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34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Pr>
          <w:p>
            <w:pPr>
              <w:spacing w:after="0"/>
              <w:rPr>
                <w:sz w:val="16"/>
                <w:szCs w:val="16"/>
                <w:color w:val="auto"/>
              </w:rPr>
            </w:pPr>
          </w:p>
        </w:tc>
      </w:tr>
      <w:tr>
        <w:trPr>
          <w:trHeight w:val="234"/>
        </w:trPr>
        <w:tc>
          <w:tcPr>
            <w:tcW w:w="5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r>
      <w:tr>
        <w:trPr>
          <w:trHeight w:val="20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Additions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(585)</w:t>
            </w:r>
          </w:p>
        </w:tc>
      </w:tr>
      <w:tr>
        <w:trPr>
          <w:trHeight w:val="210"/>
        </w:trPr>
        <w:tc>
          <w:tcPr>
            <w:tcW w:w="5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 September 30,</w:t>
            </w: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tcBorders>
              <w:top w:val="single" w:sz="8" w:color="CFF0FC"/>
            </w:tcBorders>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(459)</w:t>
            </w:r>
          </w:p>
        </w:tc>
      </w:tr>
      <w:tr>
        <w:trPr>
          <w:trHeight w:val="209"/>
        </w:trPr>
        <w:tc>
          <w:tcPr>
            <w:tcW w:w="5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Servicing Rights net, September 30,</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tcBorders>
              <w:top w:val="single" w:sz="8" w:color="CFF0FC"/>
            </w:tcBorders>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-454025</wp:posOffset>
            </wp:positionV>
            <wp:extent cx="76835"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-454025</wp:posOffset>
            </wp:positionV>
            <wp:extent cx="6858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-454025</wp:posOffset>
            </wp:positionV>
            <wp:extent cx="6858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-170815</wp:posOffset>
            </wp:positionV>
            <wp:extent cx="7683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02"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2026, noninterest expenses increased $479 thousand as compared to the same period in 2025. Salaries and wages, including normal merit increases, restricted stock expense and incentive payouts, increased $486 thousand in total. Of the total, base wages and incentive expense increased $472 thousand and $75 thousand, respectively, which was offset with increased deferred salary loans costs of $29 thousand and decreased restricted stock award expense of $32 thousand compared to 2025. Benefits increased from 2025 by $185 thousand due to increased 401k expense of $87 thousand, combined taxes and workmen's compensation of $123 thousand and miscellaneous expenses of $35 thousand offset with decreased medical expense of $58 thousand.</w:t>
      </w:r>
    </w:p>
    <w:p>
      <w:pPr>
        <w:spacing w:after="0" w:line="187"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Net occupancy expense decreased $23 thousand for the three months ended September 30, 2026 as compared to the same three months in 2025. One factor that can offset occupancy expense is the receipt by the Company of building rent as it is netted out of occupancy expense. The greatest contributor to building rent comes from the division of FM Investments within the Bank. Building rent, generated from FM Investments in lieu of commissions, increased by $60 thousand in 2026 as compared to 2025. This revenue was able to partially offset increased lease expense of $56 thousand and automobile expense of $15 thousand. General insurance and utilities decreased $25 thousand and $12 thousand, respectively, in 2026 as compared to 2025.</w:t>
      </w:r>
    </w:p>
    <w:p>
      <w:pPr>
        <w:spacing w:after="0" w:line="147"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Furniture and fixture expense increased $153 thousand for the three months ended September 30, 2026 as compared to 2025 with increased maintenance contracts of $142 thousand. Data processing and ATM expenses decreased a combined $358 thousand. Third quarter 2026 included a larger amount of flex credits utilized, with our core processor, as compared to third quarter 2025. Advertising increased $156 thousand with increased mailings, digital display and paid advertising for checking promotions in the third quarter of 2026 as compared to the same quarter in 2025 while community involvement expenses increased $76 thousand for the same time period.</w:t>
      </w:r>
    </w:p>
    <w:p>
      <w:pPr>
        <w:spacing w:after="0" w:line="143"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FDIC assessments decreased $15 thousand in 2026 from 2025 due to a decrease in the quarterly assessment multiplier. Servicing rights amortization included $150 thousand for impairment of agricultural loan servicing rights in the three months ended September 30, 2026 as compared to $372 thousand in the three months ended September 30, 2025. Loan expense included a one-time payment of $173 thousand related to an incorrect interest rate during the third quarter of 2026. Consulting fees increased $70 thousand over the same period in 2025 due to placement fees and market studies. Of the $69 thousand decrease in professional fees, $52 thousand was attributed to reduced auditing and exam expenses in the three months ended September 30, 2026 as compared to 2025. The decrease of $140 thousand in intangible asset amortization was due to the Bank of Geneva core deposit intangible being fully amortized at the end of 2025.</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 expense was $296 thousand higher for the three months ended September 30, 2026 compared to the same period in 2025 based mainly on pretax higher earnings of $3 million. Amortization of qualified affordable housing projects caused income tax expense to increase $113 and $111 thousand for the three months ended September 30, 2026 and 2025, respectively, as presented in Note 8. Effective tax rates were 18.83% and 21.19% for 2026 and 2025, respectively. Excluding the additional $113 and $111 thousand income tax expense for the respective periods, the effective tax rates would have been 18.03% and 20.20% for the three months ended September 30, 2026 and 2025,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Overall, net income in the three months ended September 30, 2026 was up $2.7 million or 30.3% to $11.5 million as compared to last year's approximately $8.9 million. The biggest contributor to the improvement was net interest income. Net interest income was up $3.0 million or 11.3% due to both increased interest income of approximately $2.5 million and decreased interest expense of $531 thousand. Provision for credit losses for loans and unfunded commitments increased $90 thousand compared to 2025. Noninterest income increased by $510 thousand which was offset with an increase of $479 thousand to noninterest expense as described above. The Company remains strong, stable, and well capitalized and has the capacity to continue to cover the increased costs of expansion. The Company is optimistic about continued improvement in profitability due to the opportunity for continued expansion in the net interest margin.</w:t>
      </w:r>
    </w:p>
    <w:p>
      <w:pPr>
        <w:spacing w:after="0" w:line="374" w:lineRule="exact"/>
        <w:rPr>
          <w:sz w:val="20"/>
          <w:szCs w:val="20"/>
          <w:color w:val="auto"/>
        </w:rPr>
      </w:pPr>
    </w:p>
    <w:p>
      <w:pPr>
        <w:ind w:right="1460"/>
        <w:spacing w:after="0" w:line="45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Comparison of Results of Interest Earnings and Expenses for nine month periods ended September 30, 2026 and 2025 </w:t>
      </w:r>
      <w:r>
        <w:rPr>
          <w:rFonts w:ascii="Times New Roman" w:cs="Times New Roman" w:eastAsia="Times New Roman" w:hAnsi="Times New Roman"/>
          <w:sz w:val="18"/>
          <w:szCs w:val="18"/>
          <w:b w:val="1"/>
          <w:bCs w:val="1"/>
          <w:color w:val="auto"/>
        </w:rPr>
        <w:t>Interest Income</w:t>
      </w:r>
    </w:p>
    <w:p>
      <w:pPr>
        <w:jc w:val="both"/>
        <w:spacing w:after="0" w:line="258" w:lineRule="auto"/>
        <w:rPr>
          <w:sz w:val="20"/>
          <w:szCs w:val="20"/>
          <w:color w:val="auto"/>
        </w:rPr>
      </w:pPr>
      <w:r>
        <w:rPr>
          <w:rFonts w:ascii="Times New Roman" w:cs="Times New Roman" w:eastAsia="Times New Roman" w:hAnsi="Times New Roman"/>
          <w:sz w:val="18"/>
          <w:szCs w:val="18"/>
          <w:color w:val="auto"/>
        </w:rPr>
        <w:t>When comparing the nine months ended September 30, 2026 and 2025, average loan balances grew $90.5 million, which represented a 3.5% increase in a one-year time period. Interest income on loans increased $5.1 million or 4.3% as compared to the nine months ended September 30, 2025. Loan interest for third quarter 2025 included a one-time fee collected of $195 thousand in addition to $191 thousand from the recovery of one acquired relationship that had been fully charged off prior to acquisition. The Company's loan portfolio is 52.4% variable rate with 33.9% of total loans subject to repricing during the remainder of 2026 and 47.7% of total loans subject to repricing within the next twelve months.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available-for-sale securities portfolio decreased in average balances by $1.8 million or 0.4% when comparing to the same period in 2025 with the income associated with the security portfolio increasing $1.2 million over the nine months ended September 30, 2025. During first quarter 2026, security sales of $5.4 million generated a realized loss of $347 thousand which is projected to be recouped from security purchases with a higher yield over 30.55 months. The additional income from the security portfolio can be attributed to the increased book yield of 2.97% as of September 30, 2026 from 2.32% as of September 30, 2025. Federal funds sold and interest-bearing deposits increased in average balances by $40.7 million as compared to the same nine month period ended September 30, 2025 with increased income of approximately $667 thousand for the current period. The increased balances are primarily the result of deposit generation offset by funding loans and repayment of other borrowed money.</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overall total average balance of the Bank’s earning assets increased by $129.4 million and interest income for the period comparisons was higher for the nine months ended September 30, 2026 by 5.4% or approximately $7 million as compared to the nine month period ended September 30, 2025. Rate changes between periods have contributed to approximately 23.5% of the growth.</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Annualized yield, for the nine months ended September 30, 2026, was 5.50% as compared to 5.42% for the comparable period ended September 30, 2025. The following charts demonstrate loan rate increases accounted for 20.4% of the increased loan interest income while increased loan balances accounted for the remaining 79.6%. The yields on tax-exempt securities and the portion of the tax-exempt IDB and agricultural loans included in loans have been tax adjusted based on a 21% tax rate in the charts that follow. The tax-exempt interest income was $1.6 million and $401 thousand for the nine months ended September 30, 2026 and 2025, respectively, which resulted in federal tax savings of $341 and $84 thousand, respectively, less the TEFRA adjustments of $32 and $12 thousand, respectively.</w:t>
      </w:r>
    </w:p>
    <w:p>
      <w:pPr>
        <w:spacing w:after="0" w:line="29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63" w:name="page64"/>
    <w:bookmarkEnd w:id="63"/>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Earning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Taxable investment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Tax-exempt investment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 funds sold &amp; other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Interest Earning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5"/>
          </w:tcPr>
          <w:p>
            <w:pPr>
              <w:jc w:val="right"/>
              <w:ind w:right="13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5"/>
            <w:vMerge w:val="restart"/>
          </w:tcPr>
          <w:p>
            <w:pPr>
              <w:jc w:val="right"/>
              <w:ind w:right="980"/>
              <w:spacing w:after="0"/>
              <w:rPr>
                <w:sz w:val="20"/>
                <w:szCs w:val="20"/>
                <w:color w:val="auto"/>
              </w:rPr>
            </w:pPr>
            <w:r>
              <w:rPr>
                <w:rFonts w:ascii="Times New Roman" w:cs="Times New Roman" w:eastAsia="Times New Roman" w:hAnsi="Times New Roman"/>
                <w:sz w:val="18"/>
                <w:szCs w:val="18"/>
                <w:color w:val="auto"/>
              </w:rPr>
              <w:t>Annualized Yield/Rate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color w:val="auto"/>
              </w:rPr>
              <w:t>Year to Date Ended September 30, 2026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Interest/Dividends</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2,705,821</w:t>
            </w:r>
          </w:p>
        </w:tc>
        <w:tc>
          <w:tcPr>
            <w:tcW w:w="100" w:type="dxa"/>
            <w:vAlign w:val="bottom"/>
          </w:tcPr>
          <w:p>
            <w:pPr>
              <w:spacing w:after="0"/>
              <w:rPr>
                <w:sz w:val="16"/>
                <w:szCs w:val="16"/>
                <w:color w:val="auto"/>
              </w:rPr>
            </w:pPr>
          </w:p>
        </w:tc>
        <w:tc>
          <w:tcPr>
            <w:tcW w:w="3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122,727</w:t>
            </w:r>
          </w:p>
        </w:tc>
        <w:tc>
          <w:tcPr>
            <w:tcW w:w="100" w:type="dxa"/>
            <w:vAlign w:val="bottom"/>
          </w:tcPr>
          <w:p>
            <w:pPr>
              <w:spacing w:after="0"/>
              <w:rPr>
                <w:sz w:val="16"/>
                <w:szCs w:val="16"/>
                <w:color w:val="auto"/>
              </w:rPr>
            </w:pPr>
          </w:p>
        </w:tc>
        <w:tc>
          <w:tcPr>
            <w:tcW w:w="1800" w:type="dxa"/>
            <w:vAlign w:val="bottom"/>
            <w:gridSpan w:val="3"/>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6.06%</w:t>
            </w:r>
          </w:p>
        </w:tc>
        <w:tc>
          <w:tcPr>
            <w:tcW w:w="178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3,303,167</w:t>
            </w:r>
          </w:p>
        </w:tc>
        <w:tc>
          <w:tcPr>
            <w:tcW w:w="24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135,937</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-719455</wp:posOffset>
            </wp:positionV>
            <wp:extent cx="7132320" cy="13716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-445135</wp:posOffset>
            </wp:positionV>
            <wp:extent cx="7132320" cy="13716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-162560</wp:posOffset>
            </wp:positionV>
            <wp:extent cx="7132320" cy="16319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 in Interest Income Year to Date September 30, 2026 Compared to September 30, 2025</w:t>
      </w:r>
    </w:p>
    <w:p>
      <w:pPr>
        <w:spacing w:after="0" w:line="200" w:lineRule="exact"/>
        <w:rPr>
          <w:sz w:val="20"/>
          <w:szCs w:val="20"/>
          <w:color w:val="auto"/>
        </w:rPr>
      </w:pPr>
    </w:p>
    <w:p>
      <w:pPr>
        <w:sectPr>
          <w:pgSz w:w="11900" w:h="16838" w:orient="portrait"/>
          <w:cols w:equalWidth="0" w:num="2">
            <w:col w:w="2440" w:space="140"/>
            <w:col w:w="8660"/>
          </w:cols>
          <w:pgMar w:left="320" w:top="985"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Earning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Taxable investment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Tax-exempt investment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 funds sold &amp; other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Interest Earning Assets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4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60" w:type="dxa"/>
            <w:vAlign w:val="bottom"/>
          </w:tcPr>
          <w:p>
            <w:pPr>
              <w:spacing w:after="0"/>
              <w:rPr>
                <w:sz w:val="16"/>
                <w:szCs w:val="16"/>
                <w:color w:val="auto"/>
              </w:rPr>
            </w:pPr>
          </w:p>
        </w:tc>
      </w:tr>
      <w:tr>
        <w:trPr>
          <w:trHeight w:val="234"/>
        </w:trPr>
        <w:tc>
          <w:tcPr>
            <w:tcW w:w="220" w:type="dxa"/>
            <w:vAlign w:val="bottom"/>
          </w:tcPr>
          <w:p>
            <w:pPr>
              <w:spacing w:after="0"/>
              <w:rPr>
                <w:sz w:val="20"/>
                <w:szCs w:val="20"/>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 Change</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Volume</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to Rate</w:t>
            </w:r>
          </w:p>
        </w:tc>
      </w:tr>
      <w:tr>
        <w:trPr>
          <w:trHeight w:val="191"/>
        </w:trPr>
        <w:tc>
          <w:tcPr>
            <w:tcW w:w="220" w:type="dxa"/>
            <w:vAlign w:val="bottom"/>
            <w:tcBorders>
              <w:top w:val="single" w:sz="8" w:color="auto"/>
            </w:tcBorders>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5,112</w:t>
            </w:r>
          </w:p>
        </w:tc>
        <w:tc>
          <w:tcPr>
            <w:tcW w:w="12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1072"/>
              <w:spacing w:after="0" w:line="191"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8"/>
              </w:rPr>
              <w:t>4,070</w:t>
            </w:r>
          </w:p>
        </w:tc>
        <w:tc>
          <w:tcPr>
            <w:tcW w:w="120" w:type="dxa"/>
            <w:vAlign w:val="bottom"/>
          </w:tcPr>
          <w:p>
            <w:pPr>
              <w:spacing w:after="0"/>
              <w:rPr>
                <w:sz w:val="16"/>
                <w:szCs w:val="16"/>
                <w:color w:val="auto"/>
              </w:rPr>
            </w:pPr>
          </w:p>
        </w:tc>
        <w:tc>
          <w:tcPr>
            <w:tcW w:w="420" w:type="dxa"/>
            <w:vAlign w:val="bottom"/>
            <w:tcBorders>
              <w:top w:val="single" w:sz="8" w:color="auto"/>
            </w:tcBorders>
            <w:gridSpan w:val="2"/>
          </w:tcPr>
          <w:p>
            <w:pPr>
              <w:jc w:val="right"/>
              <w:ind w:right="56"/>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1,042</w:t>
            </w:r>
          </w:p>
        </w:tc>
        <w:tc>
          <w:tcPr>
            <w:tcW w:w="60" w:type="dxa"/>
            <w:vAlign w:val="bottom"/>
          </w:tcPr>
          <w:p>
            <w:pPr>
              <w:spacing w:after="0"/>
              <w:rPr>
                <w:sz w:val="16"/>
                <w:szCs w:val="16"/>
                <w:color w:val="auto"/>
              </w:rPr>
            </w:pPr>
          </w:p>
        </w:tc>
      </w:tr>
      <w:tr>
        <w:trPr>
          <w:trHeight w:val="216"/>
        </w:trPr>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09"/>
        </w:trPr>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107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5,323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60" w:type="dxa"/>
            <w:vAlign w:val="bottom"/>
          </w:tcPr>
          <w:p>
            <w:pPr>
              <w:spacing w:after="0"/>
              <w:rPr>
                <w:sz w:val="18"/>
                <w:szCs w:val="18"/>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-719455</wp:posOffset>
            </wp:positionV>
            <wp:extent cx="7132320" cy="13716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-445135</wp:posOffset>
            </wp:positionV>
            <wp:extent cx="7132320" cy="13716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-162560</wp:posOffset>
            </wp:positionV>
            <wp:extent cx="7132320" cy="16319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4720" w:space="720"/>
            <w:col w:w="5800"/>
          </w:cols>
          <w:pgMar w:left="320" w:top="985" w:right="339" w:bottom="1440" w:gutter="0" w:footer="0" w:header="0"/>
          <w:type w:val="continuous"/>
        </w:sect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Contributing to the increased net interest income for the first nine months of 2026 was a decrease in interest expense of $2.8 million or 5.4% compared to the same period in 2025. Since 2025, average interest-bearing deposit balances have increased $161.1 million or 7.4% while the Company recognized $1.4 million less in interest expense for the most recent nine months. In September 2025, the Federal Reserve made its first rate change to the federal funds rate for 2025 with a reduction of 25 basis points followed by reductions of 25 basis points in both October and December. In September 2026, the Federal Reserve increased the federal funds rate by 25 basis points. Deposit rates continue to be reviewed and adjusted with rate changes. The following charts demonstrate increased average interest-bearing deposit balances accounted for $3.1 million of additional interest-bearing deposit expense while rate decreases accounted for decreased interest-bearing deposit expense of $4.5 million. Noninterest-bearing deposits balances decreased $12 million compared to the first nine months of 2025. The Bank continues to focus on capturing the full customer relationship; however, it has sometimes resulted in more expensive deposits being brought in.</w:t>
      </w:r>
    </w:p>
    <w:p>
      <w:pPr>
        <w:spacing w:after="0" w:line="161"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Interest expense on borrowed funds decreased $1.2 million in the nine months ended September 30, 2026 over the same time frame in 2025 due to the repayment of FHLB advances. During the current nine months, FHLB borrowings of $91.7 million were repaid and proceeds from new borrowings were $32.2 million compared to repayment of borrowings of $58.2 million in 2025. Interest expense on federal funds purchased and securities sold under agreement to repurchase decreased $433 thousand compared to the first nine months of 2025 due to the decrease of $11.7 million in average balances. Cost of funds decreased even with growth in interest-bearing deposit balances offset by decreased borrowings and securities sold under agreement to repurchase compared to 2025. The average cost of funds decreased to 2.56% for the nine months ended September 30, 2026 compared to 2.84% for the nine months ended September 30, 2025. Interest expense due to subordinated notes increased $196 thousand during the year-to-date comparisons as the rate has changed to the Three-Month SOFR plus a spread of 263 basis points. Refer to Note 11 for additional information on subordinated notes.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(In Thousands)</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gridSpan w:val="5"/>
            <w:vMerge w:val="restart"/>
          </w:tcPr>
          <w:p>
            <w:pPr>
              <w:jc w:val="right"/>
              <w:ind w:right="1000"/>
              <w:spacing w:after="0"/>
              <w:rPr>
                <w:sz w:val="20"/>
                <w:szCs w:val="20"/>
                <w:color w:val="auto"/>
              </w:rPr>
            </w:pPr>
            <w:r>
              <w:rPr>
                <w:rFonts w:ascii="Times New Roman" w:cs="Times New Roman" w:eastAsia="Times New Roman" w:hAnsi="Times New Roman"/>
                <w:sz w:val="18"/>
                <w:szCs w:val="18"/>
                <w:color w:val="auto"/>
              </w:rPr>
              <w:t>Annualized Yield/Rate</w:t>
            </w:r>
          </w:p>
        </w:tc>
        <w:tc>
          <w:tcPr>
            <w:tcW w:w="0" w:type="dxa"/>
            <w:vAlign w:val="bottom"/>
          </w:tcPr>
          <w:p>
            <w:pPr>
              <w:spacing w:after="0"/>
              <w:rPr>
                <w:sz w:val="1"/>
                <w:szCs w:val="1"/>
                <w:color w:val="auto"/>
              </w:rPr>
            </w:pPr>
          </w:p>
        </w:tc>
      </w:tr>
      <w:tr>
        <w:trPr>
          <w:trHeight w:val="210"/>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color w:val="auto"/>
              </w:rPr>
              <w:t>Year to Date Ended September 30, 2026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NOW accounts and savings deposits</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1,688,457</w:t>
            </w:r>
          </w:p>
        </w:tc>
        <w:tc>
          <w:tcPr>
            <w:tcW w:w="78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27,678</w:t>
            </w:r>
          </w:p>
        </w:tc>
        <w:tc>
          <w:tcPr>
            <w:tcW w:w="19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14,761</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Borrowed funds</w:t>
            </w: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190,338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19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4.04%</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Fed funds purchased &amp; securities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3.26%</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4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900" w:type="dxa"/>
            <w:vAlign w:val="bottom"/>
            <w:tcBorders>
              <w:bottom w:val="single" w:sz="8" w:color="CFF0FC"/>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180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2,580,695</w:t>
            </w:r>
          </w:p>
        </w:tc>
        <w:tc>
          <w:tcPr>
            <w:tcW w:w="7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49,635</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64</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-1010920</wp:posOffset>
            </wp:positionV>
            <wp:extent cx="6858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-1010920</wp:posOffset>
            </wp:positionV>
            <wp:extent cx="6858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9800" w:type="dxa"/>
            <w:vAlign w:val="bottom"/>
            <w:gridSpan w:val="11"/>
          </w:tcPr>
          <w:p>
            <w:pPr>
              <w:ind w:left="2560"/>
              <w:spacing w:after="0"/>
              <w:rPr>
                <w:sz w:val="20"/>
                <w:szCs w:val="20"/>
                <w:color w:val="auto"/>
              </w:rPr>
            </w:pPr>
            <w:r>
              <w:rPr>
                <w:rFonts w:ascii="Times New Roman" w:cs="Times New Roman" w:eastAsia="Times New Roman" w:hAnsi="Times New Roman"/>
                <w:sz w:val="18"/>
                <w:szCs w:val="18"/>
                <w:color w:val="auto"/>
              </w:rPr>
              <w:t>Change in Interest Expense Year to Date September 30, 2026 Compared to September 30, 2025</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2560" w:type="dxa"/>
            <w:vAlign w:val="bottom"/>
          </w:tcPr>
          <w:p>
            <w:pPr>
              <w:spacing w:after="0"/>
              <w:rPr>
                <w:sz w:val="24"/>
                <w:szCs w:val="24"/>
                <w:color w:val="auto"/>
              </w:rPr>
            </w:pPr>
          </w:p>
        </w:tc>
        <w:tc>
          <w:tcPr>
            <w:tcW w:w="40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(In Thousands)</w:t>
            </w:r>
          </w:p>
        </w:tc>
        <w:tc>
          <w:tcPr>
            <w:tcW w:w="3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5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100" w:type="dxa"/>
            <w:vAlign w:val="bottom"/>
          </w:tcPr>
          <w:p>
            <w:pPr>
              <w:spacing w:after="0"/>
              <w:rPr>
                <w:sz w:val="16"/>
                <w:szCs w:val="16"/>
                <w:color w:val="auto"/>
              </w:rPr>
            </w:pPr>
          </w:p>
        </w:tc>
      </w:t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Total Change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to Volume</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to Rate</w:t>
            </w:r>
          </w:p>
        </w:tc>
        <w:tc>
          <w:tcPr>
            <w:tcW w:w="100" w:type="dxa"/>
            <w:vAlign w:val="bottom"/>
          </w:tcPr>
          <w:p>
            <w:pPr>
              <w:spacing w:after="0"/>
              <w:rPr>
                <w:sz w:val="20"/>
                <w:szCs w:val="20"/>
                <w:color w:val="auto"/>
              </w:rPr>
            </w:pPr>
          </w:p>
        </w:tc>
      </w:tr>
      <w:tr>
        <w:trPr>
          <w:trHeight w:val="209"/>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NOW accounts and savings deposits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(2,685)</w:t>
            </w: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(1,861)</w:t>
            </w:r>
          </w:p>
        </w:tc>
      </w:tr>
      <w:tr>
        <w:trPr>
          <w:trHeight w:val="216"/>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Borrowed funds</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(1,163)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(956)</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r>
      <w:tr>
        <w:trPr>
          <w:trHeight w:val="198"/>
        </w:trPr>
        <w:tc>
          <w:tcPr>
            <w:tcW w:w="6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Fed funds purchased &amp; securities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12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66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(4,644)</w:t>
            </w:r>
          </w:p>
        </w:tc>
      </w:tr>
      <w:tr>
        <w:trPr>
          <w:trHeight w:val="20"/>
        </w:trPr>
        <w:tc>
          <w:tcPr>
            <w:tcW w:w="25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5033010</wp:posOffset>
            </wp:positionH>
            <wp:positionV relativeFrom="paragraph">
              <wp:posOffset>-1297940</wp:posOffset>
            </wp:positionV>
            <wp:extent cx="93980" cy="31686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93980" cy="316865"/>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-1297940</wp:posOffset>
            </wp:positionV>
            <wp:extent cx="93980" cy="31686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93980" cy="31686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-1297940</wp:posOffset>
            </wp:positionV>
            <wp:extent cx="93980" cy="31686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93980" cy="31686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858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As the following chart indicates, the improvement in yields on interest earning assets of 8 basis points combined with the decreased cost of funds of 28 basis points equated to a 36-basis point improvement in net interest spread when comparing to the same period a year ago. Competition for deposits remains intense with most competitors offering special rates for specific terms.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1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September 30, 2026</w:t>
            </w:r>
          </w:p>
        </w:tc>
        <w:tc>
          <w:tcPr>
            <w:tcW w:w="300" w:type="dxa"/>
            <w:vAlign w:val="bottom"/>
          </w:tcPr>
          <w:p>
            <w:pPr>
              <w:spacing w:after="0"/>
              <w:rPr>
                <w:sz w:val="20"/>
                <w:szCs w:val="20"/>
                <w:color w:val="auto"/>
              </w:rPr>
            </w:pPr>
          </w:p>
        </w:tc>
        <w:tc>
          <w:tcPr>
            <w:tcW w:w="1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September 30, 2025</w:t>
            </w:r>
          </w:p>
        </w:tc>
        <w:tc>
          <w:tcPr>
            <w:tcW w:w="320" w:type="dxa"/>
            <w:vAlign w:val="bottom"/>
          </w:tcPr>
          <w:p>
            <w:pPr>
              <w:spacing w:after="0"/>
              <w:rPr>
                <w:sz w:val="20"/>
                <w:szCs w:val="20"/>
                <w:color w:val="auto"/>
              </w:rPr>
            </w:pPr>
          </w:p>
        </w:tc>
        <w:tc>
          <w:tcPr>
            <w:tcW w:w="1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September 30, 2024</w:t>
            </w:r>
          </w:p>
        </w:tc>
        <w:tc>
          <w:tcPr>
            <w:tcW w:w="180" w:type="dxa"/>
            <w:vAlign w:val="bottom"/>
          </w:tcPr>
          <w:p>
            <w:pPr>
              <w:spacing w:after="0"/>
              <w:rPr>
                <w:sz w:val="20"/>
                <w:szCs w:val="20"/>
                <w:color w:val="auto"/>
              </w:rPr>
            </w:pPr>
          </w:p>
        </w:tc>
      </w:tr>
      <w:tr>
        <w:trPr>
          <w:trHeight w:val="21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Interest/Dividend income/yield</w:t>
            </w:r>
          </w:p>
        </w:tc>
        <w:tc>
          <w:tcPr>
            <w:tcW w:w="1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5.50%</w:t>
            </w:r>
          </w:p>
        </w:tc>
        <w:tc>
          <w:tcPr>
            <w:tcW w:w="1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5.42%</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Expense/cost</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r>
      <w:tr>
        <w:trPr>
          <w:trHeight w:val="20"/>
        </w:trPr>
        <w:tc>
          <w:tcPr>
            <w:tcW w:w="55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2.94%</w:t>
            </w:r>
          </w:p>
        </w:tc>
        <w:tc>
          <w:tcPr>
            <w:tcW w:w="1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2.58%</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Interest Margin</w:t>
            </w:r>
          </w:p>
        </w:tc>
        <w:tc>
          <w:tcPr>
            <w:tcW w:w="19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3.50%</w:t>
            </w:r>
          </w:p>
        </w:tc>
        <w:tc>
          <w:tcPr>
            <w:tcW w:w="19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2.68%</w:t>
            </w:r>
          </w:p>
        </w:tc>
      </w:tr>
      <w:tr>
        <w:trPr>
          <w:trHeight w:val="20"/>
        </w:trPr>
        <w:tc>
          <w:tcPr>
            <w:tcW w:w="55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-187960</wp:posOffset>
            </wp:positionV>
            <wp:extent cx="11112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-170815</wp:posOffset>
            </wp:positionV>
            <wp:extent cx="11112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-187960</wp:posOffset>
            </wp:positionV>
            <wp:extent cx="11176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-170815</wp:posOffset>
            </wp:positionV>
            <wp:extent cx="11176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-187960</wp:posOffset>
            </wp:positionV>
            <wp:extent cx="11176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89"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Net interest income increased $9.8 million for the nine months ended September 30, 2026 over the same time frame in 2025 due to the increase in interest income of approximately $7.0 million combined with the interest expense decrease of $2.8 million as previously mentioned. As the new loans added in 2025 and 2026 generate more income, management expects the benefits of the Company’s strategy of repositioning the balance sheet to increase interest income in the long run. The Company has some opportunity for improved asset yield with loans repricing in 2026 with a greater opportunity beginning in 2027 and 2028. Loans as a percentage of earning assets decreased to 81.9% for the nine months ended September 2026 compared to 82.4% for the nine months ended September 2025. Loans to total assets decreased to 77.4% for the nine months ended September 2026 compared to 78.1% for the same period 2025. The percentage of earning assets to total assets decreased to 94.5% for the nine months ended September 2026 compared to 94.8% for the nine months ended September 2025. In terms of net interest margin, the Bank recognizes competition for deposits will continue; however, there is a greater opportunity for gradual improvement with loans repricing upwards in the next year.</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Noninterest Results of Operations for nine month periods ended September 30, 2026 and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Expense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Credit Losses (ACL) has a direct impact on the provision expense. The increase in the ACL is funded through recoveries and provision expense.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provision for credit losses decreased $520 thousand for the nine months ended September 30, 2026 as compared to the same period in 2025. Management continues to monitor asset quality, making adjustments to the provision as necessary, in accordance with the Bank's chosen CECL methodology. The impact of higher interest rates and inflation are taken into consideration when reviewing qualitative factors. Loan charge-offs were $45 thousand lower during the nine months ended September 30, 2026 than the same period in 2025. For the current nine month period, 92.8% of all charge-offs were in the consumer portfolio and consumer real estate portfolio segments while 95.6% charge-offs for the same period in 2025 were in the consumer portfolio segment. Of the total consumer charge-offs, $217 and $223 thousand were for automobiles and trucks for the nine months ended September 30, 2026 and 2025, respectively. 2025 consumer charge-offs also included $157 thousand for recreational vehicles. Recoveries were $78 thousand higher during the nine months ended September 30, 2026 as compared to same period in 2025 with 93.7% of total current quarter recoveries in the consumer portfolio and agricultural portfolio segments. Of the total consumer recoveries, $110 thousand were for automobiles and trucks and $17 thousand were for recreational vehicles for the nine months ended September 30, 2026 compared to $25 thousand for automobiles and trucks and $50 thousand for recreational vehicles for the same period in 2025. All of the time periods in 2025 and 2026 had net charge-offs to total loans ratios lower than 0.1% attesting to the strong asset quality of the Bank's loan portfolio.</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provision for credit losses on loans decreased by $1.7 million or 81.7% in the first nine months of 2026 compared to the first nine months of 2025 with gross loan portfolio growth of $25.5 million or 0.9% in the first nine months of 2026 compared to gross loan portfolio growth of $97.2 million or 3.8% in the first nine months of 2025. Moreover, gross commercial real estate loan balances declined by $34.6 million or 2.5% in the first nine months of 2026 compared to gross commercial real estate loan balance growth of $44.4 million or 3.4% in the first nine months of 2025, and commercial real estate loans tend to have higher reserves. Likewise, the Bank has experienced reductions in consumer loans which tend to have higher reserves, and an increase in agricultural loans which tend to have a lower reserve based on loss history. Lastly, net charge-offs in the first nine months of 2026 are also down $123 thousand or 32.4% compared to net charge-offs in the first nine months of 2025, which contributes to a lower provision for credit losses on loans.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unfunded loan commitments increased $1.1 million in the first nine months of 2026 compared to the same time period of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Unfunded loan commitments increased $39 million in 2026 compared to decreasing $26.6 million in 2025.</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past due 30 or more days increased $3.8 million at September 30, 2026 as compared to September 30, 2025. The largest changes were attributed to the agricultural real estate portfolio segment which increased $2.7 million for the same time period, of which $3.0 million is attributed to one loan. The consumer real estate portfolio segment also increased $1.4 million while the commercial real estate portfolio segment decreased $430 thousand as compared to September 30, 2025.</w:t>
      </w:r>
    </w:p>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activity within the ACL for each portfolio segment and shows the contribution provided by both recoveries and the provision, along with the reduction of the allowance caused by charge-offs. The time period covered is for the nine months ended September 30, 2026, 2025, and 2024.</w:t>
      </w:r>
    </w:p>
    <w:p>
      <w:pPr>
        <w:spacing w:after="0" w:line="200" w:lineRule="exact"/>
        <w:rPr>
          <w:sz w:val="20"/>
          <w:szCs w:val="20"/>
          <w:color w:val="auto"/>
        </w:rPr>
      </w:pPr>
    </w:p>
    <w:p>
      <w:pPr>
        <w:spacing w:after="0" w:line="30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2"/>
          </w:tcPr>
          <w:p>
            <w:pPr>
              <w:jc w:val="right"/>
              <w:ind w:right="400"/>
              <w:spacing w:after="0" w:line="191" w:lineRule="exact"/>
              <w:rPr>
                <w:sz w:val="20"/>
                <w:szCs w:val="20"/>
                <w:color w:val="auto"/>
              </w:rPr>
            </w:pPr>
            <w:r>
              <w:rPr>
                <w:rFonts w:ascii="Times New Roman" w:cs="Times New Roman" w:eastAsia="Times New Roman" w:hAnsi="Times New Roman"/>
                <w:sz w:val="18"/>
                <w:szCs w:val="18"/>
                <w:color w:val="auto"/>
              </w:rPr>
              <w:t>Nine Months Ended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2"/>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rPr>
              <w:t>Nine Months Ended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Nine Months Ended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September 30, 2026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September 30, 2024</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amortized cost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2,737,319</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2,658,275</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2,535,291</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Daily average of outstanding loans</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2,704,841</w:t>
            </w:r>
          </w:p>
        </w:tc>
        <w:tc>
          <w:tcPr>
            <w:tcW w:w="180" w:type="dxa"/>
            <w:vAlign w:val="bottom"/>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2,613,686</w:t>
            </w:r>
          </w:p>
        </w:tc>
        <w:tc>
          <w:tcPr>
            <w:tcW w:w="18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2,560,440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Nonaccrual loans</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6,219</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5,155</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2,898</w:t>
            </w:r>
          </w:p>
        </w:tc>
        <w:tc>
          <w:tcPr>
            <w:tcW w:w="1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Nonperforming loans*</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6,219</w:t>
            </w:r>
          </w:p>
        </w:tc>
        <w:tc>
          <w:tcPr>
            <w:tcW w:w="180" w:type="dxa"/>
            <w:vAlign w:val="bottom"/>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5,155</w:t>
            </w:r>
          </w:p>
        </w:tc>
        <w:tc>
          <w:tcPr>
            <w:tcW w:w="18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2,898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 January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27,688</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Loans Charged off:</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Agriculture Real Estate</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 Recoveries: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Agriculture Real Estate</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Charge Offs (Recoveries):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Agriculture Real Estate</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 September 30,</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Allowance for Unfunded Loan Commitments</w:t>
            </w:r>
          </w:p>
        </w:tc>
        <w:tc>
          <w:tcPr>
            <w:tcW w:w="160" w:type="dxa"/>
            <w:vAlign w:val="bottom"/>
            <w:shd w:val="clear" w:color="auto" w:fill="CFF0FC"/>
          </w:tcPr>
          <w:p>
            <w:pPr>
              <w:spacing w:after="0"/>
              <w:rPr>
                <w:sz w:val="17"/>
                <w:szCs w:val="17"/>
                <w:color w:val="auto"/>
              </w:rPr>
            </w:pPr>
          </w:p>
        </w:tc>
        <w:tc>
          <w:tcPr>
            <w:tcW w:w="1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&amp; Letters of Credit - September 30,</w:t>
            </w:r>
          </w:p>
        </w:tc>
        <w:tc>
          <w:tcPr>
            <w:tcW w:w="1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Allowance for Credit Losses - September 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29,470</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28,511</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Ratio of Net Charge-offs to Average Outstanding</w:t>
            </w:r>
          </w:p>
        </w:tc>
        <w:tc>
          <w:tcPr>
            <w:tcW w:w="160" w:type="dxa"/>
            <w:vAlign w:val="bottom"/>
            <w:shd w:val="clear" w:color="auto" w:fill="CFF0FC"/>
          </w:tcPr>
          <w:p>
            <w:pPr>
              <w:spacing w:after="0"/>
              <w:rPr>
                <w:sz w:val="15"/>
                <w:szCs w:val="15"/>
                <w:color w:val="auto"/>
              </w:rPr>
            </w:pPr>
          </w:p>
        </w:tc>
        <w:tc>
          <w:tcPr>
            <w:tcW w:w="19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9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4"/>
        </w:trPr>
        <w:tc>
          <w:tcPr>
            <w:tcW w:w="47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Loans</w:t>
            </w:r>
          </w:p>
        </w:tc>
        <w:tc>
          <w:tcPr>
            <w:tcW w:w="160" w:type="dxa"/>
            <w:vAlign w:val="bottom"/>
            <w:shd w:val="clear" w:color="auto" w:fill="CFF0FC"/>
          </w:tcPr>
          <w:p>
            <w:pPr>
              <w:spacing w:after="0"/>
              <w:rPr>
                <w:sz w:val="18"/>
                <w:szCs w:val="18"/>
                <w:color w:val="auto"/>
              </w:rPr>
            </w:pPr>
          </w:p>
        </w:tc>
        <w:tc>
          <w:tcPr>
            <w:tcW w:w="192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4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Ratio of Nonaccrual Loans to Loans</w:t>
            </w:r>
          </w:p>
        </w:tc>
        <w:tc>
          <w:tcPr>
            <w:tcW w:w="160" w:type="dxa"/>
            <w:vAlign w:val="bottom"/>
          </w:tcPr>
          <w:p>
            <w:pPr>
              <w:spacing w:after="0"/>
              <w:rPr>
                <w:sz w:val="17"/>
                <w:szCs w:val="17"/>
                <w:color w:val="auto"/>
              </w:rPr>
            </w:pPr>
          </w:p>
        </w:tc>
        <w:tc>
          <w:tcPr>
            <w:tcW w:w="1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w:t>
            </w:r>
          </w:p>
        </w:tc>
        <w:tc>
          <w:tcPr>
            <w:tcW w:w="160" w:type="dxa"/>
            <w:vAlign w:val="bottom"/>
            <w:shd w:val="clear" w:color="auto" w:fill="CFF0FC"/>
          </w:tcPr>
          <w:p>
            <w:pPr>
              <w:spacing w:after="0"/>
              <w:rPr>
                <w:sz w:val="15"/>
                <w:szCs w:val="15"/>
                <w:color w:val="auto"/>
              </w:rPr>
            </w:pPr>
          </w:p>
        </w:tc>
        <w:tc>
          <w:tcPr>
            <w:tcW w:w="19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9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4"/>
        </w:trPr>
        <w:tc>
          <w:tcPr>
            <w:tcW w:w="47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to Loans</w:t>
            </w:r>
          </w:p>
        </w:tc>
        <w:tc>
          <w:tcPr>
            <w:tcW w:w="160" w:type="dxa"/>
            <w:vAlign w:val="bottom"/>
            <w:shd w:val="clear" w:color="auto" w:fill="CFF0FC"/>
          </w:tcPr>
          <w:p>
            <w:pPr>
              <w:spacing w:after="0"/>
              <w:rPr>
                <w:sz w:val="18"/>
                <w:szCs w:val="18"/>
                <w:color w:val="auto"/>
              </w:rPr>
            </w:pPr>
          </w:p>
        </w:tc>
        <w:tc>
          <w:tcPr>
            <w:tcW w:w="192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4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60" w:type="dxa"/>
            <w:vAlign w:val="bottom"/>
          </w:tcPr>
          <w:p>
            <w:pPr>
              <w:spacing w:after="0"/>
              <w:rPr>
                <w:sz w:val="15"/>
                <w:szCs w:val="15"/>
                <w:color w:val="auto"/>
              </w:rPr>
            </w:pPr>
          </w:p>
        </w:tc>
        <w:tc>
          <w:tcPr>
            <w:tcW w:w="1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447.05%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532.98%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879.37%</w:t>
            </w:r>
          </w:p>
        </w:tc>
        <w:tc>
          <w:tcPr>
            <w:tcW w:w="0" w:type="dxa"/>
            <w:vAlign w:val="bottom"/>
          </w:tcPr>
          <w:p>
            <w:pPr>
              <w:spacing w:after="0"/>
              <w:rPr>
                <w:sz w:val="1"/>
                <w:szCs w:val="1"/>
                <w:color w:val="auto"/>
              </w:rPr>
            </w:pPr>
          </w:p>
        </w:tc>
      </w:tr>
      <w:tr>
        <w:trPr>
          <w:trHeight w:val="194"/>
        </w:trPr>
        <w:tc>
          <w:tcPr>
            <w:tcW w:w="47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Nonaccrual Loans</w:t>
            </w:r>
          </w:p>
        </w:tc>
        <w:tc>
          <w:tcPr>
            <w:tcW w:w="16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60" w:type="dxa"/>
            <w:vAlign w:val="bottom"/>
            <w:shd w:val="clear" w:color="auto" w:fill="CFF0FC"/>
          </w:tcPr>
          <w:p>
            <w:pPr>
              <w:spacing w:after="0"/>
              <w:rPr>
                <w:sz w:val="15"/>
                <w:szCs w:val="15"/>
                <w:color w:val="auto"/>
              </w:rPr>
            </w:pPr>
          </w:p>
        </w:tc>
        <w:tc>
          <w:tcPr>
            <w:tcW w:w="19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447.05%</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9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532.98%</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879.37%</w:t>
            </w:r>
          </w:p>
        </w:tc>
        <w:tc>
          <w:tcPr>
            <w:tcW w:w="0" w:type="dxa"/>
            <w:vAlign w:val="bottom"/>
          </w:tcPr>
          <w:p>
            <w:pPr>
              <w:spacing w:after="0"/>
              <w:rPr>
                <w:sz w:val="1"/>
                <w:szCs w:val="1"/>
                <w:color w:val="auto"/>
              </w:rPr>
            </w:pPr>
          </w:p>
        </w:tc>
      </w:tr>
      <w:tr>
        <w:trPr>
          <w:trHeight w:val="214"/>
        </w:trPr>
        <w:tc>
          <w:tcPr>
            <w:tcW w:w="47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Nonperforming Loans*</w:t>
            </w:r>
          </w:p>
        </w:tc>
        <w:tc>
          <w:tcPr>
            <w:tcW w:w="160" w:type="dxa"/>
            <w:vAlign w:val="bottom"/>
            <w:shd w:val="clear" w:color="auto" w:fill="CFF0FC"/>
          </w:tcPr>
          <w:p>
            <w:pPr>
              <w:spacing w:after="0"/>
              <w:rPr>
                <w:sz w:val="18"/>
                <w:szCs w:val="18"/>
                <w:color w:val="auto"/>
              </w:rPr>
            </w:pPr>
          </w:p>
        </w:tc>
        <w:tc>
          <w:tcPr>
            <w:tcW w:w="192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4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-6094095</wp:posOffset>
            </wp:positionV>
            <wp:extent cx="11112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-6076950</wp:posOffset>
            </wp:positionV>
            <wp:extent cx="11112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-6094095</wp:posOffset>
            </wp:positionV>
            <wp:extent cx="11112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-6076950</wp:posOffset>
            </wp:positionV>
            <wp:extent cx="11112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-6094095</wp:posOffset>
            </wp:positionV>
            <wp:extent cx="11176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-6076950</wp:posOffset>
            </wp:positionV>
            <wp:extent cx="11176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-5768340</wp:posOffset>
            </wp:positionV>
            <wp:extent cx="111125"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-5751195</wp:posOffset>
            </wp:positionV>
            <wp:extent cx="11112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-5768340</wp:posOffset>
            </wp:positionV>
            <wp:extent cx="111125"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-5751195</wp:posOffset>
            </wp:positionV>
            <wp:extent cx="11112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-5768340</wp:posOffset>
            </wp:positionV>
            <wp:extent cx="11176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-5751195</wp:posOffset>
            </wp:positionV>
            <wp:extent cx="11176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-4358005</wp:posOffset>
            </wp:positionV>
            <wp:extent cx="136525" cy="17970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-4358005</wp:posOffset>
            </wp:positionV>
            <wp:extent cx="136525" cy="17970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-4358005</wp:posOffset>
            </wp:positionV>
            <wp:extent cx="137160" cy="17970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-3243580</wp:posOffset>
            </wp:positionV>
            <wp:extent cx="136525" cy="17970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-3243580</wp:posOffset>
            </wp:positionV>
            <wp:extent cx="136525" cy="17970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-3243580</wp:posOffset>
            </wp:positionV>
            <wp:extent cx="137160" cy="17970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-1430655</wp:posOffset>
            </wp:positionV>
            <wp:extent cx="11112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-1430655</wp:posOffset>
            </wp:positionV>
            <wp:extent cx="11112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-1430655</wp:posOffset>
            </wp:positionV>
            <wp:extent cx="11176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-1010920</wp:posOffset>
            </wp:positionV>
            <wp:extent cx="11112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-993775</wp:posOffset>
            </wp:positionV>
            <wp:extent cx="111125"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-1010920</wp:posOffset>
            </wp:positionV>
            <wp:extent cx="11112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-993775</wp:posOffset>
            </wp:positionV>
            <wp:extent cx="111125"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-1010920</wp:posOffset>
            </wp:positionV>
            <wp:extent cx="11176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-993775</wp:posOffset>
            </wp:positionV>
            <wp:extent cx="11176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-573405</wp:posOffset>
            </wp:positionV>
            <wp:extent cx="11112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-556260</wp:posOffset>
            </wp:positionV>
            <wp:extent cx="11112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-573405</wp:posOffset>
            </wp:positionV>
            <wp:extent cx="11112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-556260</wp:posOffset>
            </wp:positionV>
            <wp:extent cx="11112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-573405</wp:posOffset>
            </wp:positionV>
            <wp:extent cx="11176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-556260</wp:posOffset>
            </wp:positionV>
            <wp:extent cx="11176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111125"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11112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111125"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11112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8"/>
          <w:szCs w:val="18"/>
          <w:color w:val="auto"/>
        </w:rPr>
        <w:t>*Nonperforming loans are defined as all loans on nonaccrual, plus any loans past due 90 days not on nonaccrual.</w:t>
      </w:r>
    </w:p>
    <w:p>
      <w:pPr>
        <w:spacing w:after="0" w:line="166"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balance of loans, amortized cost at September 30, 2026, September 30, 2025 and September 30, 2024 within this chart does not include a fair value basis adjustment for derivatives of a $159 thousand reduction, $1.9 million and $3.0 million, respectively, or a daily average outstanding balance of $980 thousand, $1.6 million or $1.3 million, respectively. Refer to Note 7 for additional information related to derivative financial instruments.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7" w:name="page68"/>
    <w:bookmarkEnd w:id="67"/>
    <w:p>
      <w:pPr>
        <w:jc w:val="both"/>
        <w:spacing w:after="0" w:line="256" w:lineRule="auto"/>
        <w:rPr>
          <w:sz w:val="20"/>
          <w:szCs w:val="20"/>
          <w:color w:val="auto"/>
        </w:rPr>
      </w:pPr>
      <w:r>
        <w:rPr>
          <w:rFonts w:ascii="Times New Roman" w:cs="Times New Roman" w:eastAsia="Times New Roman" w:hAnsi="Times New Roman"/>
          <w:sz w:val="18"/>
          <w:szCs w:val="18"/>
          <w:color w:val="auto"/>
        </w:rPr>
        <w:t>Loans classified as nonaccrual were higher as of September 30, 2026 at $6.2 million as compared to $5.2 million as of September 30, 2025. The agricultural real estate portfolio segment increased $3.3 million or 708.9% as compared to September 30, 2025 with $3.0 million attributed to one loan with a specific allocation of $35 thousand. The consumer real estate portfolio, commercial and industrial portfolio and commercial real estate portfolio segments decreased $1.7 million, $333 thousand and $140 thousand, respectively, as compared to September 30, 2025. Nonaccrual loans in the agricultural portfolio segment increased $51 thousand while nonaccrual loans in the consumer portfolio segment decreased $36 thousand as compared to September 30, 2025.</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consumer portfolio segment accounted for the largest components of charge-offs and recoveries for both the nine months ended September 30, 2026 and for the nine months ended September 30, 2025. Management has factored in the continuing impact of high interest rates and inflationary pressures on borrowers' ability to make payments.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Noninterest income was up $2.8 million, or 22.8%, for the nine months ended September 30, 2026 over the same time frame in 2025. Customer service fees increased by $326 thousand as compared to the nine months ended September 30, 2025 which was due primarily to increases of $120 thousand in miscellaneous customer service fees, $78 thousand in merchant service referral fees, $58 thousand in mortgage release fees, $35 thousand in monetization fees and $31 thousand in credit card fees. Other service fees increased by $236 thousand compared to the same period in 2025, which includes overdraft and returned check fees of $117 thousand and combined service charges on DDA, savings accounts, ATM and miscellaneous of $113 thousand. Interchange income increased $246 thousand, which included an additional $58 thousand received for support fees from Mastercard. Loan servicing income increased $305 thousand which included increased servicing rights income for 1-4 family real estate loans of $262 thousand offset by a decrease of $31 thousand for those associated with agricultural real estate loans as compared to the same period in 2025.</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volume of total originations of loans held for sale increased and the associated gain on the sale of these loans was $672 thousand higher for the nine months ended September 30, 2026 over the same period in 2025. Total originations of loans held for sale for the nine months ended September 30, 2026 were $71 million with proceeds from sale at $74 million for 2026 compared to 2025’s activity of $45 million in originations and $46 million in sales. The mortgages sold were both 1-4 family real estate and agricultural real estate loans originated for sale.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cash surrender value of bank owned life insurance increased $1.3 million from the same nine months ended September 30, 2025. The increase in BOLI revenue was due to more investment dollars in addition to higher earnings due to the Bank repositioning its holdings, which we expect to continue into the future.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gain on sale of other assets owned for the nine months ended September 30, 2026 included a $139 thousand gain on the sale of the Ossian branch which the Bank is leasing back and a loss of $111 thousand on the sale of other real estate owned properties.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loss on available for sale securities was $347 thousand for the nine months ended September 30, 2026. Management estimates that this loss is expected to be recouped over the next 30.55 months, as the sale proceeds were redeployed into purchases of higher yielding securities.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2026, noninterest expenses were $1.5 million or 2.6% higher than for the same period in 2025. Salaries and wages, including normal merit increases, restricted stock expense and higher incentive payouts, increased $1.7 million in total. Of the total, base wages and incentive expense increased $1.1 million and $700 thousand, respectively, and was offset with increased deferred salary loans costs of $54 thousand and decreased restricted stock expense of $61 thousand as compared to 2025. Benefits increased from 2025 by $233 thousand due to increased combined taxes and workmen's compensation of $206 thousand and additional 401k expense of $154 thousand offset with a reduction in medical expense of $142 thousand.</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occupancy expense decreased $197 thousand for the first nine months of 2026 as compared to 2025. One factor that can offset occupancy expense is the receipt by the Company of building rent as it is netted out of occupancy expense. The greatest contributor to building rent comes from the division of FM Investments within the Bank. Building rent, as generated from FM Investments in lieu of commissions, increased by $141 thousand in 2026 as compared to 2025. This revenue was able to partially offset increased lease expense of $95 thousand due to the opening of a new branch in third quarter 2025, building depreciation of $30 thousand and automobile expense of $27 thousand. With the sale of the Ossian branch, the remaining building fair value of $212 thousand from the acquisition was accreted into income.</w:t>
      </w:r>
    </w:p>
    <w:p>
      <w:pPr>
        <w:spacing w:after="0" w:line="7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68" w:name="page69"/>
    <w:bookmarkEnd w:id="68"/>
    <w:p>
      <w:pPr>
        <w:jc w:val="both"/>
        <w:spacing w:after="0" w:line="258" w:lineRule="auto"/>
        <w:rPr>
          <w:sz w:val="20"/>
          <w:szCs w:val="20"/>
          <w:color w:val="auto"/>
        </w:rPr>
      </w:pPr>
      <w:r>
        <w:rPr>
          <w:rFonts w:ascii="Times New Roman" w:cs="Times New Roman" w:eastAsia="Times New Roman" w:hAnsi="Times New Roman"/>
          <w:sz w:val="18"/>
          <w:szCs w:val="18"/>
          <w:color w:val="auto"/>
        </w:rPr>
        <w:t>Furniture and fixture expense increased $621 thousand for the nine months ended September 30, 2026 as compared to 2025 with increased maintenance contracts of $607 thousand. Data processing and ATM expenses decreased by a combined $315 thousand. The first nine months of 2026 included a larger amount of flex credits utilized from our core provider as compared to the first nine months of 2025. Advertising increased $116 thousand with increased mailings, digital display and paid advertising for checking promotions in the first nine months of 2026 as compared to 2025 while community involvement expenses increased $92 thousand for the same time period.</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FDIC assessments decreased $143 thousand in 2026 from 2025 due to a decrease in the quarterly assessment multiplier. Servicing rights amortization included $541 thousand for impairment of agricultural loan servicing rights in the nine months ended September 30, 2026 compared to $359 thousand for the same time period in 2025. Loan expense included one-time payments of $169 thousand related to an acquired loan during the second quarter of 2026 and $173 thousand related to an incorrect interest rate during the third quarter of 2026. Consulting fees decreased $590 thousand over the same period in 2025 and is primarily attributable to lower non-recurring fees related to assistance with negotiations for the data processing contract and time spent on additional ancillary products related to our core banking operating system.</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 the $205 thousand decrease in professional fees, $148 thousand was attributed to reduced auditing and exam expenses in 2026 as compared to 2025. The decrease of $420 thousand in intangible asset amortization was due to the Bank of Geneva core deposit intangible being fully amortized at the end of 2025. General and administrative expense decreased $107 thousand. The items on this line of significance include increases in postage of $163 thousand, charitable contributions of $116 thousand, CDARS/ICS fees of $49 thousand and bank correspondent expenses of $42 thousand. Travel and entertainment also increased $58 and $38 thousand, respectively, in the first nine months of 2026 as compared to the same period in 2025. Offsetting the higher expenses were decreased NSF check losses of $215 thousand, out of state obligations of $210 thousand, and miscellaneous expenses of $161 thousand which included $126 thousand for the Modified Endowment Contract (MEC) penalty owed on the gain on cash surrender of bank owned life insurance policies in first quarter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 expense was $2.2 million higher for the nine months ended September 30, 2026 compared to the same period in 2025 based mainly on pretax higher earnings of $11.6 million in addition to a taxable $1.3 million gain on cash surrender value of bank owned life insurance policies. Amortization of qualified affordable housing projects caused income tax expense to increase $337 and $335 thousand for the nine months ended September 30, 2026 and 2025, respectively, as presented in Note 8. Effective tax rates were 20.33% and 20.80% for 2026 and 2025, respectively. Excluding the additional $337 and $335 thousand income tax expense for the respective periods, the effective tax rates would have been 19.52% and 19.67% for the nine months ended September 30, 2026 and 2025,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Overall, net income in the nine months ended September 30, 2026 was up $9.4 million or 40.0% to $32.9 million as compared to last year's $23.5 million. The largest contributor to the improvement was net interest income. Net interest income was up $9.8 million or 12.8% due to both increased interest income of approximately $7.0 million and decreased interest expense of $2.8 million. Provision for credit losses for loans and unfunded commitments decreased $520 thousand compared to 2025. Noninterest income increased $2.8 million, which was offset with an increase of $1.5 million in noninterest expense as described above. The Company remains strong, stable, and well capitalized and has the capacity to continue to cover the increased costs of expansion. The Company is optimistic about continued improvement in profitability due to the opportunity for continued expansion in the net interest margin.</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8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This report, including the sections entitled Management’s Discussion and Analysis of Financial Condition and Results of Operations, may contain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within the meaning of the Private Securities Litigation Reform Act of 1995, including Section 27A of the Securities Act of 1933 and Section 21E of the Securities Exchange Act of 1934.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not historical facts and can be identified by words such as “anticipate,” “believe,” “could,” “expect,” “forecast,” “goal,” “guidance,” “intend,” “likely,” “may,” “objective,” “outlook,” “plan,” “project,” “seeks,” “should,” “target,” “will,” “would,” and similar expressions, as well as their negatives. These statements include, among other things, statements regarding our strategy, future operations, financial condition, results of operations, capital and liquidity levels, margins, asset quality, loan and deposit growth, noninterest income, expense trends, capital management, dividends, share repurchases, and the timing and effects of regulatory or accounting developments and are based on current expectations and assumptions of management.</w:t>
      </w:r>
    </w:p>
    <w:p>
      <w:pPr>
        <w:spacing w:after="0" w:line="9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69" w:name="page70"/>
    <w:bookmarkEnd w:id="69"/>
    <w:p>
      <w:pPr>
        <w:spacing w:after="0" w:line="245" w:lineRule="exact"/>
        <w:rPr>
          <w:sz w:val="20"/>
          <w:szCs w:val="20"/>
          <w:color w:val="auto"/>
        </w:rPr>
      </w:pPr>
      <w:r>
        <w:rPr>
          <w:rFonts w:ascii="Times New Roman" w:cs="Times New Roman" w:eastAsia="Times New Roman" w:hAnsi="Times New Roman"/>
          <w:sz w:val="18"/>
          <w:szCs w:val="18"/>
          <w:color w:val="auto"/>
        </w:rPr>
        <w:t>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subject to risks and uncertainties that could cause actual results to differ materially from those expressed or implied. Factors that could cause actual results to differ materially include, but are not limited to, the following:</w:t>
      </w:r>
    </w:p>
    <w:p>
      <w:pPr>
        <w:spacing w:after="0" w:line="172" w:lineRule="exact"/>
        <w:rPr>
          <w:sz w:val="20"/>
          <w:szCs w:val="20"/>
          <w:color w:val="auto"/>
        </w:rPr>
      </w:pPr>
    </w:p>
    <w:p>
      <w:pPr>
        <w:ind w:left="740" w:hanging="369"/>
        <w:spacing w:after="0" w:line="282"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yield curves, deposit betas, and funding availability and costs; the mix and level of deposits (including the risk of outflows), wholesale funding, and other sources of liquidity; and the impact on net interest income and margin.</w:t>
      </w:r>
    </w:p>
    <w:p>
      <w:pPr>
        <w:spacing w:after="0" w:line="121" w:lineRule="exact"/>
        <w:rPr>
          <w:rFonts w:ascii="Times New Roman" w:cs="Times New Roman" w:eastAsia="Times New Roman" w:hAnsi="Times New Roman"/>
          <w:sz w:val="18"/>
          <w:szCs w:val="18"/>
          <w:color w:val="auto"/>
        </w:rPr>
      </w:pPr>
    </w:p>
    <w:p>
      <w:pPr>
        <w:ind w:left="740" w:hanging="369"/>
        <w:spacing w:after="0" w:line="282"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nationally and in our markets, including in our Midwest footprint; inflation, employment trends, business and consumer confidence, and housing conditions.</w:t>
      </w:r>
    </w:p>
    <w:p>
      <w:pPr>
        <w:spacing w:after="0" w:line="121" w:lineRule="exact"/>
        <w:rPr>
          <w:rFonts w:ascii="Times New Roman" w:cs="Times New Roman" w:eastAsia="Times New Roman" w:hAnsi="Times New Roman"/>
          <w:sz w:val="18"/>
          <w:szCs w:val="18"/>
          <w:color w:val="auto"/>
        </w:rPr>
      </w:pPr>
    </w:p>
    <w:p>
      <w:pPr>
        <w:ind w:left="740" w:hanging="369"/>
        <w:spacing w:after="0" w:line="282"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of lending activities, including concentrations (such as commercial real estate), borrower performance, collateral values, and the level and volatility of the allowance for credit losses under CECL.</w:t>
      </w:r>
    </w:p>
    <w:p>
      <w:pPr>
        <w:spacing w:after="0" w:line="93" w:lineRule="exact"/>
        <w:rPr>
          <w:rFonts w:ascii="Times New Roman" w:cs="Times New Roman" w:eastAsia="Times New Roman" w:hAnsi="Times New Roman"/>
          <w:sz w:val="18"/>
          <w:szCs w:val="18"/>
          <w:color w:val="auto"/>
        </w:rPr>
      </w:pPr>
    </w:p>
    <w:p>
      <w:pPr>
        <w:ind w:left="740" w:hanging="369"/>
        <w:spacing w:after="0" w:line="259" w:lineRule="exact"/>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risks related to our investment securities and hedging activities, including fair value changes, other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temporary or credit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impairments, and accumulated other comprehensive income (AOCI) volatility.</w:t>
      </w:r>
    </w:p>
    <w:p>
      <w:pPr>
        <w:spacing w:after="0" w:line="90" w:lineRule="exact"/>
        <w:rPr>
          <w:rFonts w:ascii="Times New Roman" w:cs="Times New Roman" w:eastAsia="Times New Roman" w:hAnsi="Times New Roman"/>
          <w:sz w:val="18"/>
          <w:szCs w:val="18"/>
          <w:color w:val="auto"/>
        </w:rPr>
      </w:pPr>
    </w:p>
    <w:p>
      <w:pPr>
        <w:ind w:left="740" w:hanging="369"/>
        <w:spacing w:after="0" w:line="207" w:lineRule="exact"/>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banks and nonbanks (including fintechs) for loans, deposits, and fee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products and services.</w:t>
      </w:r>
    </w:p>
    <w:p>
      <w:pPr>
        <w:spacing w:after="0" w:line="225" w:lineRule="exact"/>
        <w:rPr>
          <w:rFonts w:ascii="Times New Roman" w:cs="Times New Roman" w:eastAsia="Times New Roman" w:hAnsi="Times New Roman"/>
          <w:sz w:val="18"/>
          <w:szCs w:val="18"/>
          <w:color w:val="auto"/>
        </w:rPr>
      </w:pPr>
    </w:p>
    <w:p>
      <w:pPr>
        <w:ind w:left="740" w:right="20" w:hanging="369"/>
        <w:spacing w:after="0" w:line="239" w:lineRule="exact"/>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technology, and information security risks, including cybersecurity threats, fraud, ransomware, data breaches, business interruption, and risks related 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and vendor relationships (including core and cloud service providers).</w:t>
      </w:r>
    </w:p>
    <w:p>
      <w:pPr>
        <w:spacing w:after="0" w:line="143" w:lineRule="exact"/>
        <w:rPr>
          <w:rFonts w:ascii="Times New Roman" w:cs="Times New Roman" w:eastAsia="Times New Roman" w:hAnsi="Times New Roman"/>
          <w:sz w:val="18"/>
          <w:szCs w:val="18"/>
          <w:color w:val="auto"/>
        </w:rPr>
      </w:pPr>
    </w:p>
    <w:p>
      <w:pPr>
        <w:jc w:val="both"/>
        <w:ind w:left="740" w:hanging="369"/>
        <w:spacing w:after="0" w:line="258"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compliance, supervisory, and regulatory risks, including the nature, timing, and effect of changes in banking laws and regulations and of examination findings and enforcement actions; potential changes to regulatory capital requirements (including U.S. implementation of the “Basel III Endgame” framework); developments related to small business lending data collection under Section 1071; Community Reinvestment Act developments; and other rulemakings or guidance applicable to community and regional banking organizations.</w:t>
      </w:r>
    </w:p>
    <w:p>
      <w:pPr>
        <w:spacing w:after="0" w:line="142" w:lineRule="exact"/>
        <w:rPr>
          <w:rFonts w:ascii="Times New Roman" w:cs="Times New Roman" w:eastAsia="Times New Roman" w:hAnsi="Times New Roman"/>
          <w:sz w:val="18"/>
          <w:szCs w:val="18"/>
          <w:color w:val="auto"/>
        </w:rPr>
      </w:pPr>
    </w:p>
    <w:p>
      <w:pPr>
        <w:ind w:left="740" w:hanging="369"/>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 interpretations, tax laws, and related guidance.</w:t>
      </w:r>
    </w:p>
    <w:p>
      <w:pPr>
        <w:spacing w:after="0" w:line="184" w:lineRule="exact"/>
        <w:rPr>
          <w:rFonts w:ascii="Times New Roman" w:cs="Times New Roman" w:eastAsia="Times New Roman" w:hAnsi="Times New Roman"/>
          <w:sz w:val="18"/>
          <w:szCs w:val="18"/>
          <w:color w:val="auto"/>
        </w:rPr>
      </w:pPr>
    </w:p>
    <w:p>
      <w:pPr>
        <w:jc w:val="both"/>
        <w:ind w:left="740" w:hanging="369"/>
        <w:spacing w:after="0" w:line="266"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 and to execute on business strategies and initiatives, including technology and digital payments initiatives and any activities relating to stablecoin or other digital asset/payment innovations under applicable law and regulation.</w:t>
      </w:r>
    </w:p>
    <w:p>
      <w:pPr>
        <w:spacing w:after="0" w:line="148" w:lineRule="exact"/>
        <w:rPr>
          <w:rFonts w:ascii="Times New Roman" w:cs="Times New Roman" w:eastAsia="Times New Roman" w:hAnsi="Times New Roman"/>
          <w:sz w:val="18"/>
          <w:szCs w:val="18"/>
          <w:color w:val="auto"/>
        </w:rPr>
      </w:pPr>
    </w:p>
    <w:p>
      <w:pPr>
        <w:ind w:left="740" w:hanging="369"/>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public health events, geopolitical conflicts, or other external events.</w:t>
      </w:r>
    </w:p>
    <w:p>
      <w:pPr>
        <w:spacing w:after="0" w:line="184" w:lineRule="exact"/>
        <w:rPr>
          <w:rFonts w:ascii="Times New Roman" w:cs="Times New Roman" w:eastAsia="Times New Roman" w:hAnsi="Times New Roman"/>
          <w:sz w:val="18"/>
          <w:szCs w:val="18"/>
          <w:color w:val="auto"/>
        </w:rPr>
      </w:pPr>
    </w:p>
    <w:p>
      <w:pPr>
        <w:ind w:left="740" w:hanging="369"/>
        <w:spacing w:after="0" w:line="239" w:lineRule="exact"/>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 Company’s filings with the Securities and Exchange Commission, including the Risk Factors in our most recent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any updates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1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list of factors is not exclusive. Additional risks and uncertainties not presently known to the Company or that the Company currently deems immaterial also may adversely affect the Company’s business, financial condition, results of operations, or cash flows.</w:t>
      </w:r>
    </w:p>
    <w:p>
      <w:pPr>
        <w:spacing w:after="0" w:line="80"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 speaks only as of the date it is made. The Company undertakes no obligation to update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whether written or oral, to reflect events or circumstances after the date of this report, except as required by law. Readers should not place undue reliance 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which are not guarantees of future performance and involve risks, uncertainties, and assumptions.</w:t>
      </w:r>
    </w:p>
    <w:p>
      <w:pPr>
        <w:spacing w:after="0" w:line="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2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33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interest rates and equity prices. The primary market risk to which we are subject is interest rate risk. Much of our interest rate risk arises from the instruments, positions and transactions entered for purposes other than trading such as loans, available for sale securities, interest-bearing deposits, short-term borrowings and long-term borrowings. Interest rate risk occurs when interest-bearing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4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Interest rate risk is managed within an overall asset/liability framework. The principal objectives of asset/liability management are to manage sensitivity of net interest spreads and net income to potential changes in interest rates. Funding positions are kept within predetermined limits designed to ensure that risk-taking is not excessive and that liquidity is effectively managed. If our asset/liability management strategies are unsuccessful, our profitability may be adversely affected. The Company employs a sensitivity analysis utilizing interest rate shocks to help in this analysis.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September 30, 2026, the shocks presented assume an immediate change of rate in the percentages and directions shown: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gridSpan w:val="6"/>
          </w:tcPr>
          <w:p>
            <w:pPr>
              <w:jc w:val="right"/>
              <w:ind w:right="1580"/>
              <w:spacing w:after="0"/>
              <w:rPr>
                <w:sz w:val="20"/>
                <w:szCs w:val="20"/>
                <w:color w:val="auto"/>
              </w:rPr>
            </w:pPr>
            <w:r>
              <w:rPr>
                <w:rFonts w:ascii="Times New Roman" w:cs="Times New Roman" w:eastAsia="Times New Roman" w:hAnsi="Times New Roman"/>
                <w:sz w:val="18"/>
                <w:szCs w:val="18"/>
                <w:color w:val="auto"/>
                <w:w w:val="97"/>
              </w:rPr>
              <w:t>Interest Rate Shock</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0" w:type="dxa"/>
            <w:vAlign w:val="bottom"/>
            <w:gridSpan w:val="6"/>
          </w:tcPr>
          <w:p>
            <w:pPr>
              <w:jc w:val="center"/>
              <w:ind w:right="1140"/>
              <w:spacing w:after="0"/>
              <w:rPr>
                <w:sz w:val="20"/>
                <w:szCs w:val="20"/>
                <w:color w:val="auto"/>
              </w:rPr>
            </w:pPr>
            <w:r>
              <w:rPr>
                <w:rFonts w:ascii="Times New Roman" w:cs="Times New Roman" w:eastAsia="Times New Roman" w:hAnsi="Times New Roman"/>
                <w:sz w:val="18"/>
                <w:szCs w:val="18"/>
                <w:color w:val="auto"/>
              </w:rPr>
              <w:t>Interest Rate Shock</w:t>
            </w: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3100" w:type="dxa"/>
            <w:vAlign w:val="bottom"/>
            <w:gridSpan w:val="7"/>
          </w:tcPr>
          <w:p>
            <w:pPr>
              <w:jc w:val="right"/>
              <w:ind w:right="1460"/>
              <w:spacing w:after="0" w:line="196" w:lineRule="exact"/>
              <w:rPr>
                <w:sz w:val="20"/>
                <w:szCs w:val="20"/>
                <w:color w:val="auto"/>
              </w:rPr>
            </w:pPr>
            <w:r>
              <w:rPr>
                <w:rFonts w:ascii="Times New Roman" w:cs="Times New Roman" w:eastAsia="Times New Roman" w:hAnsi="Times New Roman"/>
                <w:sz w:val="18"/>
                <w:szCs w:val="18"/>
                <w:color w:val="auto"/>
                <w:w w:val="98"/>
              </w:rPr>
              <w:t>on Net Interest Margin</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0" w:type="dxa"/>
            <w:vAlign w:val="bottom"/>
            <w:gridSpan w:val="6"/>
          </w:tcPr>
          <w:p>
            <w:pPr>
              <w:jc w:val="center"/>
              <w:ind w:right="1140"/>
              <w:spacing w:after="0" w:line="196" w:lineRule="exact"/>
              <w:rPr>
                <w:sz w:val="20"/>
                <w:szCs w:val="20"/>
                <w:color w:val="auto"/>
              </w:rPr>
            </w:pPr>
            <w:r>
              <w:rPr>
                <w:rFonts w:ascii="Times New Roman" w:cs="Times New Roman" w:eastAsia="Times New Roman" w:hAnsi="Times New Roman"/>
                <w:sz w:val="18"/>
                <w:szCs w:val="18"/>
                <w:color w:val="auto"/>
              </w:rPr>
              <w:t>on Net Interest Income</w:t>
            </w:r>
          </w:p>
        </w:tc>
      </w:tr>
      <w:tr>
        <w:trPr>
          <w:trHeight w:val="20"/>
        </w:trPr>
        <w:tc>
          <w:tcPr>
            <w:tcW w:w="1080" w:type="dxa"/>
            <w:vAlign w:val="bottom"/>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8"/>
        </w:trPr>
        <w:tc>
          <w:tcPr>
            <w:tcW w:w="206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w w:val="99"/>
              </w:rPr>
              <w:t>Net Interest</w:t>
            </w:r>
          </w:p>
        </w:tc>
        <w:tc>
          <w:tcPr>
            <w:tcW w:w="212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color w:val="auto"/>
              </w:rPr>
              <w:t>% Change to</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Rate</w:t>
            </w:r>
          </w:p>
        </w:tc>
        <w:tc>
          <w:tcPr>
            <w:tcW w:w="140" w:type="dxa"/>
            <w:vAlign w:val="bottom"/>
          </w:tcPr>
          <w:p>
            <w:pPr>
              <w:spacing w:after="0"/>
              <w:rPr>
                <w:sz w:val="18"/>
                <w:szCs w:val="18"/>
                <w:color w:val="auto"/>
              </w:rPr>
            </w:pPr>
          </w:p>
        </w:tc>
        <w:tc>
          <w:tcPr>
            <w:tcW w:w="17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Cumulative</w:t>
            </w:r>
          </w:p>
        </w:tc>
        <w:tc>
          <w:tcPr>
            <w:tcW w:w="300" w:type="dxa"/>
            <w:vAlign w:val="bottom"/>
          </w:tcPr>
          <w:p>
            <w:pPr>
              <w:spacing w:after="0"/>
              <w:rPr>
                <w:sz w:val="18"/>
                <w:szCs w:val="18"/>
                <w:color w:val="auto"/>
              </w:rPr>
            </w:pPr>
          </w:p>
        </w:tc>
        <w:tc>
          <w:tcPr>
            <w:tcW w:w="18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Change to</w:t>
            </w:r>
          </w:p>
        </w:tc>
      </w:tr>
      <w:tr>
        <w:trPr>
          <w:trHeight w:val="234"/>
        </w:trPr>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Margin (Ratio)</w:t>
            </w:r>
          </w:p>
        </w:tc>
        <w:tc>
          <w:tcPr>
            <w:tcW w:w="320" w:type="dxa"/>
            <w:vAlign w:val="bottom"/>
          </w:tcPr>
          <w:p>
            <w:pPr>
              <w:spacing w:after="0"/>
              <w:rPr>
                <w:sz w:val="20"/>
                <w:szCs w:val="20"/>
                <w:color w:val="auto"/>
              </w:rPr>
            </w:pPr>
          </w:p>
        </w:tc>
        <w:tc>
          <w:tcPr>
            <w:tcW w:w="176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Flat Rate</w:t>
            </w:r>
          </w:p>
        </w:tc>
        <w:tc>
          <w:tcPr>
            <w:tcW w:w="36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Direction</w:t>
            </w:r>
          </w:p>
        </w:tc>
        <w:tc>
          <w:tcPr>
            <w:tcW w:w="20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Changes by</w:t>
            </w:r>
          </w:p>
        </w:tc>
        <w:tc>
          <w:tcPr>
            <w:tcW w:w="140" w:type="dxa"/>
            <w:vAlign w:val="bottom"/>
          </w:tcPr>
          <w:p>
            <w:pPr>
              <w:spacing w:after="0"/>
              <w:rPr>
                <w:sz w:val="20"/>
                <w:szCs w:val="20"/>
                <w:color w:val="auto"/>
              </w:rPr>
            </w:pPr>
          </w:p>
        </w:tc>
        <w:tc>
          <w:tcPr>
            <w:tcW w:w="178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Total ($000)</w:t>
            </w:r>
          </w:p>
        </w:tc>
        <w:tc>
          <w:tcPr>
            <w:tcW w:w="3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Flat Rate</w:t>
            </w:r>
          </w:p>
        </w:tc>
      </w:tr>
      <w:tr>
        <w:trPr>
          <w:trHeight w:val="209"/>
        </w:trPr>
        <w:tc>
          <w:tcPr>
            <w:tcW w:w="206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3.91%</w:t>
            </w:r>
          </w:p>
        </w:tc>
        <w:tc>
          <w:tcPr>
            <w:tcW w:w="212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5.80%</w:t>
            </w: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Rising</w:t>
            </w:r>
          </w:p>
        </w:tc>
        <w:tc>
          <w:tcPr>
            <w:tcW w:w="16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3.00%</w:t>
            </w:r>
          </w:p>
        </w:tc>
        <w:tc>
          <w:tcPr>
            <w:tcW w:w="19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130,162</w:t>
            </w:r>
          </w:p>
        </w:tc>
        <w:tc>
          <w:tcPr>
            <w:tcW w:w="2140" w:type="dxa"/>
            <w:vAlign w:val="bottom"/>
            <w:gridSpan w:val="4"/>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8"/>
              </w:rPr>
              <w:t>4.80%</w:t>
            </w:r>
          </w:p>
        </w:tc>
      </w:tr>
      <w:tr>
        <w:trPr>
          <w:trHeight w:val="216"/>
        </w:trPr>
        <w:tc>
          <w:tcPr>
            <w:tcW w:w="20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3.86%</w:t>
            </w:r>
          </w:p>
        </w:tc>
        <w:tc>
          <w:tcPr>
            <w:tcW w:w="21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4.27%</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Rising</w:t>
            </w:r>
          </w:p>
        </w:tc>
        <w:tc>
          <w:tcPr>
            <w:tcW w:w="16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2.00%</w:t>
            </w:r>
          </w:p>
        </w:tc>
        <w:tc>
          <w:tcPr>
            <w:tcW w:w="1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128,568</w:t>
            </w:r>
          </w:p>
        </w:tc>
        <w:tc>
          <w:tcPr>
            <w:tcW w:w="214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8"/>
              </w:rPr>
              <w:t>3.51%</w:t>
            </w:r>
          </w:p>
        </w:tc>
      </w:tr>
      <w:tr>
        <w:trPr>
          <w:trHeight w:val="216"/>
        </w:trPr>
        <w:tc>
          <w:tcPr>
            <w:tcW w:w="206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3.79%</w:t>
            </w:r>
          </w:p>
        </w:tc>
        <w:tc>
          <w:tcPr>
            <w:tcW w:w="212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2.49%</w:t>
            </w: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Rising</w:t>
            </w:r>
          </w:p>
        </w:tc>
        <w:tc>
          <w:tcPr>
            <w:tcW w:w="16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1.00%</w:t>
            </w:r>
          </w:p>
        </w:tc>
        <w:tc>
          <w:tcPr>
            <w:tcW w:w="19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126,732</w:t>
            </w:r>
          </w:p>
        </w:tc>
        <w:tc>
          <w:tcPr>
            <w:tcW w:w="2140" w:type="dxa"/>
            <w:vAlign w:val="bottom"/>
            <w:gridSpan w:val="4"/>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8"/>
              </w:rPr>
              <w:t>2.03%</w:t>
            </w:r>
          </w:p>
        </w:tc>
      </w:tr>
      <w:tr>
        <w:trPr>
          <w:trHeight w:val="216"/>
        </w:trPr>
        <w:tc>
          <w:tcPr>
            <w:tcW w:w="20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3.70%</w:t>
            </w:r>
          </w:p>
        </w:tc>
        <w:tc>
          <w:tcPr>
            <w:tcW w:w="21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Flat</w:t>
            </w:r>
          </w:p>
        </w:tc>
        <w:tc>
          <w:tcPr>
            <w:tcW w:w="16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0.00%</w:t>
            </w:r>
          </w:p>
        </w:tc>
        <w:tc>
          <w:tcPr>
            <w:tcW w:w="1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124,206</w:t>
            </w:r>
          </w:p>
        </w:tc>
        <w:tc>
          <w:tcPr>
            <w:tcW w:w="214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206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3.65%</w:t>
            </w:r>
          </w:p>
        </w:tc>
        <w:tc>
          <w:tcPr>
            <w:tcW w:w="212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Falling</w:t>
            </w:r>
          </w:p>
        </w:tc>
        <w:tc>
          <w:tcPr>
            <w:tcW w:w="16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-1.00%</w:t>
            </w:r>
          </w:p>
        </w:tc>
        <w:tc>
          <w:tcPr>
            <w:tcW w:w="19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122,930</w:t>
            </w:r>
          </w:p>
        </w:tc>
        <w:tc>
          <w:tcPr>
            <w:tcW w:w="2140" w:type="dxa"/>
            <w:vAlign w:val="bottom"/>
            <w:gridSpan w:val="4"/>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0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21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-6.88%</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Falling</w:t>
            </w:r>
          </w:p>
        </w:tc>
        <w:tc>
          <w:tcPr>
            <w:tcW w:w="16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-2.00%</w:t>
            </w:r>
          </w:p>
        </w:tc>
        <w:tc>
          <w:tcPr>
            <w:tcW w:w="1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116,822</w:t>
            </w:r>
          </w:p>
        </w:tc>
        <w:tc>
          <w:tcPr>
            <w:tcW w:w="214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rPr>
              <w:t>-5.95%</w:t>
            </w:r>
          </w:p>
        </w:tc>
      </w:tr>
      <w:tr>
        <w:trPr>
          <w:trHeight w:val="216"/>
        </w:trPr>
        <w:tc>
          <w:tcPr>
            <w:tcW w:w="206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3.32%</w:t>
            </w:r>
          </w:p>
        </w:tc>
        <w:tc>
          <w:tcPr>
            <w:tcW w:w="212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-10.26%</w:t>
            </w: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Falling</w:t>
            </w:r>
          </w:p>
        </w:tc>
        <w:tc>
          <w:tcPr>
            <w:tcW w:w="16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-3.00%</w:t>
            </w:r>
          </w:p>
        </w:tc>
        <w:tc>
          <w:tcPr>
            <w:tcW w:w="19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113,509</w:t>
            </w:r>
          </w:p>
        </w:tc>
        <w:tc>
          <w:tcPr>
            <w:tcW w:w="2140" w:type="dxa"/>
            <w:vAlign w:val="bottom"/>
            <w:gridSpan w:val="4"/>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rPr>
              <w:t>-8.61%</w:t>
            </w:r>
          </w:p>
        </w:tc>
      </w:tr>
    </w:tbl>
    <w:p>
      <w:pPr>
        <w:spacing w:after="0" w:line="19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Bank’s balance sheet is asset-sensitive based on a static balance sheet and parallel rate shocks. The net interest margin represents the forecasted twelve-month margin. The Company also reviews shocks up to a 5.00% fluctuation and over a 24-month time frame, as well as alternate yield curve scenarios. The goal of the Company is to gather more core deposits, such as checking and savings accounts. Checking accounts are preferable for the lower cost of funds and the opportunity to garner noninterest revenue from services provided. Savings and money market accounts are beneficial due to the variability of the interest in both rate and immediate option to reprice.</w:t>
      </w:r>
    </w:p>
    <w:p>
      <w:pPr>
        <w:spacing w:after="0" w:line="143"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Bank’s monthly cost of funds increased to 2.55% on September 30, 2026 from 2.54% on June 30, 2026. Older loans and investments will continue to reprice higher, in aggregate, in the next three months with greater opportunity in 2027 and 2028 based on current rates. The Bank reviewed and adjusted its assumptions concerning deposit betas, key rate ties, and loan prepayment speeds during the second quarter. These model assumption changes, combined with a steeper yield curve, moved us from slightly liability-sensitive to asset-sensitive. This shock horizon now captures material volumes of adjustable loans that are scheduled to reset higher in the second quarter of 2027, based on current rates. Directional changes shown above are within the Bank's risk tolerance. The effect of the rate shocks may be mitigated to the extent that not all lines of business are directly tied to an external index and actual balance sheet composition may differ from modeled results.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8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the end of the period covered by this report. There have been no changes in the Company's internal control over financial reporting that occurred during the most recent fiscal quarter that have materially affected, or are reasonably likely to materially affect, the Company's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212529"/>
        </w:rPr>
        <w:t xml:space="preserve">Except as indicated below, there have been no material changes in the Company’s risk factors from those disclosed in the Company’s Annual Report on Form 10-K for the year </w:t>
      </w:r>
      <w:r>
        <w:rPr>
          <w:rFonts w:ascii="Times New Roman" w:cs="Times New Roman" w:eastAsia="Times New Roman" w:hAnsi="Times New Roman"/>
          <w:sz w:val="18"/>
          <w:szCs w:val="18"/>
          <w:color w:val="000000"/>
        </w:rPr>
        <w:t>ended December 31, 2025.</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Risks Related to Regulation of Payment Stablecoins and Digital Assets</w:t>
      </w:r>
    </w:p>
    <w:p>
      <w:pPr>
        <w:spacing w:after="0" w:line="202"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Recent federal legislation, including the GENIUS Act enacted in mid-2025, established new regulatory requirements for payment stablecoins issued by banking organizations and their subsidiaries. Compliance with these requirements involves maintaining adequate asset reserves, extensive reporting obligations, independent audits, and increased supervisory oversight. Our potential involvement in issuing or supporting payment stablecoins could expose us to regulatory compliance risks, increased operational costs, and evolving legal uncertainties. Additionally, rapid changes in digital asset regulation or adverse regulatory interpretations could adversely affect our business strategies and prospects in this emerging market, which could materially impact our financial condition and results of operations.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Global Economic and Geopolitical Instability, Trade Policy and Inflationary Risks</w:t>
      </w:r>
    </w:p>
    <w:p>
      <w:pPr>
        <w:spacing w:after="0" w:line="18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Geopolitical instability, terrorist attacks, military conflicts, natural disasters, severe weather, widespread health emergencies and other catastrophic events could materially adversely affect our business. Tensions between China and the United States, the conflicts involving Russia and Ukraine and Israel and Hamas, the conflict involving Iran, and actual or threatened disruptions to shipping through the Strait of Hormuz could escalate or result in broader regional or global conflicts.</w:t>
      </w:r>
    </w:p>
    <w:p>
      <w:pPr>
        <w:spacing w:after="0" w:line="153"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These conditions, together with fiscal and monetary policies, tariffs, retaliatory trade measures, economic sanctions and other restrictions on international trade, could disrupt energy, commodity and supply chains; increase the costs of fuel, transportation, raw materials and other goods; contribute to inflation and interest-rate volatility; and reduce consumer spending, business investment and demand for credit. These effects could be particularly significant for our borrowers operating in agriculture, food processing and manufacturing. If these developments place financial strain on our borrowers, we could experience reduced loan demand, increased credit risk, higher loan delinquencies and additional provisions for credit losses. Although we monitor these developments, we may not be able to anticipate or fully mitigate their effects on our business, financial condition and results of operations.</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Adverse Conditions in the Agricultural Economy Could Adversely Affect Our Agricultural Borrowers and Our Credit Quality</w:t>
      </w:r>
    </w:p>
    <w:p>
      <w:pPr>
        <w:spacing w:after="0" w:line="18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 meaningful portion of our lending activities consists of agricultural real estate and operating loans to crop and livestock producers and businesses that depend upon the agricultural sector. Repayment of these loans depends largely on the successful operation and cash flow of the borrower’s agricultural business, which may be affected by commodity prices, weather conditions, foreign demand for United States agricultural products, competition from foreign producers, tariffs and trade restrictions, government agricultural programs, interest rates and the costs and availability of fertilizer, fuel, seed, feed, equipment and labor.</w:t>
      </w:r>
    </w:p>
    <w:p>
      <w:pPr>
        <w:spacing w:after="0" w:line="18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Agricultural operating loans may be unsecured or secured by farm equipment, livestock, crops or other collateral that may depreciate rapidly, fluctuate in value or be subject to damage or loss. As a result, the value of collateral available following a borrower default may be insufficient to repay the outstanding loan balance.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2" w:name="page73"/>
    <w:bookmarkEnd w:id="72"/>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Reduced or volatile foreign demand, including demand from China for United States soybeans and other agricultural products, and increased competition from producers in other countries could place downward pressure on commodity prices and reduce the revenues and cash flows of borrowers in our markets. In addition, disruptions or threatened disruptions to shipping through the Strait of Hormuz could increase the cost or reduce the availability of fuel, fertilizer and fertilizer-production inputs, including sulfur. Lower commodity prices combined with elevated fertilizer, fuel and other input costs could compress agricultural borrowers’ operating margins, increase their need for operating credit and reduce their ability to repay existing indebtedness. These conditions could result in increased loan modifications or restructurings; higher levels of past-due, criticized, classified or nonaccrual loans; reduced agricultural collateral values; and increased provisions for credit losses and charge-offs.</w:t>
      </w:r>
    </w:p>
    <w:p>
      <w:pPr>
        <w:spacing w:after="0" w:line="162"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Many of our agricultural borrowers use crop insurance, which may provide protection based on reduced crop yields, reduced revenues or both, and may use hedging strategies to manage commodity-price and input-cost risks. However, the availability, scope and amount of such protection may vary and may not fully protect our borrowers or us from losses arising from adverse agricultural conditions.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Treasury stock repurchased the quarter ended September 30, 2026.</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 Maximum</w:t>
            </w:r>
          </w:p>
        </w:tc>
      </w:tr>
      <w:tr>
        <w:trPr>
          <w:trHeight w:val="216"/>
        </w:trPr>
        <w:tc>
          <w:tcPr>
            <w:tcW w:w="2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 Total Number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216"/>
        </w:trPr>
        <w:tc>
          <w:tcPr>
            <w:tcW w:w="2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Shares Purchased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Shares that may</w:t>
            </w:r>
          </w:p>
        </w:tc>
      </w:tr>
      <w:tr>
        <w:trPr>
          <w:trHeight w:val="216"/>
        </w:trPr>
        <w:tc>
          <w:tcPr>
            <w:tcW w:w="2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as Part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yet be</w:t>
            </w:r>
          </w:p>
        </w:tc>
      </w:tr>
      <w:tr>
        <w:trPr>
          <w:trHeight w:val="216"/>
        </w:trPr>
        <w:tc>
          <w:tcPr>
            <w:tcW w:w="2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Publicly</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purchased under the</w:t>
            </w:r>
          </w:p>
        </w:tc>
      </w:tr>
      <w:tr>
        <w:trPr>
          <w:trHeight w:val="196"/>
        </w:trPr>
        <w:tc>
          <w:tcPr>
            <w:tcW w:w="2420" w:type="dxa"/>
            <w:vAlign w:val="bottom"/>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 Total Number of</w:t>
            </w:r>
          </w:p>
        </w:tc>
        <w:tc>
          <w:tcPr>
            <w:tcW w:w="280" w:type="dxa"/>
            <w:vAlign w:val="bottom"/>
          </w:tcPr>
          <w:p>
            <w:pPr>
              <w:spacing w:after="0"/>
              <w:rPr>
                <w:sz w:val="17"/>
                <w:szCs w:val="17"/>
                <w:color w:val="auto"/>
              </w:rPr>
            </w:pPr>
          </w:p>
        </w:tc>
        <w:tc>
          <w:tcPr>
            <w:tcW w:w="160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(b) Average Price</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Announced Plan</w:t>
            </w:r>
          </w:p>
        </w:tc>
        <w:tc>
          <w:tcPr>
            <w:tcW w:w="1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Plans or</w:t>
            </w:r>
          </w:p>
        </w:tc>
      </w:tr>
      <w:tr>
        <w:trPr>
          <w:trHeight w:val="254"/>
        </w:trPr>
        <w:tc>
          <w:tcPr>
            <w:tcW w:w="24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Period</w:t>
            </w:r>
          </w:p>
        </w:tc>
        <w:tc>
          <w:tcPr>
            <w:tcW w:w="2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Shares Purchased</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Paid per Share</w:t>
            </w:r>
          </w:p>
        </w:tc>
        <w:tc>
          <w:tcPr>
            <w:tcW w:w="1800" w:type="dxa"/>
            <w:vAlign w:val="bottom"/>
            <w:tcBorders>
              <w:bottom w:val="single" w:sz="8" w:color="auto"/>
            </w:tcBorders>
          </w:tcPr>
          <w:p>
            <w:pPr>
              <w:jc w:val="center"/>
              <w:spacing w:after="0" w:line="255" w:lineRule="exact"/>
              <w:rPr>
                <w:sz w:val="20"/>
                <w:szCs w:val="20"/>
                <w:color w:val="auto"/>
              </w:rPr>
            </w:pPr>
            <w:r>
              <w:rPr>
                <w:rFonts w:ascii="Times New Roman" w:cs="Times New Roman" w:eastAsia="Times New Roman" w:hAnsi="Times New Roman"/>
                <w:sz w:val="18"/>
                <w:szCs w:val="18"/>
                <w:color w:val="auto"/>
                <w:w w:val="94"/>
              </w:rPr>
              <w:t xml:space="preserve">or Programs </w:t>
            </w:r>
            <w:r>
              <w:rPr>
                <w:rFonts w:ascii="Times New Roman" w:cs="Times New Roman" w:eastAsia="Times New Roman" w:hAnsi="Times New Roman"/>
                <w:sz w:val="24"/>
                <w:szCs w:val="24"/>
                <w:color w:val="auto"/>
                <w:w w:val="94"/>
                <w:vertAlign w:val="superscript"/>
              </w:rPr>
              <w:t>(1)</w:t>
            </w:r>
          </w:p>
        </w:tc>
        <w:tc>
          <w:tcPr>
            <w:tcW w:w="1780" w:type="dxa"/>
            <w:vAlign w:val="bottom"/>
            <w:tcBorders>
              <w:bottom w:val="single" w:sz="8" w:color="auto"/>
            </w:tcBorders>
          </w:tcPr>
          <w:p>
            <w:pPr>
              <w:jc w:val="center"/>
              <w:spacing w:after="0" w:line="255" w:lineRule="exact"/>
              <w:rPr>
                <w:sz w:val="20"/>
                <w:szCs w:val="20"/>
                <w:color w:val="auto"/>
              </w:rPr>
            </w:pPr>
            <w:r>
              <w:rPr>
                <w:rFonts w:ascii="Times New Roman" w:cs="Times New Roman" w:eastAsia="Times New Roman" w:hAnsi="Times New Roman"/>
                <w:sz w:val="18"/>
                <w:szCs w:val="18"/>
                <w:color w:val="auto"/>
                <w:w w:val="93"/>
              </w:rPr>
              <w:t xml:space="preserve">Programs </w:t>
            </w:r>
            <w:r>
              <w:rPr>
                <w:rFonts w:ascii="Times New Roman" w:cs="Times New Roman" w:eastAsia="Times New Roman" w:hAnsi="Times New Roman"/>
                <w:sz w:val="24"/>
                <w:szCs w:val="24"/>
                <w:color w:val="auto"/>
                <w:w w:val="93"/>
                <w:vertAlign w:val="superscript"/>
              </w:rPr>
              <w:t>(1)</w:t>
            </w:r>
          </w:p>
        </w:tc>
      </w:tr>
      <w:tr>
        <w:trPr>
          <w:trHeight w:val="210"/>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7/1/2026 to 7/31/2026</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649,500</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8/1/2026 to 8/31/2026</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18,501</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34.32</w:t>
            </w:r>
          </w:p>
        </w:tc>
        <w:tc>
          <w:tcPr>
            <w:tcW w:w="1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14,067</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635,433</w:t>
            </w:r>
          </w:p>
        </w:tc>
      </w:tr>
      <w:tr>
        <w:trPr>
          <w:trHeight w:val="216"/>
        </w:trPr>
        <w:tc>
          <w:tcPr>
            <w:tcW w:w="24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9/1/2026 to 9/30/2026</w:t>
            </w: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28,231</w:t>
            </w:r>
          </w:p>
        </w:tc>
        <w:tc>
          <w:tcPr>
            <w:tcW w:w="28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w:t>
            </w:r>
          </w:p>
        </w:tc>
        <w:tc>
          <w:tcPr>
            <w:tcW w:w="16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34.97</w:t>
            </w:r>
          </w:p>
        </w:tc>
        <w:tc>
          <w:tcPr>
            <w:tcW w:w="18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27,433</w:t>
            </w: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608,000</w:t>
            </w:r>
          </w:p>
        </w:tc>
      </w:tr>
      <w:tr>
        <w:trPr>
          <w:trHeight w:val="210"/>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46,732</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34.71</w:t>
            </w:r>
          </w:p>
        </w:tc>
        <w:tc>
          <w:tcPr>
            <w:tcW w:w="1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41,500</w:t>
            </w: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608,000</w:t>
            </w:r>
          </w:p>
        </w:tc>
      </w:tr>
    </w:tbl>
    <w:p>
      <w:pPr>
        <w:spacing w:after="0" w:line="198" w:lineRule="exact"/>
        <w:rPr>
          <w:sz w:val="20"/>
          <w:szCs w:val="20"/>
          <w:color w:val="auto"/>
        </w:rPr>
      </w:pPr>
    </w:p>
    <w:p>
      <w:pPr>
        <w:jc w:val="both"/>
        <w:ind w:left="1140" w:hanging="383"/>
        <w:spacing w:after="0" w:line="257"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purchases shares in the market pursuant to a stock repurchase program publicly announced on January 27, 2026. On that date, the Board of Directors authorized the repurchase of 650,000 common shares between January 27, 2026 and December 31, 2026.</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which are returned to account for tax payable on vested stock awards are outside of the Company’s stock repurchase program.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DEFAULTS UPON SENIOR SECURITIES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MINE SAFETY DISCLOSURES</w:t>
      </w:r>
    </w:p>
    <w:p>
      <w:pPr>
        <w:spacing w:after="0" w:line="225" w:lineRule="exact"/>
        <w:rPr>
          <w:sz w:val="20"/>
          <w:szCs w:val="20"/>
          <w:color w:val="auto"/>
        </w:rPr>
      </w:pPr>
    </w:p>
    <w:p>
      <w:pPr>
        <w:jc w:val="center"/>
        <w:ind w:right="86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22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All shares committed to the 10b5-1 Trading Plan entered into by Andrew J. Briggs dated December 16, 2025 have been executed, and the plan was completed on August 18, 2026.</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101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937">
              <w:r>
                <w:rPr>
                  <w:rFonts w:ascii="Times New Roman" w:cs="Times New Roman" w:eastAsia="Times New Roman" w:hAnsi="Times New Roman"/>
                  <w:sz w:val="18"/>
                  <w:szCs w:val="18"/>
                  <w:color w:val="0000FF"/>
                </w:rPr>
                <w:t>Amended Articles of Incorporation of the Registrant (incorporated by reference to Exhibit 3.1 to Registrant’s Quarterly Report on Form 10-</w:t>
              </w:r>
            </w:hyperlink>
          </w:p>
        </w:tc>
      </w:tr>
      <w:tr>
        <w:trPr>
          <w:trHeight w:val="196"/>
        </w:trPr>
        <w:tc>
          <w:tcPr>
            <w:tcW w:w="114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FF"/>
              </w:rPr>
            </w:pPr>
            <w:hyperlink r:id="rId937">
              <w:r>
                <w:rPr>
                  <w:rFonts w:ascii="Times New Roman" w:cs="Times New Roman" w:eastAsia="Times New Roman" w:hAnsi="Times New Roman"/>
                  <w:sz w:val="18"/>
                  <w:szCs w:val="18"/>
                  <w:color w:val="0000FF"/>
                </w:rPr>
                <w:t>Q filed with the Commission on October 25, 2017).</w:t>
              </w:r>
            </w:hyperlink>
          </w:p>
        </w:tc>
      </w:tr>
      <w:tr>
        <w:trPr>
          <w:trHeight w:val="20"/>
        </w:trPr>
        <w:tc>
          <w:tcPr>
            <w:tcW w:w="11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3.1(b)</w:t>
            </w:r>
          </w:p>
        </w:tc>
        <w:tc>
          <w:tcPr>
            <w:tcW w:w="10100" w:type="dxa"/>
            <w:vAlign w:val="bottom"/>
            <w:gridSpan w:val="11"/>
          </w:tcPr>
          <w:p>
            <w:pPr>
              <w:spacing w:after="0" w:line="196" w:lineRule="exact"/>
              <w:rPr>
                <w:rFonts w:ascii="Times New Roman" w:cs="Times New Roman" w:eastAsia="Times New Roman" w:hAnsi="Times New Roman"/>
                <w:sz w:val="18"/>
                <w:szCs w:val="18"/>
                <w:color w:val="0000FF"/>
              </w:rPr>
            </w:pPr>
            <w:hyperlink r:id="rId938">
              <w:r>
                <w:rPr>
                  <w:rFonts w:ascii="Times New Roman" w:cs="Times New Roman" w:eastAsia="Times New Roman" w:hAnsi="Times New Roman"/>
                  <w:sz w:val="18"/>
                  <w:szCs w:val="18"/>
                  <w:color w:val="0000FF"/>
                </w:rPr>
                <w:t>Amendment to Articles of Incorporation of the Registrant (incorporated by reference to Exhibit 3.1(b) to Registrant's Quarterly Report on</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938">
              <w:r>
                <w:rPr>
                  <w:rFonts w:ascii="Times New Roman" w:cs="Times New Roman" w:eastAsia="Times New Roman" w:hAnsi="Times New Roman"/>
                  <w:sz w:val="18"/>
                  <w:szCs w:val="18"/>
                  <w:color w:val="0000FF"/>
                </w:rPr>
                <w:t>Form 10-Q filed with the Commission on August 4, 2025).</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1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939">
              <w:r>
                <w:rPr>
                  <w:rFonts w:ascii="Times New Roman" w:cs="Times New Roman" w:eastAsia="Times New Roman" w:hAnsi="Times New Roman"/>
                  <w:sz w:val="18"/>
                  <w:szCs w:val="18"/>
                  <w:color w:val="0000FF"/>
                </w:rPr>
                <w:t>Amended and Restated Code of Regulations of the Registrant (incorporated by reference to Exhibit 3.2 to Registrant's Quarterly Report on</w:t>
              </w:r>
            </w:hyperlink>
          </w:p>
        </w:tc>
      </w:tr>
      <w:tr>
        <w:trPr>
          <w:trHeight w:val="196"/>
        </w:trPr>
        <w:tc>
          <w:tcPr>
            <w:tcW w:w="1140" w:type="dxa"/>
            <w:vAlign w:val="bottom"/>
          </w:tcPr>
          <w:p>
            <w:pPr>
              <w:spacing w:after="0"/>
              <w:rPr>
                <w:sz w:val="17"/>
                <w:szCs w:val="17"/>
                <w:color w:val="auto"/>
              </w:rPr>
            </w:pPr>
          </w:p>
        </w:tc>
        <w:tc>
          <w:tcPr>
            <w:tcW w:w="41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939">
              <w:r>
                <w:rPr>
                  <w:rFonts w:ascii="Times New Roman" w:cs="Times New Roman" w:eastAsia="Times New Roman" w:hAnsi="Times New Roman"/>
                  <w:sz w:val="18"/>
                  <w:szCs w:val="18"/>
                  <w:color w:val="0000FF"/>
                  <w:w w:val="99"/>
                </w:rPr>
                <w:t>Form 10-Q filed with the Commission on July 26, 2017).</w:t>
              </w:r>
            </w:hyperlink>
          </w:p>
        </w:tc>
        <w:tc>
          <w:tcPr>
            <w:tcW w:w="20" w:type="dxa"/>
            <w:vAlign w:val="bottom"/>
            <w:tcBorders>
              <w:bottom w:val="single" w:sz="8" w:color="0000EE"/>
            </w:tcBorders>
          </w:tcPr>
          <w:p>
            <w:pPr>
              <w:spacing w:after="0"/>
              <w:rPr>
                <w:sz w:val="17"/>
                <w:szCs w:val="17"/>
                <w:color w:val="auto"/>
              </w:rPr>
            </w:pPr>
          </w:p>
        </w:tc>
        <w:tc>
          <w:tcPr>
            <w:tcW w:w="5960" w:type="dxa"/>
            <w:vAlign w:val="bottom"/>
            <w:gridSpan w:val="3"/>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1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940">
              <w:r>
                <w:rPr>
                  <w:rFonts w:ascii="Times New Roman" w:cs="Times New Roman" w:eastAsia="Times New Roman" w:hAnsi="Times New Roman"/>
                  <w:sz w:val="18"/>
                  <w:szCs w:val="18"/>
                  <w:color w:val="0000FF"/>
                  <w:w w:val="99"/>
                </w:rPr>
                <w:t>Description of Registrant’s Common Stock (incorporated by reference to Exhibit 4.1 to Registrant's Annual Report on Form 10-K filed with</w:t>
              </w:r>
            </w:hyperlink>
          </w:p>
        </w:tc>
      </w:tr>
      <w:tr>
        <w:trPr>
          <w:trHeight w:val="196"/>
        </w:trPr>
        <w:tc>
          <w:tcPr>
            <w:tcW w:w="1140" w:type="dxa"/>
            <w:vAlign w:val="bottom"/>
          </w:tcPr>
          <w:p>
            <w:pPr>
              <w:spacing w:after="0"/>
              <w:rPr>
                <w:sz w:val="17"/>
                <w:szCs w:val="17"/>
                <w:color w:val="auto"/>
              </w:rPr>
            </w:pPr>
          </w:p>
        </w:tc>
        <w:tc>
          <w:tcPr>
            <w:tcW w:w="28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940">
              <w:r>
                <w:rPr>
                  <w:rFonts w:ascii="Times New Roman" w:cs="Times New Roman" w:eastAsia="Times New Roman" w:hAnsi="Times New Roman"/>
                  <w:sz w:val="18"/>
                  <w:szCs w:val="18"/>
                  <w:color w:val="0000FF"/>
                  <w:w w:val="99"/>
                </w:rPr>
                <w:t>the Commission on February 26, 2020).</w:t>
              </w:r>
            </w:hyperlink>
          </w:p>
        </w:tc>
        <w:tc>
          <w:tcPr>
            <w:tcW w:w="7220" w:type="dxa"/>
            <w:vAlign w:val="bottom"/>
            <w:gridSpan w:val="6"/>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5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Rule 13a-14(a) Certification - CEO</w:t>
            </w:r>
          </w:p>
        </w:tc>
        <w:tc>
          <w:tcPr>
            <w:tcW w:w="7540" w:type="dxa"/>
            <w:vAlign w:val="bottom"/>
            <w:gridSpan w:val="7"/>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Rule 13a-14(a) Certification - CFO</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4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1350 Certification - CEO</w:t>
            </w:r>
          </w:p>
        </w:tc>
        <w:tc>
          <w:tcPr>
            <w:tcW w:w="120" w:type="dxa"/>
            <w:vAlign w:val="bottom"/>
            <w:tcBorders>
              <w:top w:val="single" w:sz="8" w:color="0000FF"/>
            </w:tcBorders>
          </w:tcPr>
          <w:p>
            <w:pPr>
              <w:spacing w:after="0"/>
              <w:rPr>
                <w:sz w:val="17"/>
                <w:szCs w:val="17"/>
                <w:color w:val="auto"/>
              </w:rPr>
            </w:pPr>
          </w:p>
        </w:tc>
        <w:tc>
          <w:tcPr>
            <w:tcW w:w="7560" w:type="dxa"/>
            <w:vAlign w:val="bottom"/>
            <w:gridSpan w:val="8"/>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Section 1350 Certification - CFO</w:t>
            </w:r>
          </w:p>
        </w:tc>
      </w:tr>
      <w:tr>
        <w:trPr>
          <w:trHeight w:val="20"/>
        </w:trPr>
        <w:tc>
          <w:tcPr>
            <w:tcW w:w="11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7700" w:type="dxa"/>
            <w:vAlign w:val="bottom"/>
            <w:gridSpan w:val="10"/>
          </w:tcPr>
          <w:p>
            <w:pPr>
              <w:spacing w:after="0" w:line="20" w:lineRule="exact"/>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16"/>
        </w:trPr>
        <w:tc>
          <w:tcPr>
            <w:tcW w:w="1140" w:type="dxa"/>
            <w:vAlign w:val="bottom"/>
          </w:tcPr>
          <w:p>
            <w:pPr>
              <w:spacing w:after="0"/>
              <w:rPr>
                <w:sz w:val="18"/>
                <w:szCs w:val="18"/>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left="1140" w:right="20" w:hanging="1132"/>
        <w:spacing w:after="0" w:line="260"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September 30, 2026, has been formatted in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Farmers &amp; Merchants Bancorp, Inc.,</w:t>
            </w:r>
          </w:p>
        </w:tc>
      </w:tr>
      <w:tr>
        <w:trPr>
          <w:trHeight w:val="432"/>
        </w:trPr>
        <w:tc>
          <w:tcPr>
            <w:tcW w:w="1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October 27, 2026</w:t>
            </w:r>
          </w:p>
        </w:tc>
        <w:tc>
          <w:tcPr>
            <w:tcW w:w="234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 Lars B. Eller</w:t>
            </w:r>
          </w:p>
        </w:tc>
      </w:tr>
      <w:tr>
        <w:trPr>
          <w:trHeight w:val="191"/>
        </w:trPr>
        <w:tc>
          <w:tcPr>
            <w:tcW w:w="13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tcPr>
          <w:p>
            <w:pPr>
              <w:ind w:left="400"/>
              <w:spacing w:after="0" w:line="191" w:lineRule="exact"/>
              <w:rPr>
                <w:sz w:val="20"/>
                <w:szCs w:val="20"/>
                <w:color w:val="auto"/>
              </w:rPr>
            </w:pPr>
            <w:r>
              <w:rPr>
                <w:rFonts w:ascii="Times New Roman" w:cs="Times New Roman" w:eastAsia="Times New Roman" w:hAnsi="Times New Roman"/>
                <w:sz w:val="18"/>
                <w:szCs w:val="18"/>
                <w:color w:val="auto"/>
              </w:rPr>
              <w:t>Lars B. Eller</w:t>
            </w:r>
          </w:p>
        </w:tc>
        <w:tc>
          <w:tcPr>
            <w:tcW w:w="400" w:type="dxa"/>
            <w:vAlign w:val="bottom"/>
          </w:tcPr>
          <w:p>
            <w:pPr>
              <w:spacing w:after="0"/>
              <w:rPr>
                <w:sz w:val="16"/>
                <w:szCs w:val="16"/>
                <w:color w:val="auto"/>
              </w:rPr>
            </w:pPr>
          </w:p>
        </w:tc>
      </w:tr>
      <w:tr>
        <w:trPr>
          <w:trHeight w:val="234"/>
        </w:trPr>
        <w:tc>
          <w:tcPr>
            <w:tcW w:w="13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864"/>
        </w:trPr>
        <w:tc>
          <w:tcPr>
            <w:tcW w:w="1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October 27, 2026</w:t>
            </w:r>
          </w:p>
        </w:tc>
        <w:tc>
          <w:tcPr>
            <w:tcW w:w="234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191"/>
        </w:trPr>
        <w:tc>
          <w:tcPr>
            <w:tcW w:w="13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tcPr>
          <w:p>
            <w:pPr>
              <w:ind w:left="400"/>
              <w:spacing w:after="0" w:line="191" w:lineRule="exact"/>
              <w:rPr>
                <w:sz w:val="20"/>
                <w:szCs w:val="20"/>
                <w:color w:val="auto"/>
              </w:rPr>
            </w:pPr>
            <w:r>
              <w:rPr>
                <w:rFonts w:ascii="Times New Roman" w:cs="Times New Roman" w:eastAsia="Times New Roman" w:hAnsi="Times New Roman"/>
                <w:sz w:val="18"/>
                <w:szCs w:val="18"/>
                <w:color w:val="auto"/>
              </w:rPr>
              <w:t>Barbara J. Britenriker</w:t>
            </w:r>
          </w:p>
        </w:tc>
        <w:tc>
          <w:tcPr>
            <w:tcW w:w="400" w:type="dxa"/>
            <w:vAlign w:val="bottom"/>
          </w:tcPr>
          <w:p>
            <w:pPr>
              <w:spacing w:after="0"/>
              <w:rPr>
                <w:sz w:val="16"/>
                <w:szCs w:val="16"/>
                <w:color w:val="auto"/>
              </w:rPr>
            </w:pPr>
          </w:p>
        </w:tc>
      </w:tr>
      <w:tr>
        <w:trPr>
          <w:trHeight w:val="216"/>
        </w:trPr>
        <w:tc>
          <w:tcPr>
            <w:tcW w:w="1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Executive Vice-President and</w:t>
            </w:r>
          </w:p>
        </w:tc>
      </w:tr>
      <w:tr>
        <w:trPr>
          <w:trHeight w:val="234"/>
        </w:trPr>
        <w:tc>
          <w:tcPr>
            <w:tcW w:w="13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56"/>
        </w:trPr>
        <w:tc>
          <w:tcPr>
            <w:tcW w:w="1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3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75</w:t>
            </w:r>
          </w:p>
        </w:tc>
        <w:tc>
          <w:tcPr>
            <w:tcW w:w="4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13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Lars B. Eller, President and CEO of Farmers &amp; Merchants Bancorp, Inc., certify that:</w:t>
      </w:r>
    </w:p>
    <w:p>
      <w:pPr>
        <w:spacing w:after="0" w:line="225"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October 27, 2026</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Lars B. Eller</w:t>
            </w:r>
          </w:p>
        </w:tc>
      </w:tr>
      <w:tr>
        <w:trPr>
          <w:trHeight w:val="191"/>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Lars B. Eller</w:t>
            </w:r>
          </w:p>
        </w:tc>
      </w:tr>
      <w:tr>
        <w:trPr>
          <w:trHeight w:val="234"/>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627"/>
        </w:trPr>
        <w:tc>
          <w:tcPr>
            <w:tcW w:w="104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Barbara J. Britenriker, Executive Vice President and CFO of Farmers &amp; Merchants Bancorp, Inc., certify that:</w:t>
      </w:r>
    </w:p>
    <w:p>
      <w:pPr>
        <w:spacing w:after="0" w:line="225"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October 27, 2026</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191"/>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Barbara J. Britenriker</w:t>
            </w: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104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Farmers &amp; Merchants Bancorp, Inc. on Form 10-Q for the period ended September 30, 2026, as filed with the Securities and Exchange Commission ("the report"), I, Lars B. Eller, President and Chief Executive Officer, certify, pursuant to 18 U.S.C. Section 1350, as adopted pursuant to Section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October 27, 2026</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Lars B. Eller</w:t>
            </w:r>
          </w:p>
        </w:tc>
      </w:tr>
      <w:tr>
        <w:trPr>
          <w:trHeight w:val="191"/>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Lars B. Eller</w:t>
            </w:r>
          </w:p>
        </w:tc>
      </w:tr>
      <w:tr>
        <w:trPr>
          <w:trHeight w:val="234"/>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1233170</wp:posOffset>
            </wp:positionV>
            <wp:extent cx="7157720" cy="425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Farmers &amp; Merchants Bancorp, Inc. on Form 10-Q for the period ended September 30, 2026, as filed with the Securities and Exchange Commission ("the report"), I, Barbara J. Britenriker, Executive Vice President and Chief Financial Officer, certify, pursuant to 18 U.S.C. Section 1350, as adopted pursuant to Section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October 27, 2026</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191"/>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Barbara J. Britenriker</w:t>
            </w: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4"/>
    </w:lvl>
    <w:lvl w:ilvl="1">
      <w:lvlJc w:val="left"/>
      <w:lvlText w:val="%2."/>
      <w:numFmt w:val="decimal"/>
      <w:start w:val="1"/>
    </w:lvl>
  </w:abstractNum>
  <w:abstractNum w:abstractNumId="4">
    <w:nsid w:val="3352255A"/>
    <w:multiLevelType w:val="hybridMultilevel"/>
    <w:lvl w:ilvl="0">
      <w:lvlJc w:val="left"/>
      <w:lvlText w:val="%1."/>
      <w:numFmt w:val="decimal"/>
      <w:start w:val="8"/>
    </w:lvl>
    <w:lvl w:ilvl="1">
      <w:lvlJc w:val="left"/>
      <w:lvlText w:val="%2."/>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lvl w:ilvl="1">
      <w:lvlJc w:val="left"/>
      <w:lvlText w:val="o"/>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41" Type="http://schemas.openxmlformats.org/officeDocument/2006/relationships/image" Target="media/image930.png"/><Relationship Id="rId942" Type="http://schemas.openxmlformats.org/officeDocument/2006/relationships/image" Target="media/image931.png"/><Relationship Id="rId943" Type="http://schemas.openxmlformats.org/officeDocument/2006/relationships/image" Target="media/image932.png"/><Relationship Id="rId944" Type="http://schemas.openxmlformats.org/officeDocument/2006/relationships/image" Target="media/image933.png"/><Relationship Id="rId945" Type="http://schemas.openxmlformats.org/officeDocument/2006/relationships/image" Target="media/image934.png"/><Relationship Id="rId946" Type="http://schemas.openxmlformats.org/officeDocument/2006/relationships/image" Target="media/image935.png"/><Relationship Id="rId947" Type="http://schemas.openxmlformats.org/officeDocument/2006/relationships/image" Target="media/image936.png"/><Relationship Id="rId948" Type="http://schemas.openxmlformats.org/officeDocument/2006/relationships/image" Target="media/image937.png"/><Relationship Id="rId949" Type="http://schemas.openxmlformats.org/officeDocument/2006/relationships/image" Target="media/image938.png"/><Relationship Id="rId937" Type="http://schemas.openxmlformats.org/officeDocument/2006/relationships/hyperlink" Target="https://www.sec.gov/Archives/edgar/data/792966/000119312517318709/d447990dex31.htm" TargetMode="External"/><Relationship Id="rId938" Type="http://schemas.openxmlformats.org/officeDocument/2006/relationships/hyperlink" Target="https://www.sec.gov/Archives/edgar/data/792966/000095017025101771/fmao-ex3_1b.htm" TargetMode="External"/><Relationship Id="rId939" Type="http://schemas.openxmlformats.org/officeDocument/2006/relationships/hyperlink" Target="https://www.sec.gov/Archives/edgar/data/792966/000119312517235925/d422994dex32.htm" TargetMode="External"/><Relationship Id="rId940" Type="http://schemas.openxmlformats.org/officeDocument/2006/relationships/hyperlink" Target="https://www.sec.gov/Archives/edgar/data/792966/000156459020006695/fmao-ex41_2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2026-10-27T12:54:17Z</dcterms:created>
  <dcterms:modified xsi:type="dcterms:W3CDTF">2026-10-27T12:54:17Z</dcterms:modified>
</cp:coreProperties>
</file>