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117475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September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4136390</wp:posOffset>
            </wp:positionH>
            <wp:positionV relativeFrom="paragraph">
              <wp:posOffset>-7620</wp:posOffset>
            </wp:positionV>
            <wp:extent cx="219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3" w:lineRule="exact"/>
        <w:rPr>
          <w:sz w:val="24"/>
          <w:szCs w:val="24"/>
          <w:color w:val="auto"/>
        </w:rPr>
      </w:pPr>
    </w:p>
    <w:tbl>
      <w:tblPr>
        <w:tblLayout w:type="fixed"/>
        <w:tblInd w:w="1200" w:type="dxa"/>
        <w:tblCellMar>
          <w:top w:w="0" w:type="dxa"/>
          <w:left w:w="0" w:type="dxa"/>
          <w:bottom w:w="0" w:type="dxa"/>
          <w:right w:w="0" w:type="dxa"/>
        </w:tblCellMar>
      </w:tblPr>
      <w:tr>
        <w:trPr>
          <w:trHeight w:val="225"/>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rPr>
              <w:t>OHIO</w:t>
            </w:r>
          </w:p>
        </w:tc>
        <w:tc>
          <w:tcPr>
            <w:tcW w:w="4240" w:type="dxa"/>
            <w:vAlign w:val="bottom"/>
          </w:tcPr>
          <w:p>
            <w:pPr>
              <w:jc w:val="right"/>
              <w:ind w:right="39"/>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354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4240" w:type="dxa"/>
            <w:vAlign w:val="bottom"/>
          </w:tcPr>
          <w:p>
            <w:pPr>
              <w:jc w:val="center"/>
              <w:ind w:left="305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93"/>
              </w:rPr>
              <w:t>incorporation or organization)</w:t>
            </w:r>
          </w:p>
        </w:tc>
        <w:tc>
          <w:tcPr>
            <w:tcW w:w="4240" w:type="dxa"/>
            <w:vAlign w:val="bottom"/>
          </w:tcPr>
          <w:p>
            <w:pPr>
              <w:jc w:val="center"/>
              <w:ind w:left="3039"/>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3540" w:type="dxa"/>
            <w:vAlign w:val="bottom"/>
          </w:tcPr>
          <w:p>
            <w:pPr>
              <w:jc w:val="center"/>
              <w:ind w:right="241"/>
              <w:spacing w:after="0"/>
              <w:rPr>
                <w:sz w:val="20"/>
                <w:szCs w:val="20"/>
                <w:color w:val="auto"/>
              </w:rPr>
            </w:pPr>
            <w:r>
              <w:rPr>
                <w:rFonts w:ascii="Arial" w:cs="Arial" w:eastAsia="Arial" w:hAnsi="Arial"/>
                <w:sz w:val="18"/>
                <w:szCs w:val="18"/>
                <w:b w:val="1"/>
                <w:bCs w:val="1"/>
                <w:color w:val="auto"/>
                <w:w w:val="89"/>
              </w:rPr>
              <w:t>307 North Defiance Street, Archbold, Ohio</w:t>
            </w:r>
          </w:p>
        </w:tc>
        <w:tc>
          <w:tcPr>
            <w:tcW w:w="4240" w:type="dxa"/>
            <w:vAlign w:val="bottom"/>
          </w:tcPr>
          <w:p>
            <w:pPr>
              <w:jc w:val="right"/>
              <w:ind w:right="259"/>
              <w:spacing w:after="0"/>
              <w:rPr>
                <w:sz w:val="20"/>
                <w:szCs w:val="20"/>
                <w:color w:val="auto"/>
              </w:rPr>
            </w:pPr>
            <w:r>
              <w:rPr>
                <w:rFonts w:ascii="Arial" w:cs="Arial" w:eastAsia="Arial" w:hAnsi="Arial"/>
                <w:sz w:val="18"/>
                <w:szCs w:val="18"/>
                <w:b w:val="1"/>
                <w:bCs w:val="1"/>
                <w:color w:val="auto"/>
              </w:rPr>
              <w:t>43502</w:t>
            </w:r>
          </w:p>
        </w:tc>
      </w:tr>
      <w:tr>
        <w:trPr>
          <w:trHeight w:val="186"/>
        </w:trPr>
        <w:tc>
          <w:tcPr>
            <w:tcW w:w="3540" w:type="dxa"/>
            <w:vAlign w:val="bottom"/>
          </w:tcPr>
          <w:p>
            <w:pPr>
              <w:jc w:val="center"/>
              <w:ind w:right="24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240" w:type="dxa"/>
            <w:vAlign w:val="bottom"/>
          </w:tcPr>
          <w:p>
            <w:pPr>
              <w:jc w:val="center"/>
              <w:ind w:left="3059"/>
              <w:spacing w:after="0"/>
              <w:rPr>
                <w:sz w:val="20"/>
                <w:szCs w:val="20"/>
                <w:color w:val="auto"/>
              </w:rPr>
            </w:pPr>
            <w:r>
              <w:rPr>
                <w:rFonts w:ascii="Arial" w:cs="Arial" w:eastAsia="Arial" w:hAnsi="Arial"/>
                <w:sz w:val="14"/>
                <w:szCs w:val="14"/>
                <w:b w:val="1"/>
                <w:bCs w:val="1"/>
                <w:color w:val="auto"/>
                <w:w w:val="95"/>
              </w:rPr>
              <w:t>(Zip Code)</w:t>
            </w:r>
          </w:p>
        </w:tc>
      </w:tr>
      <w:tr>
        <w:trPr>
          <w:trHeight w:val="316"/>
        </w:trPr>
        <w:tc>
          <w:tcPr>
            <w:tcW w:w="3540" w:type="dxa"/>
            <w:vAlign w:val="bottom"/>
          </w:tcPr>
          <w:p>
            <w:pPr>
              <w:spacing w:after="0"/>
              <w:rPr>
                <w:sz w:val="24"/>
                <w:szCs w:val="24"/>
                <w:color w:val="auto"/>
              </w:rPr>
            </w:pPr>
          </w:p>
        </w:tc>
        <w:tc>
          <w:tcPr>
            <w:tcW w:w="4240" w:type="dxa"/>
            <w:vAlign w:val="bottom"/>
          </w:tcPr>
          <w:p>
            <w:pPr>
              <w:jc w:val="right"/>
              <w:ind w:right="2719"/>
              <w:spacing w:after="0"/>
              <w:rPr>
                <w:sz w:val="20"/>
                <w:szCs w:val="20"/>
                <w:color w:val="auto"/>
              </w:rPr>
            </w:pPr>
            <w:r>
              <w:rPr>
                <w:rFonts w:ascii="Arial" w:cs="Arial" w:eastAsia="Arial" w:hAnsi="Arial"/>
                <w:sz w:val="18"/>
                <w:szCs w:val="18"/>
                <w:b w:val="1"/>
                <w:bCs w:val="1"/>
                <w:color w:val="auto"/>
              </w:rPr>
              <w:t>(419) 446-2501</w:t>
            </w:r>
          </w:p>
        </w:tc>
      </w:tr>
    </w:tbl>
    <w:p>
      <w:pPr>
        <w:jc w:val="center"/>
        <w:spacing w:after="0" w:line="187" w:lineRule="auto"/>
        <w:rPr>
          <w:sz w:val="20"/>
          <w:szCs w:val="20"/>
          <w:color w:val="auto"/>
        </w:rPr>
      </w:pPr>
      <w:r>
        <w:rPr>
          <w:rFonts w:ascii="Arial" w:cs="Arial" w:eastAsia="Arial" w:hAnsi="Arial"/>
          <w:sz w:val="12"/>
          <w:szCs w:val="12"/>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47625</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950" w:type="dxa"/>
        <w:tblCellMar>
          <w:top w:w="0" w:type="dxa"/>
          <w:left w:w="0" w:type="dxa"/>
          <w:bottom w:w="0" w:type="dxa"/>
          <w:right w:w="0" w:type="dxa"/>
        </w:tblCellMar>
      </w:tblPr>
      <w:tr>
        <w:trPr>
          <w:trHeight w:val="202"/>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244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Name of Each Exchange</w:t>
            </w:r>
          </w:p>
        </w:tc>
      </w:tr>
      <w:tr>
        <w:trPr>
          <w:trHeight w:val="205"/>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FMAO</w:t>
            </w: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193"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20"/>
        <w:spacing w:after="0" w:line="3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2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240"/>
          </w:cols>
          <w:pgMar w:left="320" w:top="215" w:right="339" w:bottom="1440" w:gutter="0" w:footer="0" w:header="0"/>
        </w:sectPr>
      </w:pPr>
    </w:p>
    <w:p>
      <w:pPr>
        <w:spacing w:after="0" w:line="5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420" w:space="160"/>
            <w:col w:w="10660"/>
          </w:cols>
          <w:pgMar w:left="320" w:top="215" w:right="339" w:bottom="1440" w:gutter="0" w:footer="0" w:header="0"/>
          <w:type w:val="continuous"/>
        </w:sectPr>
      </w:pPr>
    </w:p>
    <w:p>
      <w:pPr>
        <w:spacing w:after="0"/>
        <w:rPr>
          <w:sz w:val="20"/>
          <w:szCs w:val="20"/>
          <w:color w:val="auto"/>
        </w:rPr>
      </w:pPr>
      <w:r>
        <w:rPr>
          <w:rFonts w:ascii="Arial" w:cs="Arial" w:eastAsia="Arial" w:hAnsi="Arial"/>
          <w:sz w:val="14"/>
          <w:szCs w:val="14"/>
          <w:color w:val="auto"/>
        </w:rPr>
        <w:t>Indicate the number of shares of each of the issuers’ classes of common stock, as of the latest practicable date:</w:t>
      </w:r>
    </w:p>
    <w:p>
      <w:pPr>
        <w:sectPr>
          <w:pgSz w:w="11900" w:h="16838" w:orient="portrait"/>
          <w:cols w:equalWidth="0" w:num="1">
            <w:col w:w="11240"/>
          </w:cols>
          <w:pgMar w:left="320" w:top="215" w:right="339" w:bottom="1440" w:gutter="0" w:footer="0" w:header="0"/>
          <w:type w:val="continuous"/>
        </w:sectPr>
      </w:pPr>
    </w:p>
    <w:p>
      <w:pPr>
        <w:spacing w:after="0" w:line="123" w:lineRule="exact"/>
        <w:rPr>
          <w:sz w:val="24"/>
          <w:szCs w:val="24"/>
          <w:color w:val="auto"/>
        </w:rPr>
      </w:pPr>
    </w:p>
    <w:p>
      <w:pPr>
        <w:jc w:val="center"/>
        <w:ind w:right="880"/>
        <w:spacing w:after="0"/>
        <w:rPr>
          <w:sz w:val="20"/>
          <w:szCs w:val="20"/>
          <w:color w:val="auto"/>
        </w:rPr>
      </w:pPr>
      <w:r>
        <w:rPr>
          <w:rFonts w:ascii="Arial" w:cs="Arial" w:eastAsia="Arial" w:hAnsi="Arial"/>
          <w:sz w:val="14"/>
          <w:szCs w:val="14"/>
          <w:u w:val="single" w:color="auto"/>
          <w:color w:val="auto"/>
        </w:rPr>
        <w:t>Common Stock, No Par Value</w:t>
      </w:r>
    </w:p>
    <w:p>
      <w:pPr>
        <w:spacing w:after="0" w:line="45"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1600"/>
        <w:spacing w:after="0"/>
        <w:rPr>
          <w:sz w:val="20"/>
          <w:szCs w:val="20"/>
          <w:color w:val="auto"/>
        </w:rPr>
      </w:pPr>
      <w:r>
        <w:rPr>
          <w:rFonts w:ascii="Arial" w:cs="Arial" w:eastAsia="Arial" w:hAnsi="Arial"/>
          <w:sz w:val="16"/>
          <w:szCs w:val="16"/>
          <w:u w:val="single" w:color="auto"/>
          <w:color w:val="auto"/>
        </w:rPr>
        <w:t>13,066,233</w:t>
      </w:r>
    </w:p>
    <w:p>
      <w:pPr>
        <w:spacing w:after="0" w:line="22" w:lineRule="exact"/>
        <w:rPr>
          <w:sz w:val="24"/>
          <w:szCs w:val="24"/>
          <w:color w:val="auto"/>
        </w:rPr>
      </w:pPr>
    </w:p>
    <w:p>
      <w:pPr>
        <w:jc w:val="center"/>
        <w:ind w:right="1600"/>
        <w:spacing w:after="0"/>
        <w:rPr>
          <w:sz w:val="20"/>
          <w:szCs w:val="20"/>
          <w:color w:val="auto"/>
        </w:rPr>
      </w:pPr>
      <w:r>
        <w:rPr>
          <w:rFonts w:ascii="Arial" w:cs="Arial" w:eastAsia="Arial" w:hAnsi="Arial"/>
          <w:sz w:val="14"/>
          <w:szCs w:val="14"/>
          <w:color w:val="auto"/>
        </w:rPr>
        <w:t>Outstanding as of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-4680585</wp:posOffset>
            </wp:positionH>
            <wp:positionV relativeFrom="paragraph">
              <wp:posOffset>99060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116205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4"/>
          <w:szCs w:val="24"/>
          <w:color w:val="auto"/>
        </w:rPr>
      </w:pPr>
    </w:p>
    <w:p>
      <w:pPr>
        <w:sectPr>
          <w:pgSz w:w="11900" w:h="16838" w:orient="portrait"/>
          <w:cols w:equalWidth="0" w:num="2">
            <w:col w:w="6660" w:space="720"/>
            <w:col w:w="3860"/>
          </w:cols>
          <w:pgMar w:left="320" w:top="215" w:right="339" w:bottom="1440" w:gutter="0" w:footer="0" w:header="0"/>
          <w:type w:val="continuous"/>
        </w:sectPr>
      </w:pP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30"/>
          </w:tcPr>
          <w:p>
            <w:pPr>
              <w:spacing w:after="0"/>
              <w:rPr>
                <w:sz w:val="20"/>
                <w:szCs w:val="20"/>
                <w:color w:val="auto"/>
              </w:rPr>
            </w:pPr>
            <w:r>
              <w:rPr>
                <w:rFonts w:ascii="Arial" w:cs="Arial" w:eastAsia="Arial" w:hAnsi="Arial"/>
                <w:sz w:val="18"/>
                <w:szCs w:val="18"/>
                <w:color w:val="auto"/>
              </w:rPr>
              <w:t>FARMERS &amp; MERCHANTS BANCORP, INC.</w:t>
            </w:r>
          </w:p>
        </w:tc>
        <w:tc>
          <w:tcPr>
            <w:tcW w:w="860" w:type="dxa"/>
            <w:vAlign w:val="bottom"/>
          </w:tcPr>
          <w:p>
            <w:pPr>
              <w:spacing w:after="0"/>
              <w:rPr>
                <w:sz w:val="18"/>
                <w:szCs w:val="18"/>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2000" w:type="dxa"/>
            <w:vAlign w:val="bottom"/>
            <w:gridSpan w:val="4"/>
          </w:tcPr>
          <w:p>
            <w:pPr>
              <w:spacing w:after="0" w:line="202" w:lineRule="exact"/>
              <w:rPr>
                <w:sz w:val="20"/>
                <w:szCs w:val="20"/>
                <w:color w:val="auto"/>
              </w:rPr>
            </w:pPr>
            <w:r>
              <w:rPr>
                <w:rFonts w:ascii="Arial" w:cs="Arial" w:eastAsia="Arial" w:hAnsi="Arial"/>
                <w:sz w:val="18"/>
                <w:szCs w:val="18"/>
                <w:color w:val="auto"/>
              </w:rPr>
              <w:t>Form 10-Q Items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ind w:left="460"/>
              <w:spacing w:after="0" w:line="202" w:lineRule="exact"/>
              <w:rPr>
                <w:sz w:val="20"/>
                <w:szCs w:val="20"/>
                <w:color w:val="auto"/>
              </w:rPr>
            </w:pPr>
            <w:r>
              <w:rPr>
                <w:rFonts w:ascii="Arial" w:cs="Arial" w:eastAsia="Arial" w:hAnsi="Arial"/>
                <w:sz w:val="18"/>
                <w:szCs w:val="18"/>
                <w:color w:val="auto"/>
                <w:w w:val="90"/>
              </w:rPr>
              <w:t>Page</w:t>
            </w:r>
          </w:p>
        </w:tc>
      </w:tr>
      <w:tr>
        <w:trPr>
          <w:trHeight w:val="237"/>
        </w:trPr>
        <w:tc>
          <w:tcPr>
            <w:tcW w:w="660" w:type="dxa"/>
            <w:vAlign w:val="bottom"/>
          </w:tcPr>
          <w:p>
            <w:pPr>
              <w:spacing w:after="0"/>
              <w:rPr>
                <w:sz w:val="20"/>
                <w:szCs w:val="20"/>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PART I.</w:t>
            </w:r>
          </w:p>
        </w:tc>
        <w:tc>
          <w:tcPr>
            <w:tcW w:w="760" w:type="dxa"/>
            <w:vAlign w:val="bottom"/>
          </w:tcPr>
          <w:p>
            <w:pPr>
              <w:spacing w:after="0"/>
              <w:rPr>
                <w:sz w:val="20"/>
                <w:szCs w:val="20"/>
                <w:color w:val="auto"/>
              </w:rPr>
            </w:pPr>
          </w:p>
        </w:tc>
        <w:tc>
          <w:tcPr>
            <w:tcW w:w="70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8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1"/>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4660" w:type="dxa"/>
            <w:vAlign w:val="bottom"/>
            <w:gridSpan w:val="13"/>
          </w:tcPr>
          <w:p>
            <w:pPr>
              <w:spacing w:after="0"/>
              <w:rPr>
                <w:sz w:val="24"/>
                <w:szCs w:val="24"/>
                <w:color w:val="auto"/>
              </w:rPr>
            </w:pPr>
          </w:p>
        </w:tc>
        <w:tc>
          <w:tcPr>
            <w:tcW w:w="86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w:t>
              </w:r>
            </w:hyperlink>
          </w:p>
        </w:tc>
        <w:tc>
          <w:tcPr>
            <w:tcW w:w="404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September 30, 2021 and December 31, 2020</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w:t>
              </w:r>
            </w:hyperlink>
          </w:p>
        </w:tc>
        <w:tc>
          <w:tcPr>
            <w:tcW w:w="3520" w:type="dxa"/>
            <w:vAlign w:val="bottom"/>
            <w:gridSpan w:val="10"/>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Nin</w:t>
              </w:r>
              <w:r>
                <w:rPr>
                  <w:rFonts w:ascii="Courier New" w:cs="Courier New" w:eastAsia="Courier New" w:hAnsi="Courier New"/>
                  <w:sz w:val="18"/>
                  <w:szCs w:val="18"/>
                  <w:color w:val="0000EE"/>
                </w:rPr>
                <w:t>e</w:t>
              </w:r>
              <w:r>
                <w:rPr>
                  <w:rFonts w:ascii="Arial" w:cs="Arial" w:eastAsia="Arial" w:hAnsi="Arial"/>
                  <w:sz w:val="18"/>
                  <w:szCs w:val="18"/>
                  <w:color w:val="0000EE"/>
                </w:rPr>
                <w:t xml:space="preserve"> Months Ended September 30, 2021 and September 30, 2020</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4</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w:t>
              </w:r>
            </w:hyperlink>
          </w:p>
        </w:tc>
        <w:tc>
          <w:tcPr>
            <w:tcW w:w="2360" w:type="dxa"/>
            <w:vAlign w:val="bottom"/>
            <w:gridSpan w:val="4"/>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Three and Nine Months Ended September 30, 2021 and September 30, 2020</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8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to Stockholders’ Equity -</w:t>
              </w:r>
            </w:hyperlink>
          </w:p>
        </w:tc>
        <w:tc>
          <w:tcPr>
            <w:tcW w:w="170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and Nine Months Ended September 30, 2021 and September 30, 2020</w:t>
              </w:r>
            </w:hyperlink>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2"/>
              </w:rPr>
              <w:t>6-7</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w:t>
              </w:r>
            </w:hyperlink>
          </w:p>
        </w:tc>
        <w:tc>
          <w:tcPr>
            <w:tcW w:w="322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Nine Months Ended September 30, 2021 and September 30, 2020</w:t>
              </w:r>
            </w:hyperlink>
          </w:p>
        </w:tc>
        <w:tc>
          <w:tcPr>
            <w:tcW w:w="2100" w:type="dxa"/>
            <w:vAlign w:val="bottom"/>
            <w:gridSpan w:val="3"/>
          </w:tcPr>
          <w:p>
            <w:pPr>
              <w:spacing w:after="0"/>
              <w:rPr>
                <w:sz w:val="17"/>
                <w:szCs w:val="17"/>
                <w:color w:val="auto"/>
              </w:rPr>
            </w:pPr>
          </w:p>
        </w:tc>
        <w:tc>
          <w:tcPr>
            <w:tcW w:w="86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2"/>
              </w:rPr>
              <w:t>8-9</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10</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Management's Discussion and Analysis of Financial Condition</w:t>
              </w:r>
            </w:hyperlink>
          </w:p>
        </w:tc>
        <w:tc>
          <w:tcPr>
            <w:tcW w:w="252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and Results of Operations</w:t>
              </w:r>
            </w:hyperlink>
          </w:p>
        </w:tc>
        <w:tc>
          <w:tcPr>
            <w:tcW w:w="860" w:type="dxa"/>
            <w:vAlign w:val="bottom"/>
          </w:tcPr>
          <w:p>
            <w:pPr>
              <w:jc w:val="center"/>
              <w:ind w:left="350"/>
              <w:spacing w:after="0" w:line="196" w:lineRule="exact"/>
              <w:rPr>
                <w:sz w:val="20"/>
                <w:szCs w:val="20"/>
                <w:color w:val="auto"/>
              </w:rPr>
            </w:pPr>
            <w:r>
              <w:rPr>
                <w:rFonts w:ascii="Arial" w:cs="Arial" w:eastAsia="Arial" w:hAnsi="Arial"/>
                <w:sz w:val="18"/>
                <w:szCs w:val="18"/>
                <w:color w:val="auto"/>
                <w:w w:val="91"/>
              </w:rPr>
              <w:t>48-67</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Qualitative and Quantitative Disclosures About Market Risk</w:t>
              </w:r>
            </w:hyperlink>
          </w:p>
        </w:tc>
        <w:tc>
          <w:tcPr>
            <w:tcW w:w="2720" w:type="dxa"/>
            <w:vAlign w:val="bottom"/>
            <w:gridSpan w:val="6"/>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68</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Controls and Procedures</w:t>
              </w:r>
            </w:hyperlink>
          </w:p>
        </w:tc>
        <w:tc>
          <w:tcPr>
            <w:tcW w:w="5300" w:type="dxa"/>
            <w:vAlign w:val="bottom"/>
            <w:gridSpan w:val="18"/>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58"/>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69">
              <w:r>
                <w:rPr>
                  <w:rFonts w:ascii="Arial" w:cs="Arial" w:eastAsia="Arial" w:hAnsi="Arial"/>
                  <w:sz w:val="18"/>
                  <w:szCs w:val="18"/>
                  <w:color w:val="0000EE"/>
                  <w:w w:val="95"/>
                </w:rPr>
                <w:t>OTHER INFORMATION</w:t>
              </w:r>
            </w:hyperlink>
          </w:p>
        </w:tc>
        <w:tc>
          <w:tcPr>
            <w:tcW w:w="5200" w:type="dxa"/>
            <w:vAlign w:val="bottom"/>
            <w:gridSpan w:val="17"/>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Legal Proceedings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58"/>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5760" w:type="dxa"/>
            <w:vAlign w:val="bottom"/>
            <w:gridSpan w:val="20"/>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7"/>
          </w:tcPr>
          <w:p>
            <w:pPr>
              <w:spacing w:after="0"/>
              <w:rPr>
                <w:sz w:val="24"/>
                <w:szCs w:val="24"/>
                <w:color w:val="auto"/>
              </w:rPr>
            </w:pPr>
          </w:p>
        </w:tc>
        <w:tc>
          <w:tcPr>
            <w:tcW w:w="2740" w:type="dxa"/>
            <w:vAlign w:val="bottom"/>
            <w:gridSpan w:val="7"/>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Mine Safety Disclosures</w:t>
              </w:r>
            </w:hyperlink>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5320" w:type="dxa"/>
            <w:vAlign w:val="bottom"/>
            <w:gridSpan w:val="19"/>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69</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5780" w:type="dxa"/>
            <w:vAlign w:val="bottom"/>
            <w:gridSpan w:val="21"/>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70</w:t>
            </w:r>
          </w:p>
        </w:tc>
      </w:tr>
      <w:tr>
        <w:trPr>
          <w:trHeight w:val="358"/>
        </w:trPr>
        <w:tc>
          <w:tcPr>
            <w:tcW w:w="6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71">
              <w:r>
                <w:rPr>
                  <w:rFonts w:ascii="Arial" w:cs="Arial" w:eastAsia="Arial" w:hAnsi="Arial"/>
                  <w:sz w:val="18"/>
                  <w:szCs w:val="18"/>
                  <w:color w:val="0000EE"/>
                  <w:w w:val="85"/>
                </w:rPr>
                <w:t>Signatures</w:t>
              </w:r>
            </w:hyperlink>
          </w:p>
        </w:tc>
        <w:tc>
          <w:tcPr>
            <w:tcW w:w="124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color w:val="auto"/>
                <w:w w:val="89"/>
              </w:rPr>
              <w:t>71</w:t>
            </w:r>
          </w:p>
        </w:tc>
      </w:tr>
      <w:tr>
        <w:trPr>
          <w:trHeight w:val="371"/>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7080" w:type="dxa"/>
            <w:vAlign w:val="bottom"/>
            <w:gridSpan w:val="25"/>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w:t>
            </w:r>
          </w:p>
        </w:tc>
        <w:tc>
          <w:tcPr>
            <w:tcW w:w="86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Data File because its XBRL tags are embedded within the Inline XBRL document. </w:t>
            </w:r>
            <w:r>
              <w:rPr>
                <w:rFonts w:ascii="Arial" w:cs="Arial" w:eastAsia="Arial" w:hAnsi="Arial"/>
                <w:sz w:val="15"/>
                <w:szCs w:val="15"/>
                <w:color w:val="auto"/>
              </w:rPr>
              <w:t>(1)</w:t>
            </w:r>
          </w:p>
        </w:tc>
        <w:tc>
          <w:tcPr>
            <w:tcW w:w="860" w:type="dxa"/>
            <w:vAlign w:val="bottom"/>
          </w:tcPr>
          <w:p>
            <w:pPr>
              <w:spacing w:after="0"/>
              <w:rPr>
                <w:sz w:val="20"/>
                <w:szCs w:val="20"/>
                <w:color w:val="auto"/>
              </w:rPr>
            </w:pPr>
          </w:p>
        </w:tc>
      </w:tr>
      <w:tr>
        <w:trPr>
          <w:trHeight w:val="257"/>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7080" w:type="dxa"/>
            <w:vAlign w:val="bottom"/>
            <w:gridSpan w:val="25"/>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5"/>
                <w:szCs w:val="15"/>
                <w:color w:val="auto"/>
              </w:rPr>
              <w:t>(1)</w:t>
            </w:r>
          </w:p>
        </w:tc>
        <w:tc>
          <w:tcPr>
            <w:tcW w:w="860" w:type="dxa"/>
            <w:vAlign w:val="bottom"/>
          </w:tcPr>
          <w:p>
            <w:pPr>
              <w:spacing w:after="0"/>
              <w:rPr>
                <w:sz w:val="22"/>
                <w:szCs w:val="22"/>
                <w:color w:val="auto"/>
              </w:rPr>
            </w:pPr>
          </w:p>
        </w:tc>
      </w:tr>
    </w:tbl>
    <w:p>
      <w:pPr>
        <w:spacing w:after="0" w:line="67" w:lineRule="exact"/>
        <w:rPr>
          <w:sz w:val="20"/>
          <w:szCs w:val="20"/>
          <w:color w:val="auto"/>
        </w:rPr>
      </w:pPr>
    </w:p>
    <w:p>
      <w:pPr>
        <w:jc w:val="both"/>
        <w:ind w:left="380" w:hanging="372"/>
        <w:spacing w:after="0" w:line="224"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PART 1 -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40" w:type="dxa"/>
            <w:vAlign w:val="bottom"/>
            <w:gridSpan w:val="4"/>
          </w:tcPr>
          <w:p>
            <w:pPr>
              <w:jc w:val="right"/>
              <w:ind w:right="1190"/>
              <w:spacing w:after="0"/>
              <w:rPr>
                <w:sz w:val="20"/>
                <w:szCs w:val="20"/>
                <w:color w:val="auto"/>
              </w:rPr>
            </w:pPr>
            <w:r>
              <w:rPr>
                <w:rFonts w:ascii="Arial" w:cs="Arial" w:eastAsia="Arial" w:hAnsi="Arial"/>
                <w:sz w:val="18"/>
                <w:szCs w:val="18"/>
                <w:color w:val="auto"/>
              </w:rPr>
              <w:t>(in thousands of dollars)</w:t>
            </w:r>
          </w:p>
        </w:tc>
      </w:tr>
      <w:tr>
        <w:trPr>
          <w:trHeight w:val="230"/>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ind w:left="80"/>
              <w:spacing w:after="0"/>
              <w:rPr>
                <w:sz w:val="20"/>
                <w:szCs w:val="20"/>
                <w:color w:val="auto"/>
              </w:rPr>
            </w:pPr>
            <w:r>
              <w:rPr>
                <w:rFonts w:ascii="Arial" w:cs="Arial" w:eastAsia="Arial" w:hAnsi="Arial"/>
                <w:sz w:val="18"/>
                <w:szCs w:val="18"/>
                <w:color w:val="auto"/>
              </w:rPr>
              <w:t>September 30, 2021</w:t>
            </w:r>
          </w:p>
        </w:tc>
        <w:tc>
          <w:tcPr>
            <w:tcW w:w="16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w w:val="92"/>
              </w:rPr>
              <w:t>December 31, 2020</w:t>
            </w:r>
          </w:p>
        </w:tc>
      </w:tr>
      <w:tr>
        <w:trPr>
          <w:trHeight w:val="223"/>
        </w:trPr>
        <w:tc>
          <w:tcPr>
            <w:tcW w:w="7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112,875</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98,279</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sold</w:t>
            </w:r>
          </w:p>
        </w:tc>
        <w:tc>
          <w:tcPr>
            <w:tcW w:w="14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45,203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77,427</w:t>
            </w:r>
          </w:p>
        </w:tc>
      </w:tr>
      <w:tr>
        <w:trPr>
          <w:trHeight w:val="223"/>
        </w:trPr>
        <w:tc>
          <w:tcPr>
            <w:tcW w:w="7060" w:type="dxa"/>
            <w:vAlign w:val="bottom"/>
          </w:tcPr>
          <w:p>
            <w:pPr>
              <w:ind w:left="74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158,078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175,706</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Interest-bearing time deposits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14,622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4,653</w:t>
            </w: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Securities - available-for-sale</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426,717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307,812</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securities, at cost</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4,905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5,939</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3,735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7,740</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Loans, net</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1,479,864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1,289,318</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Premises and equipment</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26,476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27,063</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55,214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47,340</w:t>
            </w: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Mortgage servicing rights</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3,097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3,320</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real estate owned</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w:t>
            </w:r>
          </w:p>
        </w:tc>
      </w:tr>
      <w:tr>
        <w:trPr>
          <w:trHeight w:val="229"/>
        </w:trPr>
        <w:tc>
          <w:tcPr>
            <w:tcW w:w="7060" w:type="dxa"/>
            <w:vAlign w:val="bottom"/>
          </w:tcPr>
          <w:p>
            <w:pPr>
              <w:ind w:left="500"/>
              <w:spacing w:after="0"/>
              <w:rPr>
                <w:sz w:val="20"/>
                <w:szCs w:val="20"/>
                <w:color w:val="auto"/>
              </w:rPr>
            </w:pPr>
            <w:r>
              <w:rPr>
                <w:rFonts w:ascii="Arial" w:cs="Arial" w:eastAsia="Arial" w:hAnsi="Arial"/>
                <w:sz w:val="18"/>
                <w:szCs w:val="18"/>
                <w:color w:val="auto"/>
              </w:rPr>
              <w:t>Bank owned life insurance</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27,397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25,208</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18,711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15,374</w:t>
            </w: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2,218,983</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1,909,544</w:t>
            </w: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10"/>
        </w:trPr>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459"/>
        </w:trPr>
        <w:tc>
          <w:tcPr>
            <w:tcW w:w="7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30"/>
        </w:trPr>
        <w:tc>
          <w:tcPr>
            <w:tcW w:w="7060" w:type="dxa"/>
            <w:vAlign w:val="bottom"/>
          </w:tcPr>
          <w:p>
            <w:pPr>
              <w:ind w:left="740"/>
              <w:spacing w:after="0"/>
              <w:rPr>
                <w:sz w:val="20"/>
                <w:szCs w:val="20"/>
                <w:color w:val="auto"/>
              </w:rPr>
            </w:pPr>
            <w:r>
              <w:rPr>
                <w:rFonts w:ascii="Arial" w:cs="Arial" w:eastAsia="Arial" w:hAnsi="Arial"/>
                <w:sz w:val="18"/>
                <w:szCs w:val="18"/>
                <w:color w:val="auto"/>
              </w:rPr>
              <w:t>Noninterest-bearing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438,076</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351,147</w:t>
            </w:r>
          </w:p>
        </w:tc>
      </w:tr>
      <w:tr>
        <w:trPr>
          <w:trHeight w:val="230"/>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Interest-bearing</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29"/>
        </w:trPr>
        <w:tc>
          <w:tcPr>
            <w:tcW w:w="7060" w:type="dxa"/>
            <w:vAlign w:val="bottom"/>
          </w:tcPr>
          <w:p>
            <w:pPr>
              <w:ind w:left="1000"/>
              <w:spacing w:after="0"/>
              <w:rPr>
                <w:sz w:val="20"/>
                <w:szCs w:val="20"/>
                <w:color w:val="auto"/>
              </w:rPr>
            </w:pPr>
            <w:r>
              <w:rPr>
                <w:rFonts w:ascii="Arial" w:cs="Arial" w:eastAsia="Arial" w:hAnsi="Arial"/>
                <w:sz w:val="18"/>
                <w:szCs w:val="18"/>
                <w:color w:val="auto"/>
              </w:rPr>
              <w:t>NOW accounts</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646,237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542,317</w:t>
            </w:r>
          </w:p>
        </w:tc>
      </w:tr>
      <w:tr>
        <w:trPr>
          <w:trHeight w:val="230"/>
        </w:trPr>
        <w:tc>
          <w:tcPr>
            <w:tcW w:w="70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Savings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529,532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455,145</w:t>
            </w:r>
          </w:p>
        </w:tc>
      </w:tr>
      <w:tr>
        <w:trPr>
          <w:trHeight w:val="230"/>
        </w:trPr>
        <w:tc>
          <w:tcPr>
            <w:tcW w:w="70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Time</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252,383</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247,553</w:t>
            </w:r>
          </w:p>
        </w:tc>
      </w:tr>
      <w:tr>
        <w:trPr>
          <w:trHeight w:val="223"/>
        </w:trPr>
        <w:tc>
          <w:tcPr>
            <w:tcW w:w="706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deposits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1,866,228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1,596,162</w:t>
            </w:r>
          </w:p>
        </w:tc>
      </w:tr>
      <w:tr>
        <w:trPr>
          <w:trHeight w:val="215"/>
        </w:trPr>
        <w:tc>
          <w:tcPr>
            <w:tcW w:w="7060" w:type="dxa"/>
            <w:vAlign w:val="bottom"/>
          </w:tcPr>
          <w:p>
            <w:pPr>
              <w:ind w:left="500"/>
              <w:spacing w:after="0"/>
              <w:rPr>
                <w:sz w:val="20"/>
                <w:szCs w:val="20"/>
                <w:color w:val="auto"/>
              </w:rPr>
            </w:pPr>
            <w:r>
              <w:rPr>
                <w:rFonts w:ascii="Arial" w:cs="Arial" w:eastAsia="Arial" w:hAnsi="Arial"/>
                <w:sz w:val="18"/>
                <w:szCs w:val="18"/>
                <w:color w:val="auto"/>
              </w:rPr>
              <w:t>Federal funds purchased and securities sold under agreements to</w:t>
            </w: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7060" w:type="dxa"/>
            <w:vAlign w:val="bottom"/>
          </w:tcPr>
          <w:p>
            <w:pPr>
              <w:ind w:left="640"/>
              <w:spacing w:after="0"/>
              <w:rPr>
                <w:sz w:val="20"/>
                <w:szCs w:val="20"/>
                <w:color w:val="auto"/>
              </w:rPr>
            </w:pPr>
            <w:r>
              <w:rPr>
                <w:rFonts w:ascii="Arial" w:cs="Arial" w:eastAsia="Arial" w:hAnsi="Arial"/>
                <w:sz w:val="18"/>
                <w:szCs w:val="18"/>
                <w:color w:val="auto"/>
              </w:rPr>
              <w:t>repurchase</w:t>
            </w:r>
          </w:p>
        </w:tc>
        <w:tc>
          <w:tcPr>
            <w:tcW w:w="140" w:type="dxa"/>
            <w:vAlign w:val="bottom"/>
          </w:tcPr>
          <w:p>
            <w:pPr>
              <w:spacing w:after="0"/>
              <w:rPr>
                <w:sz w:val="20"/>
                <w:szCs w:val="20"/>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29,601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30,239</w:t>
            </w: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Home Loan Bank (FHLB) advances</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17,868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17,861</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Subordinated notes, net of unamortized issuance costs</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34,441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 payable</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1,889</w:t>
            </w:r>
          </w:p>
        </w:tc>
      </w:tr>
      <w:tr>
        <w:trPr>
          <w:trHeight w:val="230"/>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14,097</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14,233</w:t>
            </w:r>
          </w:p>
        </w:tc>
      </w:tr>
      <w:tr>
        <w:trPr>
          <w:trHeight w:val="223"/>
        </w:trPr>
        <w:tc>
          <w:tcPr>
            <w:tcW w:w="706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1,964,237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1,660,384</w:t>
            </w:r>
          </w:p>
        </w:tc>
      </w:tr>
      <w:tr>
        <w:trPr>
          <w:trHeight w:val="453"/>
        </w:trPr>
        <w:tc>
          <w:tcPr>
            <w:tcW w:w="70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29"/>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15"/>
        </w:trPr>
        <w:tc>
          <w:tcPr>
            <w:tcW w:w="7060" w:type="dxa"/>
            <w:vAlign w:val="bottom"/>
          </w:tcPr>
          <w:p>
            <w:pPr>
              <w:ind w:left="500"/>
              <w:spacing w:after="0"/>
              <w:rPr>
                <w:sz w:val="20"/>
                <w:szCs w:val="20"/>
                <w:color w:val="auto"/>
              </w:rPr>
            </w:pPr>
            <w:r>
              <w:rPr>
                <w:rFonts w:ascii="Arial" w:cs="Arial" w:eastAsia="Arial" w:hAnsi="Arial"/>
                <w:sz w:val="18"/>
                <w:szCs w:val="18"/>
                <w:color w:val="auto"/>
              </w:rPr>
              <w:t>Common stock - No par value 20,000,000 shares authorized; issued and</w:t>
            </w: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7060" w:type="dxa"/>
            <w:vAlign w:val="bottom"/>
          </w:tcPr>
          <w:p>
            <w:pPr>
              <w:ind w:left="640"/>
              <w:spacing w:after="0"/>
              <w:rPr>
                <w:sz w:val="20"/>
                <w:szCs w:val="20"/>
                <w:color w:val="auto"/>
              </w:rPr>
            </w:pPr>
            <w:r>
              <w:rPr>
                <w:rFonts w:ascii="Arial" w:cs="Arial" w:eastAsia="Arial" w:hAnsi="Arial"/>
                <w:sz w:val="18"/>
                <w:szCs w:val="18"/>
                <w:color w:val="auto"/>
              </w:rPr>
              <w:t>outstanding 12,230,000 shares 9/30/21 and 12/31/20</w:t>
            </w:r>
          </w:p>
        </w:tc>
        <w:tc>
          <w:tcPr>
            <w:tcW w:w="140" w:type="dxa"/>
            <w:vAlign w:val="bottom"/>
          </w:tcPr>
          <w:p>
            <w:pPr>
              <w:spacing w:after="0"/>
              <w:rPr>
                <w:sz w:val="20"/>
                <w:szCs w:val="20"/>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81,382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81,804</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Treasury stock - 997,680 shares 9/30/21, 1,032,456 shares 12/31/20</w:t>
            </w: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(11,932)</w:t>
            </w: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184,181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173,591</w:t>
            </w:r>
          </w:p>
        </w:tc>
      </w:tr>
      <w:tr>
        <w:trPr>
          <w:trHeight w:val="229"/>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5,697</w:t>
            </w:r>
          </w:p>
        </w:tc>
      </w:tr>
      <w:tr>
        <w:trPr>
          <w:trHeight w:val="223"/>
        </w:trPr>
        <w:tc>
          <w:tcPr>
            <w:tcW w:w="706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254,746</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249,160</w:t>
            </w: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2,218,983</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1,909,544</w:t>
            </w: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2020, Condensed Consolidated Balance Sheet has been derived from the audited Consolidated Balance Sheet as of that date.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5"/>
          </w:tcPr>
          <w:p>
            <w:pPr>
              <w:jc w:val="center"/>
              <w:ind w:right="300"/>
              <w:spacing w:after="0"/>
              <w:rPr>
                <w:sz w:val="20"/>
                <w:szCs w:val="20"/>
                <w:color w:val="auto"/>
              </w:rPr>
            </w:pPr>
            <w:r>
              <w:rPr>
                <w:rFonts w:ascii="Arial" w:cs="Arial" w:eastAsia="Arial" w:hAnsi="Arial"/>
                <w:sz w:val="18"/>
                <w:szCs w:val="18"/>
                <w:color w:val="auto"/>
                <w:w w:val="89"/>
              </w:rPr>
              <w:t>(in thousands of dollars, except per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(in thousands of dollars, except per</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5"/>
          </w:tcPr>
          <w:p>
            <w:pPr>
              <w:jc w:val="center"/>
              <w:ind w:right="280"/>
              <w:spacing w:after="0"/>
              <w:rPr>
                <w:sz w:val="20"/>
                <w:szCs w:val="20"/>
                <w:color w:val="auto"/>
              </w:rPr>
            </w:pPr>
            <w:r>
              <w:rPr>
                <w:rFonts w:ascii="Arial" w:cs="Arial" w:eastAsia="Arial" w:hAnsi="Arial"/>
                <w:sz w:val="18"/>
                <w:szCs w:val="18"/>
                <w:color w:val="auto"/>
                <w:w w:val="85"/>
              </w:rPr>
              <w:t>share data)</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5"/>
          </w:tcPr>
          <w:p>
            <w:pPr>
              <w:jc w:val="center"/>
              <w:ind w:right="240"/>
              <w:spacing w:after="0"/>
              <w:rPr>
                <w:sz w:val="20"/>
                <w:szCs w:val="20"/>
                <w:color w:val="auto"/>
              </w:rPr>
            </w:pPr>
            <w:r>
              <w:rPr>
                <w:rFonts w:ascii="Arial" w:cs="Arial" w:eastAsia="Arial" w:hAnsi="Arial"/>
                <w:sz w:val="18"/>
                <w:szCs w:val="18"/>
                <w:color w:val="auto"/>
                <w:w w:val="85"/>
              </w:rPr>
              <w:t>share data)</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5"/>
          </w:tcPr>
          <w:p>
            <w:pPr>
              <w:jc w:val="center"/>
              <w:ind w:right="24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September 30,</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September 30,</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Loans, including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18,766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16,181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50,637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500"/>
              <w:spacing w:after="0"/>
              <w:rPr>
                <w:sz w:val="20"/>
                <w:szCs w:val="20"/>
                <w:color w:val="auto"/>
              </w:rPr>
            </w:pPr>
            <w:r>
              <w:rPr>
                <w:rFonts w:ascii="Arial" w:cs="Arial" w:eastAsia="Arial" w:hAnsi="Arial"/>
                <w:sz w:val="18"/>
                <w:szCs w:val="18"/>
                <w:color w:val="auto"/>
              </w:rPr>
              <w:t>U.S. Treasury and government agencies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Municipalities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54,417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agreements to repurchase</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Borrowed funds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Subordinated notes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Provision for Loan Losses</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46,463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Income</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Customer service fees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service charges and fees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Net gain on sale of loans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sale of available-for-sale securities</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500"/>
              <w:spacing w:after="0"/>
              <w:rPr>
                <w:sz w:val="20"/>
                <w:szCs w:val="20"/>
                <w:color w:val="auto"/>
              </w:rPr>
            </w:pPr>
            <w:r>
              <w:rPr>
                <w:rFonts w:ascii="Arial" w:cs="Arial" w:eastAsia="Arial" w:hAnsi="Arial"/>
                <w:sz w:val="18"/>
                <w:szCs w:val="18"/>
                <w:color w:val="auto"/>
              </w:rPr>
              <w:t>Total noninterest income</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4,074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Expense</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Salaries and wages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5,442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benefits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Net occupancy expense</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Furniture and equipment</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Data processing</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Franchise taxes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ATM expense</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Net (gain) loss on sale of other assets owned</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FDIC assessment</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Mortgage servicing rights amortization</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Consulting fees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noninterest expense</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39,740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4,003</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15,812</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ind w:right="4960"/>
        <w:spacing w:after="0" w:line="263"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INCOME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4"/>
          </w:tcPr>
          <w:p>
            <w:pPr>
              <w:jc w:val="right"/>
              <w:ind w:right="530"/>
              <w:spacing w:after="0"/>
              <w:rPr>
                <w:sz w:val="20"/>
                <w:szCs w:val="20"/>
                <w:color w:val="auto"/>
              </w:rPr>
            </w:pPr>
            <w:r>
              <w:rPr>
                <w:rFonts w:ascii="Arial" w:cs="Arial" w:eastAsia="Arial" w:hAnsi="Arial"/>
                <w:sz w:val="18"/>
                <w:szCs w:val="18"/>
                <w:color w:val="auto"/>
              </w:rPr>
              <w:t>(in thousands of dollars)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4"/>
          </w:tcPr>
          <w:p>
            <w:pPr>
              <w:jc w:val="right"/>
              <w:ind w:right="530"/>
              <w:spacing w:after="0"/>
              <w:rPr>
                <w:sz w:val="20"/>
                <w:szCs w:val="20"/>
                <w:color w:val="auto"/>
              </w:rPr>
            </w:pPr>
            <w:r>
              <w:rPr>
                <w:rFonts w:ascii="Arial" w:cs="Arial" w:eastAsia="Arial" w:hAnsi="Arial"/>
                <w:sz w:val="18"/>
                <w:szCs w:val="18"/>
                <w:color w:val="auto"/>
              </w:rPr>
              <w:t>(in thousands of dollars)</w:t>
            </w:r>
          </w:p>
        </w:tc>
      </w:tr>
      <w:tr>
        <w:trPr>
          <w:trHeight w:val="230"/>
        </w:trPr>
        <w:tc>
          <w:tcPr>
            <w:tcW w:w="5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Nine Months Ended</w:t>
            </w:r>
          </w:p>
        </w:tc>
      </w:tr>
      <w:tr>
        <w:trPr>
          <w:trHeight w:val="209"/>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88"/>
              </w:rPr>
              <w:t>September 30,</w:t>
            </w:r>
          </w:p>
        </w:tc>
      </w:tr>
      <w:tr>
        <w:trPr>
          <w:trHeight w:val="230"/>
        </w:trPr>
        <w:tc>
          <w:tcPr>
            <w:tcW w:w="53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4,410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15,812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13,319</w:t>
            </w:r>
          </w:p>
        </w:tc>
      </w:tr>
      <w:tr>
        <w:trPr>
          <w:trHeight w:val="229"/>
        </w:trPr>
        <w:tc>
          <w:tcPr>
            <w:tcW w:w="53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5"/>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6,298</w:t>
            </w:r>
          </w:p>
        </w:tc>
      </w:tr>
      <w:tr>
        <w:trPr>
          <w:trHeight w:val="215"/>
        </w:trPr>
        <w:tc>
          <w:tcPr>
            <w:tcW w:w="5380" w:type="dxa"/>
            <w:vAlign w:val="bottom"/>
          </w:tcPr>
          <w:p>
            <w:pPr>
              <w:ind w:left="260"/>
              <w:spacing w:after="0"/>
              <w:rPr>
                <w:sz w:val="20"/>
                <w:szCs w:val="20"/>
                <w:color w:val="auto"/>
              </w:rPr>
            </w:pPr>
            <w:r>
              <w:rPr>
                <w:rFonts w:ascii="Arial" w:cs="Arial" w:eastAsia="Arial" w:hAnsi="Arial"/>
                <w:sz w:val="18"/>
                <w:szCs w:val="18"/>
                <w:color w:val="auto"/>
              </w:rPr>
              <w:t>Reclassification adjustment for realized gain on sale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53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of available-for-sale securities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6,028</w:t>
            </w:r>
          </w:p>
        </w:tc>
      </w:tr>
      <w:tr>
        <w:trPr>
          <w:trHeight w:val="229"/>
        </w:trPr>
        <w:tc>
          <w:tcPr>
            <w:tcW w:w="5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 (benefit)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1,266</w:t>
            </w:r>
          </w:p>
        </w:tc>
      </w:tr>
      <w:tr>
        <w:trPr>
          <w:trHeight w:val="223"/>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4,762</w:t>
            </w: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11,016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18,081</w:t>
            </w: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20" w:hanging="105"/>
        <w:spacing w:after="0"/>
        <w:tabs>
          <w:tab w:leader="none" w:pos="4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NINE MONTHS ENDED SEPTEMBER 30, 2021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11,197,544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81,804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$ 173,591</w:t>
            </w:r>
          </w:p>
        </w:tc>
        <w:tc>
          <w:tcPr>
            <w:tcW w:w="2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249,160</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(5,554)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(5,554)</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15"/>
        </w:trPr>
        <w:tc>
          <w:tcPr>
            <w:tcW w:w="4700" w:type="dxa"/>
            <w:vAlign w:val="bottom"/>
          </w:tcPr>
          <w:p>
            <w:pPr>
              <w:ind w:left="260"/>
              <w:spacing w:after="0"/>
              <w:rPr>
                <w:sz w:val="20"/>
                <w:szCs w:val="20"/>
                <w:color w:val="auto"/>
              </w:rPr>
            </w:pPr>
            <w:r>
              <w:rPr>
                <w:rFonts w:ascii="Arial" w:cs="Arial" w:eastAsia="Arial" w:hAnsi="Arial"/>
                <w:sz w:val="18"/>
                <w:szCs w:val="18"/>
                <w:color w:val="auto"/>
              </w:rPr>
              <w:t>Issuance of 750 shares of restricted stock</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(Net of forfeitures - 600)</w:t>
            </w: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$0.17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(1,889)</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(1,889)</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2021</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11,196,744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(11,962)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176,617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4,983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(8,929)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Forfeiture of 1,975 shares of restricted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(1,975)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(47)</w:t>
            </w: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Director stock award</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$0.17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(1,888)</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(1,888)</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June 30, 2021</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11,189,052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82,259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(12,172)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$ 179,734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48,000 shares of restricted stock</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$0.18 per share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(2,002)</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September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11,232,320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81,382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(11,718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$ 184,181</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254,746</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NINE MONTHS ENDED SEPTEMBER 30, 2020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30"/>
        </w:trPr>
        <w:tc>
          <w:tcPr>
            <w:tcW w:w="47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Common</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Comprehensive</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47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Stock</w:t>
            </w:r>
          </w:p>
        </w:tc>
        <w:tc>
          <w:tcPr>
            <w:tcW w:w="140" w:type="dxa"/>
            <w:vAlign w:val="bottom"/>
          </w:tcPr>
          <w:p>
            <w:pPr>
              <w:spacing w:after="0"/>
              <w:rPr>
                <w:sz w:val="20"/>
                <w:szCs w:val="20"/>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January 1,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11,136,935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81,535</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$ 160,081</w:t>
            </w:r>
          </w:p>
        </w:tc>
        <w:tc>
          <w:tcPr>
            <w:tcW w:w="2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230,258</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w:t>
            </w: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Forfeiture of 450 shares of restricted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(10)</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$0.16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(1,768)</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(1,768)</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11,129,421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81,844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(12,636)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162,416</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4,804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Director stock award</w:t>
            </w:r>
          </w:p>
        </w:tc>
        <w:tc>
          <w:tcPr>
            <w:tcW w:w="940" w:type="dxa"/>
            <w:vAlign w:val="bottom"/>
          </w:tcPr>
          <w:p>
            <w:pPr>
              <w:jc w:val="right"/>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 $0.16 per share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(1,768)</w:t>
            </w: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 June 30,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11,129,025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82,134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$ 165,476</w:t>
            </w:r>
          </w:p>
        </w:tc>
        <w:tc>
          <w:tcPr>
            <w:tcW w:w="2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240,297</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(6,875)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w:t>
            </w: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Issuance of 36,551 shares of restricted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36,551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Cash dividends declared - $0.17 per share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(1,882)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(1,882)</w:t>
            </w: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September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11,158,701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(12,397</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$ 168,381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FARMERS &amp; MERCHANTS BANCORP, INC. AND SUBSIDIARIES</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CONDENSED CONSOLIDATED STATEMENTS OF CASH FLOWS (Unaudited)</w:t>
            </w:r>
          </w:p>
        </w:tc>
        <w:tc>
          <w:tcPr>
            <w:tcW w:w="140" w:type="dxa"/>
            <w:vAlign w:val="bottom"/>
          </w:tcPr>
          <w:p>
            <w:pPr>
              <w:spacing w:after="0"/>
              <w:rPr>
                <w:sz w:val="20"/>
                <w:szCs w:val="20"/>
                <w:color w:val="auto"/>
              </w:rPr>
            </w:pPr>
          </w:p>
        </w:tc>
        <w:tc>
          <w:tcPr>
            <w:tcW w:w="4040" w:type="dxa"/>
            <w:vAlign w:val="bottom"/>
            <w:gridSpan w:val="5"/>
            <w:vMerge w:val="restart"/>
          </w:tcPr>
          <w:p>
            <w:pPr>
              <w:jc w:val="right"/>
              <w:ind w:right="128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gridSpan w:val="5"/>
          </w:tcPr>
          <w:p>
            <w:pPr>
              <w:jc w:val="right"/>
              <w:ind w:right="14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w w:val="91"/>
              </w:rPr>
              <w:t>September 30, 2021</w:t>
            </w: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0"/>
              </w:rPr>
              <w:t>September 30, 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15,812</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2,073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premiums on available-for-sale securities, net</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1,314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Amortization of customer list intangible</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(accretion) of fair value adjustments</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Amortization of subordinated note issuance costs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Director stock award</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 held for sale</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(2,823)</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Originations of loans held for sale</w:t>
            </w: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(86,720)</w:t>
            </w: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(151,477)</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loans held for sale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(Gain) loss on sale of other assets owned</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Gain on sales of securities available-for-sale</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Increase in cash surrender value of bank owned life insurance</w:t>
            </w: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Change in other assets and other liabilities, net</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(1,278)</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27,277</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Activity in available-for-sale securities:</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prepayments and calls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9,291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11,843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(146,634)</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(110,330)</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Activity in other securities, at cost:</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Proceeds from redemption of FHLB stock</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1,522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Change in interest-bearing time deposits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Proceeds from sale of other assets owned</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premises and equipment</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(1,418)</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(141,116)</w:t>
            </w: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(144,978)</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Ossian Financial Services, Inc., net of cash received</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(226,576)</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change in deposits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154,042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230,359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repurchase</w:t>
            </w:r>
          </w:p>
        </w:tc>
        <w:tc>
          <w:tcPr>
            <w:tcW w:w="1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(18,214)</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Repayment of FHLB advances</w:t>
            </w: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Proceeds from issuance of subordinated notes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34,421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paid on common stock</w:t>
            </w:r>
          </w:p>
        </w:tc>
        <w:tc>
          <w:tcPr>
            <w:tcW w:w="1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(5,666)</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181,671</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(17,628)</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175,706</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158,078</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87,753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4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(in thousands of dollars)</w:t>
            </w:r>
          </w:p>
        </w:tc>
      </w:tr>
      <w:tr>
        <w:trPr>
          <w:trHeight w:val="230"/>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Nine Months Ended</w:t>
            </w:r>
          </w:p>
        </w:tc>
      </w:tr>
      <w:tr>
        <w:trPr>
          <w:trHeight w:val="223"/>
        </w:trPr>
        <w:tc>
          <w:tcPr>
            <w:tcW w:w="7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September 30, 2021</w:t>
            </w: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0"/>
              </w:rPr>
              <w:t>September 30, 2020</w:t>
            </w:r>
          </w:p>
        </w:tc>
        <w:tc>
          <w:tcPr>
            <w:tcW w:w="120" w:type="dxa"/>
            <w:vAlign w:val="bottom"/>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Supplemental cash flow information:</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4,559</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5,016</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Supplemental noncash disclosures:</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loans to other real estate owned</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Cash dividends declared not paid</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2,002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w w:val="93"/>
              </w:rPr>
              <w:t>The Company purchased the assets of Ossian Financial Services, Inc. for $20,001 on April 30,</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Fair value of assets acquired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137,058</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the capital stock</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20,001</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140"/>
              <w:spacing w:after="0"/>
              <w:rPr>
                <w:sz w:val="20"/>
                <w:szCs w:val="20"/>
                <w:color w:val="auto"/>
              </w:rPr>
            </w:pPr>
            <w:r>
              <w:rPr>
                <w:rFonts w:ascii="Arial" w:cs="Arial" w:eastAsia="Arial" w:hAnsi="Arial"/>
                <w:sz w:val="18"/>
                <w:szCs w:val="18"/>
                <w:color w:val="auto"/>
              </w:rPr>
              <w:t>Liabilities assumed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117,057</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right="3560" w:hanging="1462"/>
        <w:spacing w:after="0" w:line="809" w:lineRule="auto"/>
        <w:tabs>
          <w:tab w:leader="none" w:pos="4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Remainder of this page intentionally left blank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NOTE 1 BASIS OF PRESENTATION AND OTHER</w:t>
      </w:r>
    </w:p>
    <w:p>
      <w:pPr>
        <w:spacing w:after="0" w:line="19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nine months ended September 30, 2021 are not necessarily indicative of the results that are expected for the year ended December 31, 2021. The condensed consolidated balance sheet of the Company as of December 31, 2020,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2020.</w:t>
      </w:r>
    </w:p>
    <w:p>
      <w:pPr>
        <w:spacing w:after="0" w:line="156"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3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2 BUSINESS COMBINATION AND ASSET PURCHASE</w:t>
      </w:r>
    </w:p>
    <w:p>
      <w:pPr>
        <w:spacing w:after="0" w:line="252"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On April 30, 2021, the Company acquired Ossian Financial Services, Inc., (OSFI), the bank holding company for Ossian State Bank, a community bank based in Ossian, Indiana. Ossian State Bank operated two full-service offices in the northeast Indiana communities of Ossian and Bluffton. Shareholders of OSFI received $67.71 in cash for each share. OSFI had 295,388 shares outstanding on April 30, 2021. Total consideration for the acquisition was approximately $20.0 million in cash. As a result of the acquisition, the Company has increased its deposit base and is working to reduce transaction costs. The Company also expects to reduce costs through economies of scale.</w:t>
      </w:r>
    </w:p>
    <w:p>
      <w:pPr>
        <w:spacing w:after="0" w:line="188"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In 2020, the Company incurred $42.5 thousand of third-party acquisition-related costs. The expenses recognized in 2020 related to other general and administration expenses of $30.0 thousand and consulting fees of $12.5 thousand. These acquisition expenses were included in the Company’s 2020 consolidated statement of income.</w:t>
      </w:r>
    </w:p>
    <w:p>
      <w:pPr>
        <w:spacing w:after="0" w:line="211"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In 2021, the Company has incurred additional third-party acquisition-related costs of $2.1 million. These expenses are comprised of employee benefits of $694.1 thousand, data processing costs of $938.9 thousand, consulting fees of $255.2 thousand, ATM expense of $13.8 thousand and other general and administrative expense of $241.3 thousand in the Company’s consolidated statement of income for the nine months ended September 30, 2021. For the quarter ended September 30, 2021, the Company incurred third-party acquisition related costs of $1.2 million. These expenses are comprised of employee benefits of $152.6 thousand, data processing costs of $938.9 thousand, consulting fees of $10.3 thousand, ATM expense of $2.6 thousand and other general and administrative expense of $61.5 thousand in the Company’s consolidated statement of income for the three months ended September 30,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38"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 The following table summarizes the consideration paid for Ossian State Bank and the amounts of the assets acquired and liabilities assumed recognized at the acquisition date.</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Interest-bearing time deposits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Securities - available-for-sale</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Other securities, at cost</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Loans, net</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Premises and equipment</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Goodwill</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Other assets</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Deposits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Noninterest bearing</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Interest bearing</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deposits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Assumed</w:t>
            </w:r>
          </w:p>
        </w:tc>
        <w:tc>
          <w:tcPr>
            <w:tcW w:w="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117,057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308" w:lineRule="auto"/>
        <w:rPr>
          <w:sz w:val="20"/>
          <w:szCs w:val="20"/>
          <w:color w:val="auto"/>
        </w:rPr>
      </w:pPr>
      <w:r>
        <w:rPr>
          <w:rFonts w:ascii="Arial" w:cs="Arial" w:eastAsia="Arial" w:hAnsi="Arial"/>
          <w:sz w:val="17"/>
          <w:szCs w:val="17"/>
          <w:color w:val="auto"/>
        </w:rPr>
        <w:t>The fair value of the assets acquired includes loans with a fair value of $52.4 million. The gross principal and contractual interest due under the contracts is $58.6 million, of which $1.1 million is expected to be uncollectible. The loans have a weighted average life of 52 months.</w:t>
      </w:r>
    </w:p>
    <w:p>
      <w:pPr>
        <w:spacing w:after="0" w:line="9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fair value of building and land included in premises and equipment was written down by $596 thousand with $244 thousand attributable to buildings and will be accreted over the useful life of 39 years,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fair value for certificates of deposit incorporates a valuation amount of $59 thousand which will be accreted over 1.4 years.</w:t>
      </w:r>
    </w:p>
    <w:p>
      <w:pPr>
        <w:spacing w:after="0" w:line="17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Certain transferred loans evidenced deterioration of credit quality since origination and management deemed it probable, at acquisition, that all contractually required payments would not be collected.</w:t>
      </w:r>
    </w:p>
    <w:p>
      <w:pPr>
        <w:spacing w:after="0" w:line="11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carrying amount of those loans is included in loans, net on the balance sheet at September 30. The amounts of loans at April 30, 2021 and</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September 30, 2021 are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77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April 30, 2021</w:t>
            </w:r>
          </w:p>
        </w:tc>
        <w:tc>
          <w:tcPr>
            <w:tcW w:w="1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Consumer Real Estate</w:t>
            </w:r>
          </w:p>
        </w:tc>
        <w:tc>
          <w:tcPr>
            <w:tcW w:w="1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Agricultural Real Estate</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&amp; Industrial</w:t>
            </w:r>
          </w:p>
        </w:tc>
        <w:tc>
          <w:tcPr>
            <w:tcW w:w="1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8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Carrying amount, net of fair value adjustment of $325</w:t>
            </w:r>
          </w:p>
        </w:tc>
        <w:tc>
          <w:tcPr>
            <w:tcW w:w="1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Balance - September 30, 2021</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Consumer Real Estate</w:t>
            </w:r>
          </w:p>
        </w:tc>
        <w:tc>
          <w:tcPr>
            <w:tcW w:w="15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Agricultural Real Estate</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Real Estate</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Commercial &amp; Industrial</w:t>
            </w:r>
          </w:p>
        </w:tc>
        <w:tc>
          <w:tcPr>
            <w:tcW w:w="1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Carrying amount, net of fair value adjustment of $325</w:t>
            </w:r>
          </w:p>
        </w:tc>
        <w:tc>
          <w:tcPr>
            <w:tcW w:w="1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Loans acquired during 2021 for which it was probable at acquisition that all contractually required payments would not be collected are as follows: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Contractually required payments receivable at acquisition</w:t>
            </w:r>
          </w:p>
        </w:tc>
        <w:tc>
          <w:tcPr>
            <w:tcW w:w="1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Consumer Real Estate</w:t>
            </w:r>
          </w:p>
        </w:tc>
        <w:tc>
          <w:tcPr>
            <w:tcW w:w="1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Agricultural Real Estate</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&amp; Industrial</w:t>
            </w:r>
          </w:p>
        </w:tc>
        <w:tc>
          <w:tcPr>
            <w:tcW w:w="1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4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Total required payments receivable</w:t>
            </w:r>
          </w:p>
        </w:tc>
        <w:tc>
          <w:tcPr>
            <w:tcW w:w="15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Cash flows expected to be collected at acquisition</w:t>
            </w:r>
          </w:p>
        </w:tc>
        <w:tc>
          <w:tcPr>
            <w:tcW w:w="1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Basis in acquired loans at acquisition</w:t>
            </w:r>
          </w:p>
        </w:tc>
        <w:tc>
          <w:tcPr>
            <w:tcW w:w="1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third quarter, two agricultural real estate purchased credit impaired loans were paid off in full.</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92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September 30, 2021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September 30, 2021</w:t>
            </w:r>
          </w:p>
        </w:tc>
      </w:tr>
      <w:tr>
        <w:trPr>
          <w:trHeight w:val="223"/>
        </w:trPr>
        <w:tc>
          <w:tcPr>
            <w:tcW w:w="53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(In Thousands)</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762</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1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Reclassification from nonaccretable difference</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Disposals</w:t>
            </w: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The results of operations of Ossian State Bank have been included in the Company’s consolidated financial statements since the acquisition date of April 30, 2021. The following schedule includes pro-forma results for the three and nine months ended September 30, 2021 and 2020 as if the Ossian State Bank acquisitions had occurred as of the beginning of the comparable prior reporting period.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7"/>
          </w:tcPr>
          <w:p>
            <w:pPr>
              <w:jc w:val="right"/>
              <w:ind w:right="670"/>
              <w:spacing w:after="0"/>
              <w:rPr>
                <w:sz w:val="20"/>
                <w:szCs w:val="20"/>
                <w:color w:val="auto"/>
              </w:rPr>
            </w:pPr>
            <w:r>
              <w:rPr>
                <w:rFonts w:ascii="Arial" w:cs="Arial" w:eastAsia="Arial" w:hAnsi="Arial"/>
                <w:sz w:val="18"/>
                <w:szCs w:val="18"/>
                <w:color w:val="auto"/>
              </w:rPr>
              <w:t>NOTE 2 BUSINESS COMBINATION AND ASSET PURCHASE (Continued)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60"/>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5"/>
          </w:tcPr>
          <w:p>
            <w:pPr>
              <w:jc w:val="center"/>
              <w:ind w:right="30"/>
              <w:spacing w:after="0"/>
              <w:rPr>
                <w:sz w:val="20"/>
                <w:szCs w:val="20"/>
                <w:color w:val="auto"/>
              </w:rPr>
            </w:pPr>
            <w:r>
              <w:rPr>
                <w:rFonts w:ascii="Arial" w:cs="Arial" w:eastAsia="Arial" w:hAnsi="Arial"/>
                <w:sz w:val="18"/>
                <w:szCs w:val="18"/>
                <w:color w:val="auto"/>
                <w:w w:val="89"/>
              </w:rPr>
              <w:t>(in thousands of dollars, except per</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6"/>
          </w:tcPr>
          <w:p>
            <w:pPr>
              <w:jc w:val="center"/>
              <w:ind w:right="220"/>
              <w:spacing w:after="0"/>
              <w:rPr>
                <w:sz w:val="20"/>
                <w:szCs w:val="20"/>
                <w:color w:val="auto"/>
              </w:rPr>
            </w:pPr>
            <w:r>
              <w:rPr>
                <w:rFonts w:ascii="Arial" w:cs="Arial" w:eastAsia="Arial" w:hAnsi="Arial"/>
                <w:sz w:val="18"/>
                <w:szCs w:val="18"/>
                <w:color w:val="auto"/>
                <w:w w:val="89"/>
              </w:rPr>
              <w:t>(in thousands of dollars, except per</w:t>
            </w:r>
          </w:p>
        </w:tc>
      </w:tr>
      <w:tr>
        <w:trPr>
          <w:trHeight w:val="229"/>
        </w:trPr>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5"/>
          </w:tcPr>
          <w:p>
            <w:pPr>
              <w:jc w:val="center"/>
              <w:ind w:right="10"/>
              <w:spacing w:after="0"/>
              <w:rPr>
                <w:sz w:val="20"/>
                <w:szCs w:val="20"/>
                <w:color w:val="auto"/>
              </w:rPr>
            </w:pPr>
            <w:r>
              <w:rPr>
                <w:rFonts w:ascii="Arial" w:cs="Arial" w:eastAsia="Arial" w:hAnsi="Arial"/>
                <w:sz w:val="18"/>
                <w:szCs w:val="18"/>
                <w:color w:val="auto"/>
                <w:w w:val="85"/>
              </w:rPr>
              <w:t>share data)</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6"/>
          </w:tcPr>
          <w:p>
            <w:pPr>
              <w:jc w:val="center"/>
              <w:ind w:right="240"/>
              <w:spacing w:after="0"/>
              <w:rPr>
                <w:sz w:val="20"/>
                <w:szCs w:val="20"/>
                <w:color w:val="auto"/>
              </w:rPr>
            </w:pPr>
            <w:r>
              <w:rPr>
                <w:rFonts w:ascii="Arial" w:cs="Arial" w:eastAsia="Arial" w:hAnsi="Arial"/>
                <w:sz w:val="18"/>
                <w:szCs w:val="18"/>
                <w:color w:val="auto"/>
                <w:w w:val="85"/>
              </w:rPr>
              <w:t>share data)</w:t>
            </w:r>
          </w:p>
        </w:tc>
      </w:tr>
      <w:tr>
        <w:trPr>
          <w:trHeight w:val="230"/>
        </w:trPr>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5"/>
          </w:tcPr>
          <w:p>
            <w:pPr>
              <w:jc w:val="center"/>
              <w:ind w:right="3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6"/>
          </w:tcPr>
          <w:p>
            <w:pPr>
              <w:jc w:val="center"/>
              <w:ind w:right="240"/>
              <w:spacing w:after="0"/>
              <w:rPr>
                <w:sz w:val="20"/>
                <w:szCs w:val="20"/>
                <w:color w:val="auto"/>
              </w:rPr>
            </w:pPr>
            <w:r>
              <w:rPr>
                <w:rFonts w:ascii="Arial" w:cs="Arial" w:eastAsia="Arial" w:hAnsi="Arial"/>
                <w:sz w:val="18"/>
                <w:szCs w:val="18"/>
                <w:color w:val="auto"/>
                <w:w w:val="92"/>
              </w:rPr>
              <w:t>Nine Months Ended</w:t>
            </w:r>
          </w:p>
        </w:tc>
      </w:t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w w:val="88"/>
              </w:rPr>
              <w:t>September 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r>
      <w:tr>
        <w:trPr>
          <w:trHeight w:val="230"/>
        </w:trPr>
        <w:tc>
          <w:tcPr>
            <w:tcW w:w="5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b w:val="1"/>
                <w:bCs w:val="1"/>
                <w:color w:val="auto"/>
              </w:rPr>
              <w:t>Summary of Operations</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 Before Provision for Loan Losses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50,482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46,387</w:t>
            </w: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41,398</w:t>
            </w:r>
          </w:p>
        </w:tc>
        <w:tc>
          <w:tcPr>
            <w:tcW w:w="12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Noninterest Income</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11,363</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Noninterest Expense</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13,062</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35,666</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17,095</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120" w:type="dxa"/>
            <w:vAlign w:val="bottom"/>
            <w:shd w:val="clear" w:color="auto" w:fill="CFF0FC"/>
          </w:tcPr>
          <w:p>
            <w:pPr>
              <w:spacing w:after="0"/>
              <w:rPr>
                <w:sz w:val="19"/>
                <w:szCs w:val="19"/>
                <w:color w:val="auto"/>
              </w:rPr>
            </w:pPr>
          </w:p>
        </w:tc>
      </w:tr>
      <w:tr>
        <w:trPr>
          <w:trHeight w:val="263"/>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7,093</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18,207</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13,822</w:t>
            </w:r>
          </w:p>
        </w:tc>
        <w:tc>
          <w:tcPr>
            <w:tcW w:w="120" w:type="dxa"/>
            <w:vAlign w:val="bottom"/>
            <w:tcBorders>
              <w:bottom w:val="single" w:sz="8" w:color="CFF0FC"/>
            </w:tcBorders>
          </w:tcPr>
          <w:p>
            <w:pPr>
              <w:spacing w:after="0"/>
              <w:rPr>
                <w:sz w:val="22"/>
                <w:szCs w:val="22"/>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Earnings Per Share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pro-forma information includes adjustments for interest income on loans, amortization of intangibles arising from the transaction, interest expense on deposits acquired, premises expense for the branches acquired and the related income tax effects. The pro-forma information for the quarter ended September 30, 2021 includes approximately $348 thousand, net of tax, of operating revenue from Ossian State Bank since January 1, 2021.</w:t>
      </w:r>
    </w:p>
    <w:p>
      <w:pPr>
        <w:spacing w:after="0" w:line="214" w:lineRule="exact"/>
        <w:rPr>
          <w:sz w:val="20"/>
          <w:szCs w:val="20"/>
          <w:color w:val="auto"/>
        </w:rPr>
      </w:pPr>
    </w:p>
    <w:p>
      <w:pPr>
        <w:jc w:val="both"/>
        <w:ind w:left="760" w:right="20"/>
        <w:spacing w:after="0" w:line="342" w:lineRule="auto"/>
        <w:rPr>
          <w:sz w:val="20"/>
          <w:szCs w:val="20"/>
          <w:color w:val="auto"/>
        </w:rPr>
      </w:pPr>
      <w:r>
        <w:rPr>
          <w:rFonts w:ascii="Arial" w:cs="Arial" w:eastAsia="Arial" w:hAnsi="Arial"/>
          <w:sz w:val="16"/>
          <w:szCs w:val="16"/>
          <w:color w:val="auto"/>
        </w:rPr>
        <w:t>The pro-forma financial information is presented for informational purposes only and is not indicative of the results of operations that actually would have been achieved had the acquisition been consummated as of that time, nor is it intended to be a projection of future results.</w:t>
      </w:r>
    </w:p>
    <w:p>
      <w:pPr>
        <w:spacing w:after="0" w:line="151"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 As a result of the acquisition, the Company has had an opportunity to increase its deposit base and reduce transaction costs. The Company has also reduced costs through economies of scale.</w:t>
      </w:r>
    </w:p>
    <w:p>
      <w:pPr>
        <w:spacing w:after="0" w:line="123"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for the three and nine months ended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Nine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Nine Months</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30,</w:t>
            </w:r>
          </w:p>
        </w:tc>
      </w:tr>
      <w:tr>
        <w:trPr>
          <w:trHeight w:val="230"/>
        </w:trPr>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r>
      <w:tr>
        <w:trPr>
          <w:trHeight w:val="223"/>
        </w:trPr>
        <w:tc>
          <w:tcPr>
            <w:tcW w:w="47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CFF0FC"/>
            </w:tcBorders>
          </w:tcPr>
          <w:p>
            <w:pPr>
              <w:spacing w:after="0"/>
              <w:rPr>
                <w:sz w:val="19"/>
                <w:szCs w:val="19"/>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Reclassification from nonaccretable difference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5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which is being amortized over its remaining life of 7 years on a straight line basis.</w:t>
      </w:r>
    </w:p>
    <w:p>
      <w:pPr>
        <w:spacing w:after="0" w:line="19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amortization expense for the nine months ended September 30, 2020 was $546 thousand of which $84 thousand was related to the purchase of the Custar office in December of 2013. Of the $653 thousand to be expensed in 2021, $478 thousand has been expensed for the nine months ended September 30, 2021. Annual amortization of core deposit intangible assets is as follows:</w:t>
      </w:r>
    </w:p>
    <w:p>
      <w:pPr>
        <w:spacing w:after="0" w:line="224"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(In Thousands)</w:t>
            </w:r>
          </w:p>
        </w:tc>
      </w:tr>
      <w:tr>
        <w:trPr>
          <w:trHeight w:val="223"/>
        </w:trPr>
        <w:tc>
          <w:tcPr>
            <w:tcW w:w="13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Geneva</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Ossian</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Total</w:t>
            </w:r>
          </w:p>
        </w:tc>
      </w:tr>
      <w:tr>
        <w:trPr>
          <w:trHeight w:val="223"/>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1360" w:type="dxa"/>
            <w:vAlign w:val="bottom"/>
          </w:tcPr>
          <w:p>
            <w:pPr>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1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3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w:t>
            </w:r>
          </w:p>
        </w:tc>
      </w:tr>
      <w:tr>
        <w:trPr>
          <w:trHeight w:val="20"/>
        </w:trPr>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On November 16, 2020, FM Investment Services, a division of the Bank, purchased the assets and clients of Adams County Financial Resources (ACFR), a full-service registered investment advisory firm located in Geneva, Indiana.</w:t>
      </w:r>
    </w:p>
    <w:p>
      <w:pPr>
        <w:spacing w:after="0" w:line="17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ACFR was founded in 1994 by R. Lee Flueckiger and provides clients and their families with financial confidence through personalized investment planning and services. As of November 30, 2020, ACFR had approximately $83 million of assets under management and over 450 clients.</w:t>
      </w:r>
    </w:p>
    <w:p>
      <w:pPr>
        <w:spacing w:after="0" w:line="18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Total consideration for the purchase was $825 thousand which consisted of 40,049 shares of stock. As a result of this purchase, the Company expects an increase to noninterest income of approximately $500 thousand in 2021 with the majority of the income to be recognized in the second half of the year.</w:t>
      </w:r>
    </w:p>
    <w:p>
      <w:pPr>
        <w:spacing w:after="0" w:line="18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consideration paid for ACFR and the amounts of the assets acquired: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740" w:type="dxa"/>
            <w:vAlign w:val="bottom"/>
            <w:gridSpan w:val="2"/>
          </w:tcPr>
          <w:p>
            <w:pPr>
              <w:ind w:left="380"/>
              <w:spacing w:after="0"/>
              <w:rPr>
                <w:sz w:val="20"/>
                <w:szCs w:val="20"/>
                <w:color w:val="auto"/>
              </w:rPr>
            </w:pPr>
            <w:r>
              <w:rPr>
                <w:rFonts w:ascii="Arial" w:cs="Arial" w:eastAsia="Arial" w:hAnsi="Arial"/>
                <w:sz w:val="18"/>
                <w:szCs w:val="18"/>
                <w:b w:val="1"/>
                <w:bCs w:val="1"/>
                <w:color w:val="auto"/>
              </w:rPr>
              <w:t>Fair Value of Consideration Transferred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380"/>
              <w:spacing w:after="0"/>
              <w:rPr>
                <w:sz w:val="20"/>
                <w:szCs w:val="20"/>
                <w:color w:val="auto"/>
              </w:rPr>
            </w:pPr>
            <w:r>
              <w:rPr>
                <w:rFonts w:ascii="Arial" w:cs="Arial" w:eastAsia="Arial" w:hAnsi="Arial"/>
                <w:sz w:val="18"/>
                <w:szCs w:val="18"/>
                <w:color w:val="auto"/>
              </w:rPr>
              <w:t>Common Shares (40,049 shares)</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3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Recognized amounts of identifiable assets acquired</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vMerge w:val="restart"/>
          </w:tcPr>
          <w:p>
            <w:pPr>
              <w:spacing w:after="0"/>
              <w:rPr>
                <w:sz w:val="19"/>
                <w:szCs w:val="19"/>
                <w:color w:val="auto"/>
              </w:rPr>
            </w:pPr>
          </w:p>
        </w:tc>
        <w:tc>
          <w:tcPr>
            <w:tcW w:w="7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vMerge w:val="continue"/>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Premises and equipment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Customer list intangible</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Assets Purchased</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Of the $123 thousand to be expensed in 2021, $92 thousand has been expensed for the nine months ended September 30, 2021. Annual amortization expense of customer list intangible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2 BUSINESS COMBINATION AND ASSET PURCHASE (Continued)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2"/>
          </w:tcPr>
          <w:p>
            <w:pPr>
              <w:ind w:left="760"/>
              <w:spacing w:after="0"/>
              <w:rPr>
                <w:sz w:val="20"/>
                <w:szCs w:val="20"/>
                <w:color w:val="auto"/>
              </w:rPr>
            </w:pPr>
            <w:r>
              <w:rPr>
                <w:rFonts w:ascii="Arial" w:cs="Arial" w:eastAsia="Arial" w:hAnsi="Arial"/>
                <w:sz w:val="18"/>
                <w:szCs w:val="18"/>
                <w:color w:val="auto"/>
              </w:rPr>
              <w:t>(In Thousands)</w:t>
            </w:r>
          </w:p>
        </w:tc>
      </w:tr>
      <w:tr>
        <w:trPr>
          <w:trHeight w:val="223"/>
        </w:trPr>
        <w:tc>
          <w:tcPr>
            <w:tcW w:w="228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Adams County Financial Resources</w:t>
            </w:r>
          </w:p>
        </w:tc>
        <w:tc>
          <w:tcPr>
            <w:tcW w:w="60" w:type="dxa"/>
            <w:vAlign w:val="bottom"/>
            <w:tcBorders>
              <w:bottom w:val="single" w:sz="8" w:color="CFF0FC"/>
            </w:tcBorders>
          </w:tcPr>
          <w:p>
            <w:pPr>
              <w:spacing w:after="0"/>
              <w:rPr>
                <w:sz w:val="19"/>
                <w:szCs w:val="19"/>
                <w:color w:val="auto"/>
              </w:rPr>
            </w:pPr>
          </w:p>
        </w:tc>
      </w:tr>
      <w:tr>
        <w:trPr>
          <w:trHeight w:val="223"/>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2022</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2024</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FF0FC"/>
          </w:tcPr>
          <w:p>
            <w:pPr>
              <w:spacing w:after="0"/>
              <w:rPr>
                <w:sz w:val="19"/>
                <w:szCs w:val="19"/>
                <w:color w:val="auto"/>
              </w:rPr>
            </w:pPr>
          </w:p>
        </w:tc>
      </w:tr>
      <w:tr>
        <w:trPr>
          <w:trHeight w:val="230"/>
        </w:trPr>
        <w:tc>
          <w:tcPr>
            <w:tcW w:w="2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60" w:type="dxa"/>
            <w:vAlign w:val="bottom"/>
            <w:tcBorders>
              <w:bottom w:val="single" w:sz="8" w:color="CFF0FC"/>
            </w:tcBorders>
          </w:tcPr>
          <w:p>
            <w:pPr>
              <w:spacing w:after="0"/>
              <w:rPr>
                <w:sz w:val="19"/>
                <w:szCs w:val="19"/>
                <w:color w:val="auto"/>
              </w:rPr>
            </w:pPr>
          </w:p>
        </w:tc>
      </w:tr>
      <w:tr>
        <w:trPr>
          <w:trHeight w:val="223"/>
        </w:trPr>
        <w:tc>
          <w:tcPr>
            <w:tcW w:w="22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40" w:right="2359" w:hanging="1325"/>
        <w:spacing w:after="0" w:line="809" w:lineRule="auto"/>
        <w:tabs>
          <w:tab w:leader="none" w:pos="4326"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3 SECURITIES</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September 30, 2021 and December 31, 2020, are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8"/>
              </w:rPr>
              <w:t>September 30, 2021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380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74,347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73,804</w:t>
            </w: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163,771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163,196</w:t>
            </w: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124,658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125,099</w:t>
            </w: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62,802</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64,618</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425,578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426,717</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9"/>
        </w:trPr>
        <w:tc>
          <w:tcPr>
            <w:tcW w:w="3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8"/>
              </w:rPr>
              <w:t>December 31, 2020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380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380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122,514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124,241</w:t>
            </w:r>
          </w:p>
        </w:tc>
      </w:tr>
      <w:tr>
        <w:trPr>
          <w:trHeight w:val="229"/>
        </w:trPr>
        <w:tc>
          <w:tcPr>
            <w:tcW w:w="380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110,828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113,056</w:t>
            </w:r>
          </w:p>
        </w:tc>
      </w:tr>
      <w:tr>
        <w:trPr>
          <w:trHeight w:val="230"/>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67,260</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3,265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70,515</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300,602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307,812</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3" w:lineRule="exact"/>
        <w:rPr>
          <w:sz w:val="20"/>
          <w:szCs w:val="20"/>
          <w:color w:val="auto"/>
        </w:rPr>
      </w:pPr>
    </w:p>
    <w:p>
      <w:pPr>
        <w:ind w:left="2240" w:hanging="747"/>
        <w:spacing w:after="0"/>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21" w:lineRule="exact"/>
        <w:rPr>
          <w:rFonts w:ascii="Arial" w:cs="Arial" w:eastAsia="Arial" w:hAnsi="Arial"/>
          <w:sz w:val="18"/>
          <w:szCs w:val="18"/>
          <w:color w:val="auto"/>
        </w:rPr>
      </w:pPr>
    </w:p>
    <w:p>
      <w:pPr>
        <w:ind w:left="2240" w:hanging="747"/>
        <w:spacing w:after="0" w:line="258"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spacing w:after="0" w:line="1" w:lineRule="exact"/>
        <w:rPr>
          <w:rFonts w:ascii="Arial" w:cs="Arial" w:eastAsia="Arial" w:hAnsi="Arial"/>
          <w:sz w:val="18"/>
          <w:szCs w:val="18"/>
          <w:color w:val="auto"/>
        </w:rPr>
      </w:pPr>
    </w:p>
    <w:p>
      <w:pPr>
        <w:ind w:left="2240" w:hanging="747"/>
        <w:spacing w:after="0"/>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21" w:lineRule="exact"/>
        <w:rPr>
          <w:rFonts w:ascii="Arial" w:cs="Arial" w:eastAsia="Arial" w:hAnsi="Arial"/>
          <w:sz w:val="18"/>
          <w:szCs w:val="18"/>
          <w:color w:val="auto"/>
        </w:rPr>
      </w:pPr>
    </w:p>
    <w:p>
      <w:pPr>
        <w:ind w:left="2240" w:hanging="747"/>
        <w:spacing w:after="0"/>
        <w:tabs>
          <w:tab w:leader="none" w:pos="2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underwater security has longer than 10 years to maturity and the loss position had existed for more than 3 years.</w:t>
      </w:r>
    </w:p>
    <w:p>
      <w:pPr>
        <w:spacing w:after="0" w:line="47" w:lineRule="exact"/>
        <w:rPr>
          <w:rFonts w:ascii="Arial" w:cs="Arial" w:eastAsia="Arial" w:hAnsi="Arial"/>
          <w:sz w:val="17"/>
          <w:szCs w:val="17"/>
          <w:color w:val="auto"/>
        </w:rPr>
      </w:pPr>
    </w:p>
    <w:p>
      <w:pPr>
        <w:ind w:left="2240" w:hanging="747"/>
        <w:spacing w:after="0" w:line="277" w:lineRule="auto"/>
        <w:tabs>
          <w:tab w:leader="none" w:pos="2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30"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Information pertaining to securities with gross unrealized losses at September 30, 2021 and December 31, 2020,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8"/>
              </w:rPr>
              <w:t>September 30, 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2"/>
              </w:rPr>
              <w:t>Less Than Twelve Months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93"/>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9"/>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7"/>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58,913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58,913</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107,353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109,796</w:t>
            </w: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57,266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57,266</w:t>
            </w:r>
          </w:p>
        </w:tc>
      </w:tr>
      <w:tr>
        <w:trPr>
          <w:trHeight w:val="229"/>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11,260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13,763</w:t>
            </w: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234,792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4,946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239,738</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96"/>
        </w:trPr>
        <w:tc>
          <w:tcPr>
            <w:tcW w:w="2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88"/>
              </w:rPr>
              <w:t>December 31, 2020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w w:val="92"/>
              </w:rPr>
              <w:t>Less Than Twelve Months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93"/>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9"/>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30"/>
        </w:trPr>
        <w:tc>
          <w:tcPr>
            <w:tcW w:w="29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7"/>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48,331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48,331</w:t>
            </w: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3,562</w:t>
            </w: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51,893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51,893</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and nine months ended September 30, 2021 and September 30, 2020.</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4"/>
          </w:tcPr>
          <w:p>
            <w:pPr>
              <w:jc w:val="right"/>
              <w:ind w:right="283"/>
              <w:spacing w:after="0"/>
              <w:rPr>
                <w:sz w:val="20"/>
                <w:szCs w:val="20"/>
                <w:color w:val="auto"/>
              </w:rPr>
            </w:pPr>
            <w:r>
              <w:rPr>
                <w:rFonts w:ascii="Arial" w:cs="Arial" w:eastAsia="Arial" w:hAnsi="Arial"/>
                <w:sz w:val="18"/>
                <w:szCs w:val="18"/>
                <w:color w:val="auto"/>
              </w:rPr>
              <w:t>Nine Months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293</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270</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realized losses</w:t>
            </w:r>
          </w:p>
        </w:tc>
        <w:tc>
          <w:tcPr>
            <w:tcW w:w="1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realized gains</w:t>
            </w:r>
          </w:p>
        </w:tc>
        <w:tc>
          <w:tcPr>
            <w:tcW w:w="1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8"/>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293</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270</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1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5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net realized gains on sales and related tax expense is a reclassification out of accumulated other comprehensive income (loss). The net realized gains are included in net gains on sale of available-for-sale securities and the related tax expense is included in income taxes in the condensed consolidated statements of income and comprehensive income (loss).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 3 SECURITIES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amortized cost and fair value of debt securities at September 30, 2021, by contractual maturity, are shown below. Expected maturities will differ from contractual maturities because borrowers may have the right to call or prepay obligations with or without call or prepayment penalties.</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8"/>
              </w:rPr>
              <w:t>Amortized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8,923</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121,121</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171,484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171,215</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300,920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301,618</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124,658</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125,099</w:t>
            </w: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425,578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426,717</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Investments with a carrying value of $77.1 million and $83.2 million at September 30, 2021 and December 31, 2020, respectively, were pledged to secure public deposits and securities sold under repurchase agreements.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Other securities include Federal Home Loan Bank of Cincinnati and Indianapolis stock in the amount of $4.5 million as of September 30, 2021 and $5.8 million as of December 31, 2020 in addition to Ohio Equity Fund for Housing Limited Partnership of $357 thousand as of September 30, 2021 and $151 thousand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right="3460" w:hanging="1325"/>
        <w:spacing w:after="0" w:line="668" w:lineRule="auto"/>
        <w:tabs>
          <w:tab w:leader="none" w:pos="4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Remainder of this page intentionally left blank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 balances as of September 30, 2021 and December 31, 2020 are summarized below:</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Loans:</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September 30,</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82"/>
        </w:trPr>
        <w:tc>
          <w:tcPr>
            <w:tcW w:w="53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vMerge w:val="restart"/>
          </w:tcPr>
          <w:p>
            <w:pPr>
              <w:jc w:val="right"/>
              <w:ind w:right="37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28"/>
        </w:trPr>
        <w:tc>
          <w:tcPr>
            <w:tcW w:w="480" w:type="dxa"/>
            <w:vAlign w:val="bottom"/>
            <w:tcBorders>
              <w:top w:val="single" w:sz="8" w:color="auto"/>
              <w:bottom w:val="single" w:sz="8" w:color="CFF0FC"/>
            </w:tcBorders>
          </w:tcPr>
          <w:p>
            <w:pPr>
              <w:spacing w:after="0"/>
              <w:rPr>
                <w:sz w:val="11"/>
                <w:szCs w:val="11"/>
                <w:color w:val="auto"/>
              </w:rPr>
            </w:pPr>
          </w:p>
        </w:tc>
        <w:tc>
          <w:tcPr>
            <w:tcW w:w="48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202,454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175,588</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179,374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189,159</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105,580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94,358</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728,852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588,825</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194,767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189,246</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52,540</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31,096</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15,757</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1,497,644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1,305,473</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1,495,562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1,302,990</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(15,698)</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(13,672)</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40"/>
              <w:spacing w:after="0"/>
              <w:rPr>
                <w:sz w:val="20"/>
                <w:szCs w:val="20"/>
                <w:color w:val="auto"/>
              </w:rPr>
            </w:pPr>
            <w:r>
              <w:rPr>
                <w:rFonts w:ascii="Arial" w:cs="Arial" w:eastAsia="Arial" w:hAnsi="Arial"/>
                <w:sz w:val="18"/>
                <w:szCs w:val="18"/>
                <w:color w:val="auto"/>
              </w:rPr>
              <w:t>Loans -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1,479,864</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1,289,318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loans primarily fund public improvements in the Bank’s service area.</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September 30, 2021:</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4"/>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Fixed</w:t>
            </w:r>
          </w:p>
        </w:tc>
        <w:tc>
          <w:tcPr>
            <w:tcW w:w="2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Variable</w:t>
            </w:r>
          </w:p>
        </w:tc>
      </w:tr>
      <w:tr>
        <w:trPr>
          <w:trHeight w:val="229"/>
        </w:trPr>
        <w:tc>
          <w:tcPr>
            <w:tcW w:w="5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138,024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64,430</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108,102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71,272</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89,426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16,154</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594,081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134,771</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161,106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33,661</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51,469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21,096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r>
    </w:tbl>
    <w:p>
      <w:pPr>
        <w:spacing w:after="0" w:line="229"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As of September 30, 2021 and December 31, 2020 one to four family residential mortgage loans amounting to $36.5 million and $38.0 million, respectively, have been pledged as security for future loans and existing loans the Bank has received from the Federal Home Loan Bank.</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Unless listed separately, Other loans are included in the Commercial and Industrial category for the remainder of the tables in this Note 4.</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September 30, 2021 and December 31, 2020, net of deferred loan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Recorded</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30-59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60-89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8"/>
              </w:rPr>
              <w:t>Greater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96"/>
              </w:rPr>
              <w:t>Investment &gt;</w:t>
            </w:r>
          </w:p>
        </w:tc>
      </w:tr>
      <w:tr>
        <w:trPr>
          <w:trHeight w:val="216"/>
        </w:trPr>
        <w:tc>
          <w:tcPr>
            <w:tcW w:w="4040" w:type="dxa"/>
            <w:vAlign w:val="bottom"/>
          </w:tcPr>
          <w:p>
            <w:pPr>
              <w:spacing w:after="0"/>
              <w:rPr>
                <w:sz w:val="18"/>
                <w:szCs w:val="18"/>
                <w:color w:val="auto"/>
              </w:rPr>
            </w:pP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Days Past</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7"/>
              </w:rPr>
              <w:t>Days Past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Than 90</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86"/>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Financing</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96"/>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September 30, 2021</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Days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Receivables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r>
      <w:tr>
        <w:trPr>
          <w:trHeight w:val="223"/>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201,991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202,370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178,931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179,051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105,605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105,722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727,238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727,418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224,681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225,382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55,512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55,619</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bottom w:val="single" w:sz="8" w:color="CFF0FC"/>
            </w:tcBorders>
            <w:shd w:val="clear" w:color="auto" w:fill="CFF0FC"/>
          </w:tcPr>
          <w:p>
            <w:pPr>
              <w:ind w:left="17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493</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244</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867</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1,493,958</w:t>
            </w: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88"/>
              </w:rPr>
              <w:t>$ 1,495,562</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7"/>
        </w:trPr>
        <w:tc>
          <w:tcPr>
            <w:tcW w:w="4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09"/>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Recorded</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30-59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60-89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8"/>
              </w:rPr>
              <w:t>Greater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96"/>
              </w:rPr>
              <w:t>Investment &gt;</w:t>
            </w:r>
          </w:p>
        </w:tc>
      </w:tr>
      <w:tr>
        <w:trPr>
          <w:trHeight w:val="216"/>
        </w:trPr>
        <w:tc>
          <w:tcPr>
            <w:tcW w:w="4040" w:type="dxa"/>
            <w:vAlign w:val="bottom"/>
          </w:tcPr>
          <w:p>
            <w:pPr>
              <w:spacing w:after="0"/>
              <w:rPr>
                <w:sz w:val="18"/>
                <w:szCs w:val="18"/>
                <w:color w:val="auto"/>
              </w:rPr>
            </w:pP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Days Past</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7"/>
              </w:rPr>
              <w:t>Days Past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Than 90</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86"/>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2"/>
              </w:rPr>
              <w:t>Financing</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96"/>
              </w:rPr>
              <w:t>90 Days and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December 31, 2020</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Days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7"/>
              </w:rPr>
              <w:t>Receivables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r>
      <w:tr>
        <w:trPr>
          <w:trHeight w:val="223"/>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1,032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173,824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175,316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188,738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188,826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94,314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94,490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587,469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587,654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202,310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204,043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52,608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52,661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bottom w:val="single" w:sz="8" w:color="CFF0FC"/>
            </w:tcBorders>
            <w:shd w:val="clear" w:color="auto" w:fill="CFF0FC"/>
          </w:tcPr>
          <w:p>
            <w:pPr>
              <w:ind w:left="17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322</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941</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2,464</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1,299,263</w:t>
            </w: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88"/>
              </w:rPr>
              <w:t>$ 1,302,990</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the recorded investment in nonaccrual loans by class of loans as of September 30, 2021 and December 31, 2020:</w:t>
      </w:r>
    </w:p>
    <w:p>
      <w:pPr>
        <w:spacing w:after="0" w:line="289"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various pricing mechanisms. The risk related to weather is often mitigated by requiring crop insurance.</w:t>
      </w:r>
    </w:p>
    <w:p>
      <w:pPr>
        <w:spacing w:after="0" w:line="146"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560"/>
        <w:spacing w:after="0" w:line="270" w:lineRule="auto"/>
        <w:rPr>
          <w:sz w:val="20"/>
          <w:szCs w:val="20"/>
          <w:color w:val="auto"/>
        </w:rPr>
      </w:pPr>
      <w:r>
        <w:rPr>
          <w:rFonts w:ascii="Arial" w:cs="Arial" w:eastAsia="Arial" w:hAnsi="Arial"/>
          <w:sz w:val="17"/>
          <w:szCs w:val="17"/>
          <w:color w:val="auto"/>
        </w:rPr>
        <w:t>Commercial and Industrial: Loans to proprietorships, partnerships, limited liability companies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 Included in commercial loans for 2021 and 2020 are Paycheck Protection Program (PPP) loans, administered by the Small Business Administration (SBA), in the amounts of $9.8 million and $36.2 million, respectively. The PPP provides loans to eligible businesses through financial institutions like the Bank, with loans being eligible for forgiveness of some or all of the principal amount by the SBA if the borrower meets certain requirements. The SBA guarantees repayment of the loans to the Bank if the borrower’s loan is not forgiven and is then not repaid by the customer. Therefore, there is no allowance for loan losses related to these loans.</w:t>
      </w:r>
    </w:p>
    <w:p>
      <w:pPr>
        <w:spacing w:after="0" w:line="14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3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risk ratings are described as follows.</w:t>
      </w:r>
    </w:p>
    <w:p>
      <w:pPr>
        <w:spacing w:after="0" w:line="23" w:lineRule="exact"/>
        <w:rPr>
          <w:sz w:val="20"/>
          <w:szCs w:val="20"/>
          <w:color w:val="auto"/>
        </w:rPr>
      </w:pPr>
    </w:p>
    <w:p>
      <w:pPr>
        <w:ind w:left="1680" w:hanging="552"/>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9" w:lineRule="exact"/>
        <w:rPr>
          <w:rFonts w:ascii="Arial" w:cs="Arial" w:eastAsia="Arial" w:hAnsi="Arial"/>
          <w:sz w:val="18"/>
          <w:szCs w:val="18"/>
          <w:color w:val="auto"/>
        </w:rPr>
      </w:pPr>
    </w:p>
    <w:p>
      <w:pPr>
        <w:ind w:left="1680" w:right="20" w:hanging="552"/>
        <w:spacing w:after="0" w:line="260"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(1) Excellent. Credit to premier customers having the highest credit rating based on an extremely strong financial condition, which compares favorably with industry standards (upper quartile of RMA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1680"/>
        <w:spacing w:after="0" w:line="268" w:lineRule="auto"/>
        <w:rPr>
          <w:sz w:val="20"/>
          <w:szCs w:val="20"/>
          <w:color w:val="auto"/>
        </w:rPr>
      </w:pPr>
      <w:r>
        <w:rPr>
          <w:rFonts w:ascii="Arial" w:cs="Arial" w:eastAsia="Arial" w:hAnsi="Arial"/>
          <w:sz w:val="17"/>
          <w:szCs w:val="17"/>
          <w:color w:val="auto"/>
        </w:rPr>
        <w:t>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3" w:lineRule="exact"/>
        <w:rPr>
          <w:sz w:val="20"/>
          <w:szCs w:val="20"/>
          <w:color w:val="auto"/>
        </w:rPr>
      </w:pPr>
    </w:p>
    <w:p>
      <w:pPr>
        <w:jc w:val="both"/>
        <w:ind w:left="1680" w:hanging="552"/>
        <w:spacing w:after="0" w:line="265" w:lineRule="auto"/>
        <w:tabs>
          <w:tab w:leader="none" w:pos="1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jc w:val="both"/>
        <w:ind w:left="1680" w:hanging="552"/>
        <w:spacing w:after="0" w:line="250"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1" w:lineRule="exact"/>
        <w:rPr>
          <w:rFonts w:ascii="Arial" w:cs="Arial" w:eastAsia="Arial" w:hAnsi="Arial"/>
          <w:sz w:val="18"/>
          <w:szCs w:val="18"/>
          <w:color w:val="auto"/>
        </w:rPr>
      </w:pPr>
    </w:p>
    <w:p>
      <w:pPr>
        <w:ind w:left="1700"/>
        <w:spacing w:after="0" w:line="250" w:lineRule="auto"/>
        <w:rPr>
          <w:rFonts w:ascii="Arial" w:cs="Arial" w:eastAsia="Arial" w:hAnsi="Arial"/>
          <w:sz w:val="18"/>
          <w:szCs w:val="18"/>
          <w:color w:val="auto"/>
        </w:rPr>
      </w:pPr>
      <w:r>
        <w:rPr>
          <w:rFonts w:ascii="Arial" w:cs="Arial" w:eastAsia="Arial" w:hAnsi="Arial"/>
          <w:sz w:val="18"/>
          <w:szCs w:val="18"/>
          <w:color w:val="auto"/>
        </w:rPr>
        <w:t>Loans may be rated 3 when there is no recent information on which to base a current risk evaluation and the following conditions apply:</w:t>
      </w:r>
    </w:p>
    <w:p>
      <w:pPr>
        <w:ind w:left="1700"/>
        <w:spacing w:after="0"/>
        <w:rPr>
          <w:rFonts w:ascii="Arial" w:cs="Arial" w:eastAsia="Arial" w:hAnsi="Arial"/>
          <w:sz w:val="18"/>
          <w:szCs w:val="18"/>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8"/>
          <w:szCs w:val="18"/>
          <w:color w:val="auto"/>
        </w:rPr>
      </w:pPr>
    </w:p>
    <w:p>
      <w:pPr>
        <w:ind w:left="1960" w:hanging="278"/>
        <w:spacing w:after="0"/>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At inception, the loan was secured with collateral possessing a loan-to-value adequate to protect The Bank from loss;</w:t>
      </w:r>
    </w:p>
    <w:p>
      <w:pPr>
        <w:spacing w:after="0" w:line="20" w:lineRule="exact"/>
        <w:rPr>
          <w:rFonts w:ascii="Arial" w:cs="Arial" w:eastAsia="Arial" w:hAnsi="Arial"/>
          <w:sz w:val="17"/>
          <w:szCs w:val="17"/>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loan exhibited two or more years of satisfactory repayment with a reasonable reduction of the principal balance;</w:t>
      </w:r>
    </w:p>
    <w:p>
      <w:pPr>
        <w:spacing w:after="0" w:line="9" w:lineRule="exact"/>
        <w:rPr>
          <w:rFonts w:ascii="Arial" w:cs="Arial" w:eastAsia="Arial" w:hAnsi="Arial"/>
          <w:sz w:val="18"/>
          <w:szCs w:val="18"/>
          <w:color w:val="auto"/>
        </w:rPr>
      </w:pPr>
    </w:p>
    <w:p>
      <w:pPr>
        <w:jc w:val="both"/>
        <w:ind w:left="1960" w:hanging="278"/>
        <w:spacing w:after="0" w:line="281" w:lineRule="auto"/>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1" w:lineRule="exact"/>
        <w:rPr>
          <w:rFonts w:ascii="Arial" w:cs="Arial" w:eastAsia="Arial" w:hAnsi="Arial"/>
          <w:sz w:val="16"/>
          <w:szCs w:val="16"/>
          <w:color w:val="auto"/>
        </w:rPr>
      </w:pPr>
    </w:p>
    <w:p>
      <w:pPr>
        <w:jc w:val="both"/>
        <w:ind w:left="1680" w:hanging="552"/>
        <w:spacing w:after="0" w:line="265" w:lineRule="auto"/>
        <w:tabs>
          <w:tab w:leader="none" w:pos="1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jc w:val="both"/>
        <w:ind w:left="1680" w:hanging="552"/>
        <w:spacing w:after="0" w:line="250"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1" w:lineRule="exact"/>
        <w:rPr>
          <w:rFonts w:ascii="Arial" w:cs="Arial" w:eastAsia="Arial" w:hAnsi="Arial"/>
          <w:sz w:val="18"/>
          <w:szCs w:val="18"/>
          <w:color w:val="auto"/>
        </w:rPr>
      </w:pPr>
    </w:p>
    <w:p>
      <w:pPr>
        <w:ind w:left="1680" w:hanging="552"/>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9" w:lineRule="exact"/>
        <w:rPr>
          <w:rFonts w:ascii="Arial" w:cs="Arial" w:eastAsia="Arial" w:hAnsi="Arial"/>
          <w:sz w:val="18"/>
          <w:szCs w:val="18"/>
          <w:color w:val="auto"/>
        </w:rPr>
      </w:pPr>
    </w:p>
    <w:p>
      <w:pPr>
        <w:jc w:val="both"/>
        <w:ind w:left="1960" w:hanging="278"/>
        <w:spacing w:after="0" w:line="250"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1960" w:hanging="278"/>
        <w:spacing w:after="0" w:line="250"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1960" w:hanging="278"/>
        <w:spacing w:after="0"/>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Loans are characterized by the distinct possibility that The Bank will sustain some loss if deficiencies are not corrected.</w:t>
      </w:r>
    </w:p>
    <w:p>
      <w:pPr>
        <w:spacing w:after="0" w:line="20" w:lineRule="exact"/>
        <w:rPr>
          <w:rFonts w:ascii="Arial" w:cs="Arial" w:eastAsia="Arial" w:hAnsi="Arial"/>
          <w:sz w:val="17"/>
          <w:szCs w:val="17"/>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1960" w:hanging="278"/>
        <w:spacing w:after="0"/>
        <w:tabs>
          <w:tab w:leader="none" w:pos="1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borrower is not generating enough cash flow to repay loan principal; however, continues to make interest payments.</w:t>
      </w:r>
    </w:p>
    <w:p>
      <w:pPr>
        <w:spacing w:after="0" w:line="20" w:lineRule="exact"/>
        <w:rPr>
          <w:rFonts w:ascii="Arial" w:cs="Arial" w:eastAsia="Arial" w:hAnsi="Arial"/>
          <w:sz w:val="17"/>
          <w:szCs w:val="17"/>
          <w:color w:val="auto"/>
        </w:rPr>
      </w:pPr>
    </w:p>
    <w:p>
      <w:pPr>
        <w:ind w:left="1960" w:hanging="278"/>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9" w:lineRule="exact"/>
        <w:rPr>
          <w:rFonts w:ascii="Arial" w:cs="Arial" w:eastAsia="Arial" w:hAnsi="Arial"/>
          <w:sz w:val="18"/>
          <w:szCs w:val="18"/>
          <w:color w:val="auto"/>
        </w:rPr>
      </w:pPr>
    </w:p>
    <w:p>
      <w:pPr>
        <w:ind w:left="1960" w:right="20" w:hanging="278"/>
        <w:spacing w:after="0" w:line="260"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1960" w:hanging="278"/>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23" w:lineRule="exact"/>
        <w:rPr>
          <w:rFonts w:ascii="Arial" w:cs="Arial" w:eastAsia="Arial" w:hAnsi="Arial"/>
          <w:sz w:val="18"/>
          <w:szCs w:val="18"/>
          <w:color w:val="auto"/>
        </w:rPr>
      </w:pPr>
    </w:p>
    <w:p>
      <w:pPr>
        <w:ind w:left="1960" w:hanging="278"/>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9" w:lineRule="exact"/>
        <w:rPr>
          <w:rFonts w:ascii="Arial" w:cs="Arial" w:eastAsia="Arial" w:hAnsi="Arial"/>
          <w:sz w:val="18"/>
          <w:szCs w:val="18"/>
          <w:color w:val="auto"/>
        </w:rPr>
      </w:pPr>
    </w:p>
    <w:p>
      <w:pPr>
        <w:ind w:left="1680" w:hanging="552"/>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9" w:lineRule="exact"/>
        <w:rPr>
          <w:rFonts w:ascii="Arial" w:cs="Arial" w:eastAsia="Arial" w:hAnsi="Arial"/>
          <w:sz w:val="18"/>
          <w:szCs w:val="18"/>
          <w:color w:val="auto"/>
        </w:rPr>
      </w:pPr>
    </w:p>
    <w:p>
      <w:pPr>
        <w:ind w:left="1960" w:hanging="278"/>
        <w:spacing w:after="0" w:line="250"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ind w:left="1960" w:hanging="278"/>
        <w:spacing w:after="0"/>
        <w:tabs>
          <w:tab w:leader="none" w:pos="1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primary source of repayment is gone, and there is considerable doubt as to the quality of the secondary source of repayment.</w:t>
      </w:r>
    </w:p>
    <w:p>
      <w:pPr>
        <w:spacing w:after="0" w:line="32" w:lineRule="exact"/>
        <w:rPr>
          <w:rFonts w:ascii="Arial" w:cs="Arial" w:eastAsia="Arial" w:hAnsi="Arial"/>
          <w:sz w:val="16"/>
          <w:szCs w:val="16"/>
          <w:color w:val="auto"/>
        </w:rPr>
      </w:pPr>
    </w:p>
    <w:p>
      <w:pPr>
        <w:jc w:val="both"/>
        <w:ind w:left="1960" w:hanging="278"/>
        <w:spacing w:after="0" w:line="250"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Arial" w:cs="Arial" w:eastAsia="Arial" w:hAnsi="Arial"/>
          <w:sz w:val="18"/>
          <w:szCs w:val="18"/>
          <w:color w:val="auto"/>
        </w:rPr>
      </w:pPr>
    </w:p>
    <w:p>
      <w:pPr>
        <w:jc w:val="both"/>
        <w:ind w:left="1680" w:hanging="552"/>
        <w:spacing w:after="0" w:line="253"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right="3560" w:hanging="1419"/>
        <w:spacing w:after="0" w:line="809" w:lineRule="auto"/>
        <w:tabs>
          <w:tab w:leader="none" w:pos="42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Remainder of this page intentionally left blank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67"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September 30, 2021 and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2"/>
        </w:trPr>
        <w:tc>
          <w:tcPr>
            <w:tcW w:w="3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19"/>
                <w:szCs w:val="19"/>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2021</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9,647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11,306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11,867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40,914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25,170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222,396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42,616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10,956</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110,166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74,802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458,886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134,690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20,140</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4,638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7,872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13,686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26,958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179,051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105,722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727,418</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194,286</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31,096</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95"/>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Agricultural</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Commercial</w:t>
            </w:r>
          </w:p>
        </w:tc>
        <w:tc>
          <w:tcPr>
            <w:tcW w:w="12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3940" w:type="dxa"/>
            <w:vAlign w:val="bottom"/>
          </w:tcPr>
          <w:p>
            <w:pPr>
              <w:jc w:val="center"/>
              <w:ind w:left="1010"/>
              <w:spacing w:after="0"/>
              <w:rPr>
                <w:sz w:val="20"/>
                <w:szCs w:val="20"/>
                <w:color w:val="auto"/>
              </w:rPr>
            </w:pPr>
            <w:r>
              <w:rPr>
                <w:rFonts w:ascii="Arial" w:cs="Arial" w:eastAsia="Arial" w:hAnsi="Arial"/>
                <w:sz w:val="18"/>
                <w:szCs w:val="18"/>
                <w:color w:val="auto"/>
                <w:w w:val="92"/>
              </w:rPr>
              <w:t>1-2</w:t>
            </w:r>
          </w:p>
        </w:tc>
        <w:tc>
          <w:tcPr>
            <w:tcW w:w="14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11,960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11,001</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38,486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38,306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165,201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26,515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4,651</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112,465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63,480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396,076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114,108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11,106</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7,478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3,266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18,617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188,826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94,490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587,654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188,286</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15,757</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99"/>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September 30, 2021 and December 31, 2020.</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(In Thousands)</w:t>
            </w: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Consumer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89"/>
              </w:rPr>
              <w:t>Consumer</w:t>
            </w:r>
          </w:p>
        </w:tc>
      </w:tr>
      <w:tr>
        <w:trPr>
          <w:trHeight w:val="230"/>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5"/>
              </w:rPr>
              <w:t>Real Estate</w:t>
            </w:r>
          </w:p>
        </w:tc>
      </w:tr>
      <w:tr>
        <w:trPr>
          <w:trHeight w:val="209"/>
        </w:trPr>
        <w:tc>
          <w:tcPr>
            <w:tcW w:w="536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199,470</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171,667</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2,365</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ind w:left="24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202,370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175,316</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Consumer - Credit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Consumer - Other</w:t>
            </w:r>
          </w:p>
        </w:tc>
      </w:tr>
      <w:tr>
        <w:trPr>
          <w:trHeight w:val="209"/>
        </w:trPr>
        <w:tc>
          <w:tcPr>
            <w:tcW w:w="3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September 30,</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7"/>
              </w:rPr>
              <w:t>December 31,</w:t>
            </w:r>
          </w:p>
        </w:tc>
        <w:tc>
          <w:tcPr>
            <w:tcW w:w="1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6"/>
              </w:rPr>
              <w:t>September 30,</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7"/>
              </w:rPr>
              <w:t>December 31,</w:t>
            </w:r>
          </w:p>
        </w:tc>
      </w:tr>
      <w:tr>
        <w:trPr>
          <w:trHeight w:val="230"/>
        </w:trPr>
        <w:tc>
          <w:tcPr>
            <w:tcW w:w="3160" w:type="dxa"/>
            <w:vAlign w:val="bottom"/>
            <w:tcBorders>
              <w:bottom w:val="single" w:sz="8" w:color="CFF0FC"/>
            </w:tcBorders>
          </w:tcPr>
          <w:p>
            <w:pPr>
              <w:spacing w:after="0"/>
              <w:rPr>
                <w:sz w:val="20"/>
                <w:szCs w:val="20"/>
                <w:color w:val="auto"/>
              </w:rPr>
            </w:pPr>
          </w:p>
        </w:tc>
        <w:tc>
          <w:tcPr>
            <w:tcW w:w="20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3,660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51,976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48,855</w:t>
            </w:r>
          </w:p>
        </w:tc>
      </w:tr>
      <w:tr>
        <w:trPr>
          <w:trHeight w:val="229"/>
        </w:trPr>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Nonperforming</w:t>
            </w:r>
          </w:p>
        </w:tc>
        <w:tc>
          <w:tcPr>
            <w:tcW w:w="20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r>
      <w:tr>
        <w:trPr>
          <w:trHeight w:val="223"/>
        </w:trPr>
        <w:tc>
          <w:tcPr>
            <w:tcW w:w="3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3,670</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51,989</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48,991</w:t>
            </w:r>
          </w:p>
        </w:tc>
      </w:tr>
      <w:tr>
        <w:trPr>
          <w:trHeight w:val="20"/>
        </w:trPr>
        <w:tc>
          <w:tcPr>
            <w:tcW w:w="3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impaired loans as of September 30, 2021, December 31, 2020 and September 30, 2020 are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89"/>
              </w:rPr>
              <w:t>(In Thousands)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86"/>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2,461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5,172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6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9,388</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9,360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11,849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14,532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15,259</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gridSpan w:val="2"/>
            <w:vMerge w:val="continue"/>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6,248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9,404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 loans past-due ninety days or more and</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still accruing</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11,639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14,868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loans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8,613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additional funds available to be advanced in connection with impaired loans as of September 30, 2021.</w:t>
      </w:r>
    </w:p>
    <w:p>
      <w:pPr>
        <w:spacing w:after="0" w:line="18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Bank had approximately $6.0 million of its impaired loans classified as troubled debt restructured (TDR) as of September 30, 2021, $6.5 million as of December 31, 2020 and $6.4 million as of September 30,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Modification programs focused on payment pattern changes and/or modified maturity dates with most receiving a combination of the two concessions. The modifications did not result in the contractual forgiveness of principal. During the third quarter of 2021, one new loan was considered TDR as a result of being in a deficiency balance upon the sale of property. The loan is set for a 3 year term and 10 year amortization. The ALLL includes $1.0 million for the specific allocation on the principal balance of this loan. Year to date 2021, there were two new loans considered TDR with two previously reported TDR loans paid off in June. In the third quarter of 2020, one new loan was considered TDR and was given a rate concession. During the year to date 2020, there were six new loans considered TDR with one of the loans subsequently paid off in May. Interest was paid current at the time of all modifications.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represent three and nine months ended September 30, 2021 and 2020:</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Pre-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8"/>
                <w:szCs w:val="18"/>
                <w:color w:val="auto"/>
                <w:w w:val="85"/>
              </w:rPr>
              <w:t>Post-</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Pre-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r>
      <w:tr>
        <w:trPr>
          <w:trHeight w:val="229"/>
        </w:trPr>
        <w:tc>
          <w:tcPr>
            <w:tcW w:w="1460" w:type="dxa"/>
            <w:vAlign w:val="bottom"/>
            <w:gridSpan w:val="2"/>
          </w:tcPr>
          <w:p>
            <w:pPr>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19"/>
                <w:szCs w:val="19"/>
                <w:color w:val="auto"/>
              </w:rPr>
            </w:pPr>
          </w:p>
        </w:tc>
        <w:tc>
          <w:tcPr>
            <w:tcW w:w="128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Number of</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480" w:type="dxa"/>
            <w:vAlign w:val="bottom"/>
            <w:gridSpan w:val="4"/>
          </w:tcPr>
          <w:p>
            <w:pPr>
              <w:jc w:val="center"/>
              <w:ind w:right="300"/>
              <w:spacing w:after="0"/>
              <w:rPr>
                <w:sz w:val="20"/>
                <w:szCs w:val="20"/>
                <w:color w:val="auto"/>
              </w:rPr>
            </w:pPr>
            <w:r>
              <w:rPr>
                <w:rFonts w:ascii="Arial" w:cs="Arial" w:eastAsia="Arial" w:hAnsi="Arial"/>
                <w:sz w:val="18"/>
                <w:szCs w:val="18"/>
                <w:color w:val="auto"/>
                <w:w w:val="97"/>
              </w:rPr>
              <w:t>Modification</w:t>
            </w:r>
          </w:p>
        </w:tc>
        <w:tc>
          <w:tcPr>
            <w:tcW w:w="146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380" w:type="dxa"/>
            <w:vAlign w:val="bottom"/>
          </w:tcPr>
          <w:p>
            <w:pPr>
              <w:spacing w:after="0"/>
              <w:rPr>
                <w:sz w:val="19"/>
                <w:szCs w:val="19"/>
                <w:color w:val="auto"/>
              </w:rPr>
            </w:pPr>
          </w:p>
        </w:tc>
        <w:tc>
          <w:tcPr>
            <w:tcW w:w="130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Number of</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16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Modification</w:t>
            </w:r>
          </w:p>
        </w:tc>
      </w:tr>
      <w:tr>
        <w:trPr>
          <w:trHeight w:val="229"/>
        </w:trPr>
        <w:tc>
          <w:tcPr>
            <w:tcW w:w="1460" w:type="dxa"/>
            <w:vAlign w:val="bottom"/>
            <w:gridSpan w:val="2"/>
          </w:tcPr>
          <w:p>
            <w:pPr>
              <w:spacing w:after="0"/>
              <w:rPr>
                <w:sz w:val="20"/>
                <w:szCs w:val="20"/>
                <w:color w:val="auto"/>
              </w:rPr>
            </w:pPr>
            <w:r>
              <w:rPr>
                <w:rFonts w:ascii="Arial" w:cs="Arial" w:eastAsia="Arial" w:hAnsi="Arial"/>
                <w:sz w:val="18"/>
                <w:szCs w:val="18"/>
                <w:color w:val="auto"/>
                <w:w w:val="88"/>
              </w:rPr>
              <w:t>September 30, 2021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Contracts</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c>
          <w:tcPr>
            <w:tcW w:w="148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Outstanding</w:t>
            </w:r>
          </w:p>
        </w:tc>
        <w:tc>
          <w:tcPr>
            <w:tcW w:w="1460" w:type="dxa"/>
            <w:vAlign w:val="bottom"/>
            <w:gridSpan w:val="2"/>
          </w:tcPr>
          <w:p>
            <w:pPr>
              <w:spacing w:after="0"/>
              <w:rPr>
                <w:sz w:val="20"/>
                <w:szCs w:val="20"/>
                <w:color w:val="auto"/>
              </w:rPr>
            </w:pPr>
            <w:r>
              <w:rPr>
                <w:rFonts w:ascii="Arial" w:cs="Arial" w:eastAsia="Arial" w:hAnsi="Arial"/>
                <w:sz w:val="18"/>
                <w:szCs w:val="18"/>
                <w:color w:val="auto"/>
                <w:w w:val="88"/>
              </w:rPr>
              <w:t>September 30, 2021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4"/>
          </w:tcPr>
          <w:p>
            <w:pPr>
              <w:jc w:val="center"/>
              <w:ind w:right="340"/>
              <w:spacing w:after="0"/>
              <w:rPr>
                <w:sz w:val="20"/>
                <w:szCs w:val="20"/>
                <w:color w:val="auto"/>
              </w:rPr>
            </w:pPr>
            <w:r>
              <w:rPr>
                <w:rFonts w:ascii="Arial" w:cs="Arial" w:eastAsia="Arial" w:hAnsi="Arial"/>
                <w:sz w:val="18"/>
                <w:szCs w:val="18"/>
                <w:color w:val="auto"/>
                <w:w w:val="88"/>
              </w:rPr>
              <w:t>Contracts</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c>
          <w:tcPr>
            <w:tcW w:w="116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r>
      <w:tr>
        <w:trPr>
          <w:trHeight w:val="230"/>
        </w:trPr>
        <w:tc>
          <w:tcPr>
            <w:tcW w:w="1460" w:type="dxa"/>
            <w:vAlign w:val="bottom"/>
            <w:gridSpan w:val="2"/>
          </w:tcPr>
          <w:p>
            <w:pPr>
              <w:ind w:left="400"/>
              <w:spacing w:after="0"/>
              <w:rPr>
                <w:sz w:val="20"/>
                <w:szCs w:val="20"/>
                <w:color w:val="auto"/>
              </w:rPr>
            </w:pPr>
            <w:r>
              <w:rPr>
                <w:rFonts w:ascii="Arial" w:cs="Arial" w:eastAsia="Arial" w:hAnsi="Arial"/>
                <w:sz w:val="18"/>
                <w:szCs w:val="18"/>
                <w:color w:val="auto"/>
                <w:w w:val="91"/>
              </w:rPr>
              <w:t>(in thousands)</w:t>
            </w:r>
          </w:p>
        </w:tc>
        <w:tc>
          <w:tcPr>
            <w:tcW w:w="360" w:type="dxa"/>
            <w:vAlign w:val="bottom"/>
          </w:tcPr>
          <w:p>
            <w:pPr>
              <w:spacing w:after="0"/>
              <w:rPr>
                <w:sz w:val="19"/>
                <w:szCs w:val="19"/>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8"/>
                <w:szCs w:val="18"/>
                <w:color w:val="auto"/>
                <w:w w:val="95"/>
              </w:rPr>
              <w:t>Modified in the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Recorded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Recorded</w:t>
            </w:r>
          </w:p>
        </w:tc>
        <w:tc>
          <w:tcPr>
            <w:tcW w:w="1460" w:type="dxa"/>
            <w:vAlign w:val="bottom"/>
            <w:gridSpan w:val="2"/>
          </w:tcPr>
          <w:p>
            <w:pPr>
              <w:ind w:left="420"/>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19"/>
                <w:szCs w:val="19"/>
                <w:color w:val="auto"/>
              </w:rPr>
            </w:pPr>
          </w:p>
        </w:tc>
        <w:tc>
          <w:tcPr>
            <w:tcW w:w="1300" w:type="dxa"/>
            <w:vAlign w:val="bottom"/>
            <w:gridSpan w:val="5"/>
          </w:tcPr>
          <w:p>
            <w:pPr>
              <w:jc w:val="center"/>
              <w:ind w:right="100"/>
              <w:spacing w:after="0"/>
              <w:rPr>
                <w:sz w:val="20"/>
                <w:szCs w:val="20"/>
                <w:color w:val="auto"/>
              </w:rPr>
            </w:pPr>
            <w:r>
              <w:rPr>
                <w:rFonts w:ascii="Arial" w:cs="Arial" w:eastAsia="Arial" w:hAnsi="Arial"/>
                <w:sz w:val="18"/>
                <w:szCs w:val="18"/>
                <w:color w:val="auto"/>
                <w:w w:val="95"/>
              </w:rPr>
              <w:t>Modified in the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r>
      <w:tr>
        <w:trPr>
          <w:trHeight w:val="190"/>
        </w:trPr>
        <w:tc>
          <w:tcPr>
            <w:tcW w:w="146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360" w:type="dxa"/>
            <w:vAlign w:val="bottom"/>
          </w:tcPr>
          <w:p>
            <w:pPr>
              <w:ind w:left="20"/>
              <w:spacing w:after="0" w:line="190" w:lineRule="exact"/>
              <w:rPr>
                <w:sz w:val="20"/>
                <w:szCs w:val="20"/>
                <w:color w:val="auto"/>
              </w:rPr>
            </w:pPr>
            <w:r>
              <w:rPr>
                <w:rFonts w:ascii="Arial" w:cs="Arial" w:eastAsia="Arial" w:hAnsi="Arial"/>
                <w:sz w:val="18"/>
                <w:szCs w:val="18"/>
                <w:color w:val="auto"/>
                <w:w w:val="84"/>
              </w:rPr>
              <w:t>Debt</w:t>
            </w:r>
          </w:p>
        </w:tc>
        <w:tc>
          <w:tcPr>
            <w:tcW w:w="200" w:type="dxa"/>
            <w:vAlign w:val="bottom"/>
          </w:tcPr>
          <w:p>
            <w:pPr>
              <w:spacing w:after="0"/>
              <w:rPr>
                <w:sz w:val="16"/>
                <w:szCs w:val="16"/>
                <w:color w:val="auto"/>
              </w:rPr>
            </w:pPr>
          </w:p>
        </w:tc>
        <w:tc>
          <w:tcPr>
            <w:tcW w:w="78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0"/>
              </w:rPr>
              <w:t>Last Three</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380" w:type="dxa"/>
            <w:vAlign w:val="bottom"/>
          </w:tcPr>
          <w:p>
            <w:pPr>
              <w:ind w:left="40"/>
              <w:spacing w:after="0" w:line="190" w:lineRule="exact"/>
              <w:rPr>
                <w:sz w:val="20"/>
                <w:szCs w:val="20"/>
                <w:color w:val="auto"/>
              </w:rPr>
            </w:pPr>
            <w:r>
              <w:rPr>
                <w:rFonts w:ascii="Arial" w:cs="Arial" w:eastAsia="Arial" w:hAnsi="Arial"/>
                <w:sz w:val="18"/>
                <w:szCs w:val="18"/>
                <w:color w:val="auto"/>
                <w:w w:val="84"/>
              </w:rPr>
              <w:t>Debt</w:t>
            </w:r>
          </w:p>
        </w:tc>
        <w:tc>
          <w:tcPr>
            <w:tcW w:w="240" w:type="dxa"/>
            <w:vAlign w:val="bottom"/>
          </w:tcPr>
          <w:p>
            <w:pPr>
              <w:spacing w:after="0"/>
              <w:rPr>
                <w:sz w:val="16"/>
                <w:szCs w:val="16"/>
                <w:color w:val="auto"/>
              </w:rPr>
            </w:pPr>
          </w:p>
        </w:tc>
        <w:tc>
          <w:tcPr>
            <w:tcW w:w="1060" w:type="dxa"/>
            <w:vAlign w:val="bottom"/>
            <w:gridSpan w:val="4"/>
          </w:tcPr>
          <w:p>
            <w:pPr>
              <w:jc w:val="center"/>
              <w:ind w:right="360"/>
              <w:spacing w:after="0" w:line="190" w:lineRule="exact"/>
              <w:rPr>
                <w:sz w:val="20"/>
                <w:szCs w:val="20"/>
                <w:color w:val="auto"/>
              </w:rPr>
            </w:pPr>
            <w:r>
              <w:rPr>
                <w:rFonts w:ascii="Arial" w:cs="Arial" w:eastAsia="Arial" w:hAnsi="Arial"/>
                <w:sz w:val="18"/>
                <w:szCs w:val="18"/>
                <w:color w:val="auto"/>
                <w:w w:val="92"/>
              </w:rPr>
              <w:t>Last Nine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14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3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center"/>
              <w:ind w:right="120"/>
              <w:spacing w:after="0" w:line="196" w:lineRule="exact"/>
              <w:rPr>
                <w:sz w:val="20"/>
                <w:szCs w:val="20"/>
                <w:color w:val="auto"/>
              </w:rPr>
            </w:pPr>
            <w:r>
              <w:rPr>
                <w:rFonts w:ascii="Arial" w:cs="Arial" w:eastAsia="Arial" w:hAnsi="Arial"/>
                <w:sz w:val="18"/>
                <w:szCs w:val="18"/>
                <w:color w:val="auto"/>
                <w:w w:val="91"/>
              </w:rPr>
              <w:t>Months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center"/>
              <w:ind w:right="180"/>
              <w:spacing w:after="0" w:line="196" w:lineRule="exact"/>
              <w:rPr>
                <w:sz w:val="20"/>
                <w:szCs w:val="20"/>
                <w:color w:val="auto"/>
              </w:rPr>
            </w:pPr>
            <w:r>
              <w:rPr>
                <w:rFonts w:ascii="Arial" w:cs="Arial" w:eastAsia="Arial" w:hAnsi="Arial"/>
                <w:sz w:val="18"/>
                <w:szCs w:val="18"/>
                <w:color w:val="auto"/>
                <w:w w:val="90"/>
              </w:rPr>
              <w:t>Investment</w:t>
            </w:r>
          </w:p>
        </w:tc>
        <w:tc>
          <w:tcPr>
            <w:tcW w:w="180" w:type="dxa"/>
            <w:vAlign w:val="bottom"/>
          </w:tcPr>
          <w:p>
            <w:pPr>
              <w:spacing w:after="0"/>
              <w:rPr>
                <w:sz w:val="17"/>
                <w:szCs w:val="17"/>
                <w:color w:val="auto"/>
              </w:rPr>
            </w:pPr>
          </w:p>
        </w:tc>
        <w:tc>
          <w:tcPr>
            <w:tcW w:w="1300" w:type="dxa"/>
            <w:vAlign w:val="bottom"/>
            <w:gridSpan w:val="3"/>
          </w:tcPr>
          <w:p>
            <w:pPr>
              <w:jc w:val="center"/>
              <w:ind w:right="500"/>
              <w:spacing w:after="0" w:line="196" w:lineRule="exact"/>
              <w:rPr>
                <w:sz w:val="20"/>
                <w:szCs w:val="20"/>
                <w:color w:val="auto"/>
              </w:rPr>
            </w:pPr>
            <w:r>
              <w:rPr>
                <w:rFonts w:ascii="Arial" w:cs="Arial" w:eastAsia="Arial" w:hAnsi="Arial"/>
                <w:sz w:val="18"/>
                <w:szCs w:val="18"/>
                <w:color w:val="auto"/>
                <w:w w:val="90"/>
              </w:rPr>
              <w:t>Investment</w:t>
            </w:r>
          </w:p>
        </w:tc>
        <w:tc>
          <w:tcPr>
            <w:tcW w:w="14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4"/>
              </w:rPr>
              <w:t>Months</w:t>
            </w:r>
          </w:p>
        </w:tc>
        <w:tc>
          <w:tcPr>
            <w:tcW w:w="360" w:type="dxa"/>
            <w:vAlign w:val="bottom"/>
          </w:tcPr>
          <w:p>
            <w:pPr>
              <w:spacing w:after="0"/>
              <w:rPr>
                <w:sz w:val="17"/>
                <w:szCs w:val="17"/>
                <w:color w:val="auto"/>
              </w:rPr>
            </w:pPr>
          </w:p>
        </w:tc>
        <w:tc>
          <w:tcPr>
            <w:tcW w:w="118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Investment</w:t>
            </w:r>
          </w:p>
        </w:tc>
        <w:tc>
          <w:tcPr>
            <w:tcW w:w="11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Investment</w:t>
            </w: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 Real Estate</w:t>
            </w:r>
          </w:p>
        </w:tc>
        <w:tc>
          <w:tcPr>
            <w:tcW w:w="360" w:type="dxa"/>
            <w:vAlign w:val="bottom"/>
            <w:shd w:val="clear" w:color="auto" w:fill="CFF0FC"/>
          </w:tcPr>
          <w:p>
            <w:pPr>
              <w:spacing w:after="0"/>
              <w:rPr>
                <w:sz w:val="19"/>
                <w:szCs w:val="19"/>
                <w:color w:val="auto"/>
              </w:rPr>
            </w:pPr>
          </w:p>
        </w:tc>
        <w:tc>
          <w:tcPr>
            <w:tcW w:w="1280" w:type="dxa"/>
            <w:vAlign w:val="bottom"/>
            <w:gridSpan w:val="5"/>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 Real Estate</w:t>
            </w:r>
          </w:p>
        </w:tc>
        <w:tc>
          <w:tcPr>
            <w:tcW w:w="380" w:type="dxa"/>
            <w:vAlign w:val="bottom"/>
            <w:shd w:val="clear" w:color="auto" w:fill="CFF0FC"/>
          </w:tcPr>
          <w:p>
            <w:pPr>
              <w:spacing w:after="0"/>
              <w:rPr>
                <w:sz w:val="19"/>
                <w:szCs w:val="19"/>
                <w:color w:val="auto"/>
              </w:rPr>
            </w:pPr>
          </w:p>
        </w:tc>
        <w:tc>
          <w:tcPr>
            <w:tcW w:w="130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146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360" w:type="dxa"/>
            <w:vAlign w:val="bottom"/>
          </w:tcPr>
          <w:p>
            <w:pPr>
              <w:spacing w:after="0"/>
              <w:rPr>
                <w:sz w:val="19"/>
                <w:szCs w:val="19"/>
                <w:color w:val="auto"/>
              </w:rPr>
            </w:pPr>
          </w:p>
        </w:tc>
        <w:tc>
          <w:tcPr>
            <w:tcW w:w="128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380" w:type="dxa"/>
            <w:vAlign w:val="bottom"/>
          </w:tcPr>
          <w:p>
            <w:pPr>
              <w:spacing w:after="0"/>
              <w:rPr>
                <w:sz w:val="19"/>
                <w:szCs w:val="19"/>
                <w:color w:val="auto"/>
              </w:rPr>
            </w:pPr>
          </w:p>
        </w:tc>
        <w:tc>
          <w:tcPr>
            <w:tcW w:w="130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18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2"/>
              </w:rPr>
              <w:t>Commercial Real Estate</w:t>
            </w:r>
          </w:p>
        </w:tc>
        <w:tc>
          <w:tcPr>
            <w:tcW w:w="1280" w:type="dxa"/>
            <w:vAlign w:val="bottom"/>
            <w:gridSpan w:val="5"/>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3"/>
              </w:rPr>
              <w:t>Commercial Real Estate</w:t>
            </w:r>
          </w:p>
        </w:tc>
        <w:tc>
          <w:tcPr>
            <w:tcW w:w="130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382</w:t>
            </w:r>
          </w:p>
        </w:tc>
      </w:tr>
      <w:tr>
        <w:trPr>
          <w:trHeight w:val="215"/>
        </w:trPr>
        <w:tc>
          <w:tcPr>
            <w:tcW w:w="1460" w:type="dxa"/>
            <w:vAlign w:val="bottom"/>
            <w:gridSpan w:val="2"/>
          </w:tcPr>
          <w:p>
            <w:pPr>
              <w:spacing w:after="0"/>
              <w:rPr>
                <w:sz w:val="20"/>
                <w:szCs w:val="20"/>
                <w:color w:val="auto"/>
              </w:rPr>
            </w:pPr>
            <w:r>
              <w:rPr>
                <w:rFonts w:ascii="Arial" w:cs="Arial" w:eastAsia="Arial" w:hAnsi="Arial"/>
                <w:sz w:val="18"/>
                <w:szCs w:val="18"/>
                <w:color w:val="auto"/>
              </w:rPr>
              <w:t>Commercial and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Commercial and</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146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60" w:type="dxa"/>
            <w:vAlign w:val="bottom"/>
          </w:tcPr>
          <w:p>
            <w:pPr>
              <w:spacing w:after="0"/>
              <w:rPr>
                <w:sz w:val="20"/>
                <w:szCs w:val="20"/>
                <w:color w:val="auto"/>
              </w:rPr>
            </w:pPr>
          </w:p>
        </w:tc>
        <w:tc>
          <w:tcPr>
            <w:tcW w:w="1280" w:type="dxa"/>
            <w:vAlign w:val="bottom"/>
            <w:gridSpan w:val="5"/>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1,000</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Industrial</w:t>
            </w:r>
          </w:p>
        </w:tc>
        <w:tc>
          <w:tcPr>
            <w:tcW w:w="380" w:type="dxa"/>
            <w:vAlign w:val="bottom"/>
          </w:tcPr>
          <w:p>
            <w:pPr>
              <w:spacing w:after="0"/>
              <w:rPr>
                <w:sz w:val="20"/>
                <w:szCs w:val="20"/>
                <w:color w:val="auto"/>
              </w:rPr>
            </w:pPr>
          </w:p>
        </w:tc>
        <w:tc>
          <w:tcPr>
            <w:tcW w:w="1300" w:type="dxa"/>
            <w:vAlign w:val="bottom"/>
            <w:gridSpan w:val="5"/>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r>
      <w:tr>
        <w:trPr>
          <w:trHeight w:val="890"/>
        </w:trPr>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Pre-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8"/>
                <w:szCs w:val="18"/>
                <w:color w:val="auto"/>
                <w:w w:val="85"/>
              </w:rPr>
              <w:t>Post-</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Pre-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w:t>
            </w: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19"/>
                <w:szCs w:val="19"/>
                <w:color w:val="auto"/>
              </w:rPr>
            </w:pPr>
          </w:p>
        </w:tc>
        <w:tc>
          <w:tcPr>
            <w:tcW w:w="128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Number of</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480" w:type="dxa"/>
            <w:vAlign w:val="bottom"/>
            <w:gridSpan w:val="4"/>
          </w:tcPr>
          <w:p>
            <w:pPr>
              <w:jc w:val="center"/>
              <w:ind w:right="300"/>
              <w:spacing w:after="0"/>
              <w:rPr>
                <w:sz w:val="20"/>
                <w:szCs w:val="20"/>
                <w:color w:val="auto"/>
              </w:rPr>
            </w:pPr>
            <w:r>
              <w:rPr>
                <w:rFonts w:ascii="Arial" w:cs="Arial" w:eastAsia="Arial" w:hAnsi="Arial"/>
                <w:sz w:val="18"/>
                <w:szCs w:val="18"/>
                <w:color w:val="auto"/>
                <w:w w:val="97"/>
              </w:rPr>
              <w:t>Modification</w:t>
            </w:r>
          </w:p>
        </w:tc>
        <w:tc>
          <w:tcPr>
            <w:tcW w:w="146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380" w:type="dxa"/>
            <w:vAlign w:val="bottom"/>
          </w:tcPr>
          <w:p>
            <w:pPr>
              <w:spacing w:after="0"/>
              <w:rPr>
                <w:sz w:val="19"/>
                <w:szCs w:val="19"/>
                <w:color w:val="auto"/>
              </w:rPr>
            </w:pPr>
          </w:p>
        </w:tc>
        <w:tc>
          <w:tcPr>
            <w:tcW w:w="130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Number of</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160" w:type="dxa"/>
            <w:vAlign w:val="bottom"/>
            <w:gridSpan w:val="4"/>
          </w:tcPr>
          <w:p>
            <w:pPr>
              <w:jc w:val="center"/>
              <w:ind w:right="20"/>
              <w:spacing w:after="0"/>
              <w:rPr>
                <w:sz w:val="20"/>
                <w:szCs w:val="20"/>
                <w:color w:val="auto"/>
              </w:rPr>
            </w:pPr>
            <w:r>
              <w:rPr>
                <w:rFonts w:ascii="Arial" w:cs="Arial" w:eastAsia="Arial" w:hAnsi="Arial"/>
                <w:sz w:val="18"/>
                <w:szCs w:val="18"/>
                <w:color w:val="auto"/>
                <w:w w:val="97"/>
              </w:rPr>
              <w:t>Modification</w:t>
            </w: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w w:val="88"/>
              </w:rPr>
              <w:t>September 30, 2020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4"/>
          </w:tcPr>
          <w:p>
            <w:pPr>
              <w:jc w:val="center"/>
              <w:ind w:right="300"/>
              <w:spacing w:after="0"/>
              <w:rPr>
                <w:sz w:val="20"/>
                <w:szCs w:val="20"/>
                <w:color w:val="auto"/>
              </w:rPr>
            </w:pPr>
            <w:r>
              <w:rPr>
                <w:rFonts w:ascii="Arial" w:cs="Arial" w:eastAsia="Arial" w:hAnsi="Arial"/>
                <w:sz w:val="18"/>
                <w:szCs w:val="18"/>
                <w:color w:val="auto"/>
                <w:w w:val="90"/>
              </w:rPr>
              <w:t>Contracts</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c>
          <w:tcPr>
            <w:tcW w:w="148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Outstanding</w:t>
            </w:r>
          </w:p>
        </w:tc>
        <w:tc>
          <w:tcPr>
            <w:tcW w:w="1460" w:type="dxa"/>
            <w:vAlign w:val="bottom"/>
            <w:gridSpan w:val="2"/>
          </w:tcPr>
          <w:p>
            <w:pPr>
              <w:spacing w:after="0"/>
              <w:rPr>
                <w:sz w:val="20"/>
                <w:szCs w:val="20"/>
                <w:color w:val="auto"/>
              </w:rPr>
            </w:pPr>
            <w:r>
              <w:rPr>
                <w:rFonts w:ascii="Arial" w:cs="Arial" w:eastAsia="Arial" w:hAnsi="Arial"/>
                <w:sz w:val="18"/>
                <w:szCs w:val="18"/>
                <w:color w:val="auto"/>
                <w:w w:val="88"/>
              </w:rPr>
              <w:t>September 30, 2020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4"/>
          </w:tcPr>
          <w:p>
            <w:pPr>
              <w:jc w:val="center"/>
              <w:ind w:right="340"/>
              <w:spacing w:after="0"/>
              <w:rPr>
                <w:sz w:val="20"/>
                <w:szCs w:val="20"/>
                <w:color w:val="auto"/>
              </w:rPr>
            </w:pPr>
            <w:r>
              <w:rPr>
                <w:rFonts w:ascii="Arial" w:cs="Arial" w:eastAsia="Arial" w:hAnsi="Arial"/>
                <w:sz w:val="18"/>
                <w:szCs w:val="18"/>
                <w:color w:val="auto"/>
                <w:w w:val="88"/>
              </w:rPr>
              <w:t>Contracts</w:t>
            </w:r>
          </w:p>
        </w:tc>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c>
          <w:tcPr>
            <w:tcW w:w="1160" w:type="dxa"/>
            <w:vAlign w:val="bottom"/>
            <w:gridSpan w:val="4"/>
          </w:tcPr>
          <w:p>
            <w:pPr>
              <w:jc w:val="center"/>
              <w:spacing w:after="0"/>
              <w:rPr>
                <w:sz w:val="20"/>
                <w:szCs w:val="20"/>
                <w:color w:val="auto"/>
              </w:rPr>
            </w:pPr>
            <w:r>
              <w:rPr>
                <w:rFonts w:ascii="Arial" w:cs="Arial" w:eastAsia="Arial" w:hAnsi="Arial"/>
                <w:sz w:val="18"/>
                <w:szCs w:val="18"/>
                <w:color w:val="auto"/>
                <w:w w:val="90"/>
              </w:rPr>
              <w:t>Outstanding</w:t>
            </w:r>
          </w:p>
        </w:tc>
      </w:tr>
      <w:tr>
        <w:trPr>
          <w:trHeight w:val="230"/>
        </w:trPr>
        <w:tc>
          <w:tcPr>
            <w:tcW w:w="1460" w:type="dxa"/>
            <w:vAlign w:val="bottom"/>
            <w:gridSpan w:val="2"/>
          </w:tcPr>
          <w:p>
            <w:pPr>
              <w:ind w:left="400"/>
              <w:spacing w:after="0"/>
              <w:rPr>
                <w:sz w:val="20"/>
                <w:szCs w:val="20"/>
                <w:color w:val="auto"/>
              </w:rPr>
            </w:pPr>
            <w:r>
              <w:rPr>
                <w:rFonts w:ascii="Arial" w:cs="Arial" w:eastAsia="Arial" w:hAnsi="Arial"/>
                <w:sz w:val="18"/>
                <w:szCs w:val="18"/>
                <w:color w:val="auto"/>
                <w:w w:val="91"/>
              </w:rPr>
              <w:t>(in thousands)</w:t>
            </w:r>
          </w:p>
        </w:tc>
        <w:tc>
          <w:tcPr>
            <w:tcW w:w="360" w:type="dxa"/>
            <w:vAlign w:val="bottom"/>
          </w:tcPr>
          <w:p>
            <w:pPr>
              <w:spacing w:after="0"/>
              <w:rPr>
                <w:sz w:val="19"/>
                <w:szCs w:val="19"/>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8"/>
                <w:szCs w:val="18"/>
                <w:color w:val="auto"/>
                <w:w w:val="95"/>
              </w:rPr>
              <w:t>Modified in the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Recorded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Recorded</w:t>
            </w:r>
          </w:p>
        </w:tc>
        <w:tc>
          <w:tcPr>
            <w:tcW w:w="1460" w:type="dxa"/>
            <w:vAlign w:val="bottom"/>
            <w:gridSpan w:val="2"/>
          </w:tcPr>
          <w:p>
            <w:pPr>
              <w:ind w:left="420"/>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19"/>
                <w:szCs w:val="19"/>
                <w:color w:val="auto"/>
              </w:rPr>
            </w:pPr>
          </w:p>
        </w:tc>
        <w:tc>
          <w:tcPr>
            <w:tcW w:w="1300" w:type="dxa"/>
            <w:vAlign w:val="bottom"/>
            <w:gridSpan w:val="5"/>
          </w:tcPr>
          <w:p>
            <w:pPr>
              <w:jc w:val="center"/>
              <w:ind w:right="100"/>
              <w:spacing w:after="0"/>
              <w:rPr>
                <w:sz w:val="20"/>
                <w:szCs w:val="20"/>
                <w:color w:val="auto"/>
              </w:rPr>
            </w:pPr>
            <w:r>
              <w:rPr>
                <w:rFonts w:ascii="Arial" w:cs="Arial" w:eastAsia="Arial" w:hAnsi="Arial"/>
                <w:sz w:val="18"/>
                <w:szCs w:val="18"/>
                <w:color w:val="auto"/>
                <w:w w:val="95"/>
              </w:rPr>
              <w:t>Modified in the</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r>
      <w:tr>
        <w:trPr>
          <w:trHeight w:val="190"/>
        </w:trPr>
        <w:tc>
          <w:tcPr>
            <w:tcW w:w="146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360" w:type="dxa"/>
            <w:vAlign w:val="bottom"/>
          </w:tcPr>
          <w:p>
            <w:pPr>
              <w:ind w:left="20"/>
              <w:spacing w:after="0" w:line="190" w:lineRule="exact"/>
              <w:rPr>
                <w:sz w:val="20"/>
                <w:szCs w:val="20"/>
                <w:color w:val="auto"/>
              </w:rPr>
            </w:pPr>
            <w:r>
              <w:rPr>
                <w:rFonts w:ascii="Arial" w:cs="Arial" w:eastAsia="Arial" w:hAnsi="Arial"/>
                <w:sz w:val="18"/>
                <w:szCs w:val="18"/>
                <w:color w:val="auto"/>
                <w:w w:val="84"/>
              </w:rPr>
              <w:t>Debt</w:t>
            </w:r>
          </w:p>
        </w:tc>
        <w:tc>
          <w:tcPr>
            <w:tcW w:w="200" w:type="dxa"/>
            <w:vAlign w:val="bottom"/>
          </w:tcPr>
          <w:p>
            <w:pPr>
              <w:spacing w:after="0"/>
              <w:rPr>
                <w:sz w:val="16"/>
                <w:szCs w:val="16"/>
                <w:color w:val="auto"/>
              </w:rPr>
            </w:pPr>
          </w:p>
        </w:tc>
        <w:tc>
          <w:tcPr>
            <w:tcW w:w="78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0"/>
              </w:rPr>
              <w:t>Last Three</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2"/>
          </w:tcPr>
          <w:p>
            <w:pPr>
              <w:spacing w:after="0" w:line="190" w:lineRule="exact"/>
              <w:rPr>
                <w:sz w:val="20"/>
                <w:szCs w:val="20"/>
                <w:color w:val="auto"/>
              </w:rPr>
            </w:pPr>
            <w:r>
              <w:rPr>
                <w:rFonts w:ascii="Arial" w:cs="Arial" w:eastAsia="Arial" w:hAnsi="Arial"/>
                <w:sz w:val="18"/>
                <w:szCs w:val="18"/>
                <w:color w:val="auto"/>
              </w:rPr>
              <w:t>Troubled</w:t>
            </w:r>
          </w:p>
        </w:tc>
        <w:tc>
          <w:tcPr>
            <w:tcW w:w="380" w:type="dxa"/>
            <w:vAlign w:val="bottom"/>
          </w:tcPr>
          <w:p>
            <w:pPr>
              <w:ind w:left="40"/>
              <w:spacing w:after="0" w:line="190" w:lineRule="exact"/>
              <w:rPr>
                <w:sz w:val="20"/>
                <w:szCs w:val="20"/>
                <w:color w:val="auto"/>
              </w:rPr>
            </w:pPr>
            <w:r>
              <w:rPr>
                <w:rFonts w:ascii="Arial" w:cs="Arial" w:eastAsia="Arial" w:hAnsi="Arial"/>
                <w:sz w:val="18"/>
                <w:szCs w:val="18"/>
                <w:color w:val="auto"/>
                <w:w w:val="84"/>
              </w:rPr>
              <w:t>Debt</w:t>
            </w:r>
          </w:p>
        </w:tc>
        <w:tc>
          <w:tcPr>
            <w:tcW w:w="240" w:type="dxa"/>
            <w:vAlign w:val="bottom"/>
          </w:tcPr>
          <w:p>
            <w:pPr>
              <w:spacing w:after="0"/>
              <w:rPr>
                <w:sz w:val="16"/>
                <w:szCs w:val="16"/>
                <w:color w:val="auto"/>
              </w:rPr>
            </w:pPr>
          </w:p>
        </w:tc>
        <w:tc>
          <w:tcPr>
            <w:tcW w:w="1060" w:type="dxa"/>
            <w:vAlign w:val="bottom"/>
            <w:gridSpan w:val="4"/>
          </w:tcPr>
          <w:p>
            <w:pPr>
              <w:jc w:val="center"/>
              <w:ind w:right="360"/>
              <w:spacing w:after="0" w:line="190" w:lineRule="exact"/>
              <w:rPr>
                <w:sz w:val="20"/>
                <w:szCs w:val="20"/>
                <w:color w:val="auto"/>
              </w:rPr>
            </w:pPr>
            <w:r>
              <w:rPr>
                <w:rFonts w:ascii="Arial" w:cs="Arial" w:eastAsia="Arial" w:hAnsi="Arial"/>
                <w:sz w:val="18"/>
                <w:szCs w:val="18"/>
                <w:color w:val="auto"/>
                <w:w w:val="92"/>
              </w:rPr>
              <w:t>Last Nine</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14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3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center"/>
              <w:ind w:right="120"/>
              <w:spacing w:after="0" w:line="196" w:lineRule="exact"/>
              <w:rPr>
                <w:sz w:val="20"/>
                <w:szCs w:val="20"/>
                <w:color w:val="auto"/>
              </w:rPr>
            </w:pPr>
            <w:r>
              <w:rPr>
                <w:rFonts w:ascii="Arial" w:cs="Arial" w:eastAsia="Arial" w:hAnsi="Arial"/>
                <w:sz w:val="18"/>
                <w:szCs w:val="18"/>
                <w:color w:val="auto"/>
                <w:w w:val="91"/>
              </w:rPr>
              <w:t>Months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center"/>
              <w:ind w:right="180"/>
              <w:spacing w:after="0" w:line="196" w:lineRule="exact"/>
              <w:rPr>
                <w:sz w:val="20"/>
                <w:szCs w:val="20"/>
                <w:color w:val="auto"/>
              </w:rPr>
            </w:pPr>
            <w:r>
              <w:rPr>
                <w:rFonts w:ascii="Arial" w:cs="Arial" w:eastAsia="Arial" w:hAnsi="Arial"/>
                <w:sz w:val="18"/>
                <w:szCs w:val="18"/>
                <w:color w:val="auto"/>
                <w:w w:val="90"/>
              </w:rPr>
              <w:t>Investment</w:t>
            </w:r>
          </w:p>
        </w:tc>
        <w:tc>
          <w:tcPr>
            <w:tcW w:w="180" w:type="dxa"/>
            <w:vAlign w:val="bottom"/>
          </w:tcPr>
          <w:p>
            <w:pPr>
              <w:spacing w:after="0"/>
              <w:rPr>
                <w:sz w:val="17"/>
                <w:szCs w:val="17"/>
                <w:color w:val="auto"/>
              </w:rPr>
            </w:pPr>
          </w:p>
        </w:tc>
        <w:tc>
          <w:tcPr>
            <w:tcW w:w="1300" w:type="dxa"/>
            <w:vAlign w:val="bottom"/>
            <w:gridSpan w:val="3"/>
          </w:tcPr>
          <w:p>
            <w:pPr>
              <w:jc w:val="center"/>
              <w:ind w:right="500"/>
              <w:spacing w:after="0" w:line="196" w:lineRule="exact"/>
              <w:rPr>
                <w:sz w:val="20"/>
                <w:szCs w:val="20"/>
                <w:color w:val="auto"/>
              </w:rPr>
            </w:pPr>
            <w:r>
              <w:rPr>
                <w:rFonts w:ascii="Arial" w:cs="Arial" w:eastAsia="Arial" w:hAnsi="Arial"/>
                <w:sz w:val="18"/>
                <w:szCs w:val="18"/>
                <w:color w:val="auto"/>
                <w:w w:val="90"/>
              </w:rPr>
              <w:t>Investment</w:t>
            </w:r>
          </w:p>
        </w:tc>
        <w:tc>
          <w:tcPr>
            <w:tcW w:w="14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Restructurings</w:t>
            </w: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4"/>
              </w:rPr>
              <w:t>Months</w:t>
            </w:r>
          </w:p>
        </w:tc>
        <w:tc>
          <w:tcPr>
            <w:tcW w:w="360" w:type="dxa"/>
            <w:vAlign w:val="bottom"/>
          </w:tcPr>
          <w:p>
            <w:pPr>
              <w:spacing w:after="0"/>
              <w:rPr>
                <w:sz w:val="17"/>
                <w:szCs w:val="17"/>
                <w:color w:val="auto"/>
              </w:rPr>
            </w:pPr>
          </w:p>
        </w:tc>
        <w:tc>
          <w:tcPr>
            <w:tcW w:w="118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Investment</w:t>
            </w:r>
          </w:p>
        </w:tc>
        <w:tc>
          <w:tcPr>
            <w:tcW w:w="11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0"/>
              </w:rPr>
              <w:t>Investment</w:t>
            </w:r>
          </w:p>
        </w:tc>
      </w:tr>
      <w:tr>
        <w:trPr>
          <w:trHeight w:val="21"/>
        </w:trPr>
        <w:tc>
          <w:tcPr>
            <w:tcW w:w="10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1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 Real Estate</w:t>
            </w:r>
          </w:p>
        </w:tc>
        <w:tc>
          <w:tcPr>
            <w:tcW w:w="360" w:type="dxa"/>
            <w:vAlign w:val="bottom"/>
            <w:shd w:val="clear" w:color="auto" w:fill="CFF0FC"/>
          </w:tcPr>
          <w:p>
            <w:pPr>
              <w:spacing w:after="0"/>
              <w:rPr>
                <w:sz w:val="19"/>
                <w:szCs w:val="19"/>
                <w:color w:val="auto"/>
              </w:rPr>
            </w:pPr>
          </w:p>
        </w:tc>
        <w:tc>
          <w:tcPr>
            <w:tcW w:w="1280" w:type="dxa"/>
            <w:vAlign w:val="bottom"/>
            <w:gridSpan w:val="5"/>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 Real Estate</w:t>
            </w:r>
          </w:p>
        </w:tc>
        <w:tc>
          <w:tcPr>
            <w:tcW w:w="380" w:type="dxa"/>
            <w:vAlign w:val="bottom"/>
            <w:shd w:val="clear" w:color="auto" w:fill="CFF0FC"/>
          </w:tcPr>
          <w:p>
            <w:pPr>
              <w:spacing w:after="0"/>
              <w:rPr>
                <w:sz w:val="19"/>
                <w:szCs w:val="19"/>
                <w:color w:val="auto"/>
              </w:rPr>
            </w:pPr>
          </w:p>
        </w:tc>
        <w:tc>
          <w:tcPr>
            <w:tcW w:w="130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5,380</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5,380</w:t>
            </w: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360" w:type="dxa"/>
            <w:vAlign w:val="bottom"/>
          </w:tcPr>
          <w:p>
            <w:pPr>
              <w:spacing w:after="0"/>
              <w:rPr>
                <w:sz w:val="19"/>
                <w:szCs w:val="19"/>
                <w:color w:val="auto"/>
              </w:rPr>
            </w:pPr>
          </w:p>
        </w:tc>
        <w:tc>
          <w:tcPr>
            <w:tcW w:w="128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380" w:type="dxa"/>
            <w:vAlign w:val="bottom"/>
          </w:tcPr>
          <w:p>
            <w:pPr>
              <w:spacing w:after="0"/>
              <w:rPr>
                <w:sz w:val="19"/>
                <w:szCs w:val="19"/>
                <w:color w:val="auto"/>
              </w:rPr>
            </w:pPr>
          </w:p>
        </w:tc>
        <w:tc>
          <w:tcPr>
            <w:tcW w:w="1300" w:type="dxa"/>
            <w:vAlign w:val="bottom"/>
            <w:gridSpan w:val="5"/>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r>
      <w:tr>
        <w:trPr>
          <w:trHeight w:val="230"/>
        </w:trPr>
        <w:tc>
          <w:tcPr>
            <w:tcW w:w="18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2"/>
              </w:rPr>
              <w:t>Commercial Real Estate</w:t>
            </w:r>
          </w:p>
        </w:tc>
        <w:tc>
          <w:tcPr>
            <w:tcW w:w="1280" w:type="dxa"/>
            <w:vAlign w:val="bottom"/>
            <w:gridSpan w:val="5"/>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3"/>
              </w:rPr>
              <w:t>Commercial Real Estate</w:t>
            </w:r>
          </w:p>
        </w:tc>
        <w:tc>
          <w:tcPr>
            <w:tcW w:w="130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981</w:t>
            </w:r>
          </w:p>
        </w:tc>
      </w:tr>
      <w:tr>
        <w:trPr>
          <w:trHeight w:val="215"/>
        </w:trPr>
        <w:tc>
          <w:tcPr>
            <w:tcW w:w="1460" w:type="dxa"/>
            <w:vAlign w:val="bottom"/>
            <w:gridSpan w:val="2"/>
          </w:tcPr>
          <w:p>
            <w:pPr>
              <w:spacing w:after="0"/>
              <w:rPr>
                <w:sz w:val="20"/>
                <w:szCs w:val="20"/>
                <w:color w:val="auto"/>
              </w:rPr>
            </w:pPr>
            <w:r>
              <w:rPr>
                <w:rFonts w:ascii="Arial" w:cs="Arial" w:eastAsia="Arial" w:hAnsi="Arial"/>
                <w:sz w:val="18"/>
                <w:szCs w:val="18"/>
                <w:color w:val="auto"/>
              </w:rPr>
              <w:t>Commercial and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Commercial and</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146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60" w:type="dxa"/>
            <w:vAlign w:val="bottom"/>
          </w:tcPr>
          <w:p>
            <w:pPr>
              <w:spacing w:after="0"/>
              <w:rPr>
                <w:sz w:val="20"/>
                <w:szCs w:val="20"/>
                <w:color w:val="auto"/>
              </w:rPr>
            </w:pPr>
          </w:p>
        </w:tc>
        <w:tc>
          <w:tcPr>
            <w:tcW w:w="1280" w:type="dxa"/>
            <w:vAlign w:val="bottom"/>
            <w:gridSpan w:val="5"/>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50</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Industrial</w:t>
            </w:r>
          </w:p>
        </w:tc>
        <w:tc>
          <w:tcPr>
            <w:tcW w:w="380" w:type="dxa"/>
            <w:vAlign w:val="bottom"/>
          </w:tcPr>
          <w:p>
            <w:pPr>
              <w:spacing w:after="0"/>
              <w:rPr>
                <w:sz w:val="20"/>
                <w:szCs w:val="20"/>
                <w:color w:val="auto"/>
              </w:rPr>
            </w:pPr>
          </w:p>
        </w:tc>
        <w:tc>
          <w:tcPr>
            <w:tcW w:w="1300" w:type="dxa"/>
            <w:vAlign w:val="bottom"/>
            <w:gridSpan w:val="5"/>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 three and nine month periods ended September 30, 2021 and 2020, there were no TDRs that subsequently defaulted after modification.</w:t>
      </w:r>
    </w:p>
    <w:p>
      <w:pPr>
        <w:spacing w:after="0" w:line="221"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For the nine month period ended September 30, 2021, there was one impaired commercial real estate loan of $86 thousand and one impaired commercial loan of $480 thousand that were classified as TDR paid off as well as three impaired commercial loans of $809 thousand that were classified as TDR charged off. There was one impaired commercial real estate loan of $481 thousand that was classified as TDR paid off for the nine month period ended September 30, 2020.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47" w:lineRule="exact"/>
        <w:rPr>
          <w:sz w:val="20"/>
          <w:szCs w:val="20"/>
          <w:color w:val="auto"/>
        </w:rPr>
      </w:pPr>
    </w:p>
    <w:p>
      <w:pPr>
        <w:jc w:val="both"/>
        <w:ind w:left="560"/>
        <w:spacing w:after="0" w:line="290"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38"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the three and nine months ended September 30, 2021 and September 30, 2020 and for the year ended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w w:val="99"/>
              </w:rPr>
              <w:t>QTD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Three Months Ended September 30, 2021</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3,427</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6,051</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6,151</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FF0FC"/>
            </w:tcBorders>
            <w:vMerge w:val="continue"/>
          </w:tcPr>
          <w:p>
            <w:pPr>
              <w:spacing w:after="0"/>
              <w:rPr>
                <w:sz w:val="21"/>
                <w:szCs w:val="21"/>
                <w:color w:val="auto"/>
              </w:rPr>
            </w:pPr>
          </w:p>
        </w:tc>
        <w:tc>
          <w:tcPr>
            <w:tcW w:w="8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FF0FC"/>
            </w:tcBorders>
            <w:vMerge w:val="continue"/>
          </w:tcPr>
          <w:p>
            <w:pPr>
              <w:spacing w:after="0"/>
              <w:rPr>
                <w:sz w:val="21"/>
                <w:szCs w:val="21"/>
                <w:color w:val="auto"/>
              </w:rPr>
            </w:pPr>
          </w:p>
        </w:tc>
        <w:tc>
          <w:tcPr>
            <w:tcW w:w="8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140"/>
              <w:spacing w:after="0"/>
              <w:rPr>
                <w:sz w:val="20"/>
                <w:szCs w:val="20"/>
                <w:color w:val="auto"/>
              </w:rPr>
            </w:pPr>
            <w:r>
              <w:rPr>
                <w:rFonts w:ascii="Arial" w:cs="Arial" w:eastAsia="Arial" w:hAnsi="Arial"/>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8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2,328</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1,001</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6,756</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6,759</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140"/>
              <w:spacing w:after="0"/>
              <w:rPr>
                <w:sz w:val="20"/>
                <w:szCs w:val="20"/>
                <w:color w:val="auto"/>
              </w:rPr>
            </w:pPr>
            <w:r>
              <w:rPr>
                <w:rFonts w:ascii="Arial" w:cs="Arial" w:eastAsia="Arial" w:hAnsi="Arial"/>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w w:val="99"/>
              </w:rPr>
              <w:t>QTD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Three Months Ended September 30, 2020</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7"/>
              </w:rPr>
              <w:t>Recorded</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2,021</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5,425</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3,033</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985</w:t>
            </w:r>
          </w:p>
        </w:tc>
        <w:tc>
          <w:tcPr>
            <w:tcW w:w="16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16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6,323</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140"/>
              <w:spacing w:after="0"/>
              <w:rPr>
                <w:sz w:val="20"/>
                <w:szCs w:val="20"/>
                <w:color w:val="auto"/>
              </w:rPr>
            </w:pPr>
            <w:r>
              <w:rPr>
                <w:rFonts w:ascii="Arial" w:cs="Arial" w:eastAsia="Arial" w:hAnsi="Arial"/>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rPr>
              <w:t>YTD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9"/>
              </w:rPr>
              <w:t>YTD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Nine Months Ended September 30, 2021</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3,427</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6,051</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140"/>
              <w:spacing w:after="0"/>
              <w:rPr>
                <w:sz w:val="20"/>
                <w:szCs w:val="20"/>
                <w:color w:val="auto"/>
              </w:rPr>
            </w:pPr>
            <w:r>
              <w:rPr>
                <w:rFonts w:ascii="Arial" w:cs="Arial" w:eastAsia="Arial" w:hAnsi="Arial"/>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color w:val="auto"/>
              </w:rPr>
              <w:t>YTD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9"/>
              </w:rPr>
              <w:t>YTD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Nine Months Ended September 30, 2020</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5"/>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0"/>
              </w:rPr>
              <w:t>Investment</w:t>
            </w:r>
          </w:p>
        </w:tc>
        <w:tc>
          <w:tcPr>
            <w:tcW w:w="1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Recognized</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5,425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3,033</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00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985</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jc w:val="both"/>
        <w:ind w:left="560"/>
        <w:spacing w:after="0" w:line="272" w:lineRule="auto"/>
        <w:rPr>
          <w:sz w:val="20"/>
          <w:szCs w:val="20"/>
          <w:color w:val="auto"/>
        </w:rPr>
      </w:pPr>
      <w:r>
        <w:rPr>
          <w:rFonts w:ascii="Arial" w:cs="Arial" w:eastAsia="Arial" w:hAnsi="Arial"/>
          <w:sz w:val="17"/>
          <w:szCs w:val="17"/>
          <w:color w:val="auto"/>
        </w:rPr>
        <w:t>As of September 30, 2021, the Company had $167 thousand of foreclosed residential real estate property obtained by physical possession and $129 thousand of consumer mortgage loans secured by residential real estate properties for which foreclosure proceedings are in process according to local jurisdictions. This compares to the Company having $71 thousand of foreclosed residential real estate property obtained by physical possession and $910 thousand of consumer mortgage loans secured by residential real estate properties for which foreclosure proceeding are in process according to local jurisdictions as of December 31, 2020. As of September 30, 2020, the Company had $71 thousand of foreclosed residential real estate property obtained by physical possession and $849 thousand of consumer mortgage loans secured by residential real estate properties for which foreclosure proceedings were in process according to local jurisdictions.</w:t>
      </w:r>
    </w:p>
    <w:p>
      <w:pPr>
        <w:spacing w:after="0" w:line="137"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(In Thousands)</w:t>
            </w:r>
          </w:p>
        </w:tc>
      </w:tr>
      <w:tr>
        <w:trPr>
          <w:trHeight w:val="209"/>
        </w:trPr>
        <w:tc>
          <w:tcPr>
            <w:tcW w:w="4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Nine Months</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Twelve Months</w:t>
            </w:r>
          </w:p>
        </w:tc>
      </w:tr>
      <w:tr>
        <w:trPr>
          <w:trHeight w:val="229"/>
        </w:trPr>
        <w:tc>
          <w:tcPr>
            <w:tcW w:w="4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9"/>
                <w:szCs w:val="19"/>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88"/>
              </w:rPr>
              <w:t>Ended</w:t>
            </w:r>
          </w:p>
        </w:tc>
      </w:tr>
      <w:tr>
        <w:trPr>
          <w:trHeight w:val="216"/>
        </w:trPr>
        <w:tc>
          <w:tcPr>
            <w:tcW w:w="4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26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430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2021</w:t>
            </w: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2020</w:t>
            </w: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&amp; Lease Losses</w:t>
            </w: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13,672</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7,228</w:t>
            </w:r>
          </w:p>
        </w:tc>
      </w:tr>
      <w:tr>
        <w:trPr>
          <w:trHeight w:val="229"/>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6,981</w:t>
            </w: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8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183</w:t>
            </w: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Loan &amp; Lease Losses</w:t>
            </w:r>
          </w:p>
        </w:tc>
        <w:tc>
          <w:tcPr>
            <w:tcW w:w="8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15,698</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13,672</w:t>
            </w:r>
          </w:p>
        </w:tc>
      </w:tr>
      <w:tr>
        <w:trPr>
          <w:trHeight w:val="20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 &amp;</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Letters of Credit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641</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16,737</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14,313</w:t>
            </w:r>
          </w:p>
        </w:tc>
      </w:tr>
      <w:tr>
        <w:trPr>
          <w:trHeight w:val="20"/>
        </w:trPr>
        <w:tc>
          <w:tcPr>
            <w:tcW w:w="4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97"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The ALLL does not include an accretable yield of $2.0 million and $1.7 million as of September 30, 2021 and December 31, 2020, respectively nor a nonaccretable yield of $325 thousand as of September 30, 2021 related to the acquisitions of Bank of Geneva in 2019 and Ossian State Bank in 2021 as previously discussed in Note 2.</w:t>
      </w:r>
    </w:p>
    <w:p>
      <w:pPr>
        <w:spacing w:after="0" w:line="157"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right="3560" w:hanging="1419"/>
        <w:spacing w:after="0" w:line="809" w:lineRule="auto"/>
        <w:tabs>
          <w:tab w:leader="none" w:pos="42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Remainder of this page intentionally left blank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54" w:lineRule="exact"/>
        <w:rPr>
          <w:sz w:val="20"/>
          <w:szCs w:val="20"/>
          <w:color w:val="auto"/>
        </w:rPr>
      </w:pPr>
    </w:p>
    <w:p>
      <w:pPr>
        <w:ind w:left="760" w:right="160"/>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97"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the three and nine months ended September 30, 2021 and September 30, 2020 in addition to the ending balances as of December 31, 2020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Unfunded</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Loan</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Commitment</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1"/>
              </w:rPr>
              <w:t>Consumer</w:t>
            </w:r>
          </w:p>
        </w:tc>
        <w:tc>
          <w:tcPr>
            <w:tcW w:w="10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Agricultural</w:t>
            </w: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Commercial</w:t>
            </w:r>
          </w:p>
        </w:tc>
        <w:tc>
          <w:tcPr>
            <w:tcW w:w="116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Commercial</w:t>
            </w: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8"/>
              </w:rPr>
              <w:t>Real Estate</w:t>
            </w:r>
          </w:p>
        </w:tc>
        <w:tc>
          <w:tcPr>
            <w:tcW w:w="108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4"/>
              </w:rPr>
              <w:t>Real Estate</w:t>
            </w:r>
          </w:p>
        </w:tc>
        <w:tc>
          <w:tcPr>
            <w:tcW w:w="10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Agricultural</w:t>
            </w:r>
          </w:p>
        </w:tc>
        <w:tc>
          <w:tcPr>
            <w:tcW w:w="110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6"/>
              </w:rPr>
              <w:t>Real Estate</w:t>
            </w:r>
          </w:p>
        </w:tc>
        <w:tc>
          <w:tcPr>
            <w:tcW w:w="11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Consumer</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1"/>
              </w:rPr>
              <w:t>Credit</w:t>
            </w:r>
          </w:p>
        </w:tc>
        <w:tc>
          <w:tcPr>
            <w:tcW w:w="1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Unallocated</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0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Three</w:t>
            </w:r>
          </w:p>
        </w:tc>
        <w:tc>
          <w:tcPr>
            <w:tcW w:w="72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b w:val="1"/>
                <w:bCs w:val="1"/>
                <w:color w:val="auto"/>
              </w:rPr>
              <w:t>Months</w:t>
            </w:r>
          </w:p>
        </w:tc>
        <w:tc>
          <w:tcPr>
            <w:tcW w:w="1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Ended</w:t>
            </w: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tcBorders>
              <w:right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6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1,217</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720</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8,831</w:t>
            </w:r>
          </w:p>
        </w:tc>
        <w:tc>
          <w:tcPr>
            <w:tcW w:w="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2,837</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613</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1,145</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29"/>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174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16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973</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5"/>
        </w:trPr>
        <w:tc>
          <w:tcPr>
            <w:tcW w:w="1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8"/>
              </w:rPr>
              <w:t>Other Non-interest</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8"/>
              </w:rPr>
              <w:t>expense related to</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63"/>
        </w:trPr>
        <w:tc>
          <w:tcPr>
            <w:tcW w:w="1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796</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926</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687</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8,365</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3,814</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606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1,039</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16,737</w:t>
            </w:r>
          </w:p>
        </w:tc>
        <w:tc>
          <w:tcPr>
            <w:tcW w:w="0" w:type="dxa"/>
            <w:vAlign w:val="bottom"/>
          </w:tcPr>
          <w:p>
            <w:pPr>
              <w:spacing w:after="0"/>
              <w:rPr>
                <w:sz w:val="1"/>
                <w:szCs w:val="1"/>
                <w:color w:val="auto"/>
              </w:rPr>
            </w:pPr>
          </w:p>
        </w:tc>
      </w:tr>
      <w:tr>
        <w:trPr>
          <w:trHeight w:val="196"/>
        </w:trPr>
        <w:tc>
          <w:tcPr>
            <w:tcW w:w="10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99"/>
              </w:rPr>
              <w:t>balance:</w:t>
            </w:r>
          </w:p>
        </w:tc>
        <w:tc>
          <w:tcPr>
            <w:tcW w:w="1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636</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710</w:t>
            </w:r>
          </w:p>
        </w:tc>
        <w:tc>
          <w:tcPr>
            <w:tcW w:w="3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Ending</w:t>
            </w: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w w:val="99"/>
              </w:rPr>
              <w:t>balance:</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796</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290</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633</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7,655</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2,814</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606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1,039</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14,337</w:t>
            </w:r>
          </w:p>
        </w:tc>
        <w:tc>
          <w:tcPr>
            <w:tcW w:w="0" w:type="dxa"/>
            <w:vAlign w:val="bottom"/>
          </w:tcPr>
          <w:p>
            <w:pPr>
              <w:spacing w:after="0"/>
              <w:rPr>
                <w:sz w:val="1"/>
                <w:szCs w:val="1"/>
                <w:color w:val="auto"/>
              </w:rPr>
            </w:pPr>
          </w:p>
        </w:tc>
      </w:tr>
      <w:tr>
        <w:trPr>
          <w:trHeight w:val="196"/>
        </w:trPr>
        <w:tc>
          <w:tcPr>
            <w:tcW w:w="174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w w:val="97"/>
              </w:rPr>
              <w:t>Ending balance: loans</w:t>
            </w:r>
          </w:p>
        </w:tc>
        <w:tc>
          <w:tcPr>
            <w:tcW w:w="1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spacing w:after="0"/>
              <w:rPr>
                <w:sz w:val="20"/>
                <w:szCs w:val="20"/>
                <w:color w:val="auto"/>
              </w:rPr>
            </w:pPr>
            <w:r>
              <w:rPr>
                <w:rFonts w:ascii="Arial" w:cs="Arial" w:eastAsia="Arial" w:hAnsi="Arial"/>
                <w:sz w:val="18"/>
                <w:szCs w:val="18"/>
                <w:color w:val="auto"/>
                <w:w w:val="94"/>
              </w:rPr>
              <w:t>acquired with</w:t>
            </w: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w w:val="99"/>
              </w:rPr>
              <w:t>deteriorated credit</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quality</w:t>
            </w:r>
          </w:p>
        </w:tc>
        <w:tc>
          <w:tcPr>
            <w:tcW w:w="7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5"/>
              </w:rPr>
              <w:t>202,370</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179,051</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105,722</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727,418</w:t>
            </w:r>
          </w:p>
        </w:tc>
        <w:tc>
          <w:tcPr>
            <w:tcW w:w="3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225,382</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55,619</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1,495,562</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Ending</w:t>
            </w: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w w:val="99"/>
              </w:rPr>
              <w:t>balance:</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714</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6,051</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247</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3,607</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1,215</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11,849</w:t>
            </w:r>
          </w:p>
        </w:tc>
        <w:tc>
          <w:tcPr>
            <w:tcW w:w="0" w:type="dxa"/>
            <w:vAlign w:val="bottom"/>
          </w:tcPr>
          <w:p>
            <w:pPr>
              <w:spacing w:after="0"/>
              <w:rPr>
                <w:sz w:val="1"/>
                <w:szCs w:val="1"/>
                <w:color w:val="auto"/>
              </w:rPr>
            </w:pPr>
          </w:p>
        </w:tc>
      </w:tr>
      <w:tr>
        <w:trPr>
          <w:trHeight w:val="196"/>
        </w:trPr>
        <w:tc>
          <w:tcPr>
            <w:tcW w:w="10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99"/>
              </w:rPr>
              <w:t>balance:</w:t>
            </w:r>
          </w:p>
        </w:tc>
        <w:tc>
          <w:tcPr>
            <w:tcW w:w="1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5"/>
              </w:rPr>
              <w:t>201,595</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173,000</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105,475</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723,577</w:t>
            </w:r>
          </w:p>
        </w:tc>
        <w:tc>
          <w:tcPr>
            <w:tcW w:w="3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223,803</w:t>
            </w: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55,604</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1,483,054</w:t>
            </w:r>
          </w:p>
        </w:tc>
        <w:tc>
          <w:tcPr>
            <w:tcW w:w="0" w:type="dxa"/>
            <w:vAlign w:val="bottom"/>
          </w:tcPr>
          <w:p>
            <w:pPr>
              <w:spacing w:after="0"/>
              <w:rPr>
                <w:sz w:val="1"/>
                <w:szCs w:val="1"/>
                <w:color w:val="auto"/>
              </w:rPr>
            </w:pPr>
          </w:p>
        </w:tc>
      </w:tr>
      <w:tr>
        <w:trPr>
          <w:trHeight w:val="20"/>
        </w:trPr>
        <w:tc>
          <w:tcPr>
            <w:tcW w:w="1740" w:type="dxa"/>
            <w:vAlign w:val="bottom"/>
            <w:gridSpan w:val="2"/>
            <w:vMerge w:val="restart"/>
          </w:tcPr>
          <w:p>
            <w:pPr>
              <w:spacing w:after="0"/>
              <w:rPr>
                <w:sz w:val="20"/>
                <w:szCs w:val="20"/>
                <w:color w:val="auto"/>
              </w:rPr>
            </w:pPr>
            <w:r>
              <w:rPr>
                <w:rFonts w:ascii="Arial" w:cs="Arial" w:eastAsia="Arial" w:hAnsi="Arial"/>
                <w:sz w:val="18"/>
                <w:szCs w:val="18"/>
                <w:color w:val="auto"/>
                <w:w w:val="97"/>
              </w:rPr>
              <w:t>Ending balance: loans</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4"/>
              </w:rPr>
              <w:t>acquired with</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80"/>
              <w:spacing w:after="0"/>
              <w:rPr>
                <w:sz w:val="20"/>
                <w:szCs w:val="20"/>
                <w:color w:val="auto"/>
              </w:rPr>
            </w:pPr>
            <w:r>
              <w:rPr>
                <w:rFonts w:ascii="Arial" w:cs="Arial" w:eastAsia="Arial" w:hAnsi="Arial"/>
                <w:sz w:val="18"/>
                <w:szCs w:val="18"/>
                <w:color w:val="auto"/>
                <w:w w:val="99"/>
              </w:rPr>
              <w:t>deteriorated credit</w:t>
            </w: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quality</w:t>
            </w: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234</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364</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6"/>
          </w:tcPr>
          <w:p>
            <w:pPr>
              <w:jc w:val="right"/>
              <w:ind w:right="50"/>
              <w:spacing w:after="0"/>
              <w:rPr>
                <w:sz w:val="20"/>
                <w:szCs w:val="20"/>
                <w:color w:val="auto"/>
              </w:rPr>
            </w:pPr>
            <w:r>
              <w:rPr>
                <w:rFonts w:ascii="Arial" w:cs="Arial" w:eastAsia="Arial" w:hAnsi="Arial"/>
                <w:sz w:val="18"/>
                <w:szCs w:val="18"/>
                <w:color w:val="auto"/>
                <w:w w:val="99"/>
              </w:rPr>
              <w:t>NOTE 4 LOANS (Continued)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0"/>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2"/>
              </w:rPr>
              <w:t>Unfunded</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4"/>
              </w:rPr>
              <w:t>Loan</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2"/>
              </w:rPr>
              <w:t>Commitment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3"/>
              </w:rPr>
              <w:t>Consumer</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w w:val="95"/>
              </w:rPr>
              <w:t>Agricultural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5"/>
              </w:rPr>
              <w:t>Commercial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4"/>
            <w:vMerge w:val="continue"/>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w w:val="90"/>
              </w:rPr>
              <w:t>and Industrial</w:t>
            </w:r>
          </w:p>
        </w:tc>
        <w:tc>
          <w:tcPr>
            <w:tcW w:w="1060" w:type="dxa"/>
            <w:vAlign w:val="bottom"/>
            <w:gridSpan w:val="4"/>
          </w:tcPr>
          <w:p>
            <w:pPr>
              <w:ind w:left="16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Credit</w:t>
            </w:r>
          </w:p>
        </w:tc>
        <w:tc>
          <w:tcPr>
            <w:tcW w:w="1200" w:type="dxa"/>
            <w:vAlign w:val="bottom"/>
            <w:gridSpan w:val="4"/>
          </w:tcPr>
          <w:p>
            <w:pPr>
              <w:ind w:left="16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38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ALLOWANCE</w:t>
            </w:r>
          </w:p>
        </w:tc>
        <w:tc>
          <w:tcPr>
            <w:tcW w:w="580" w:type="dxa"/>
            <w:vAlign w:val="bottom"/>
            <w:tcBorders>
              <w:top w:val="single" w:sz="8" w:color="CFF0FC"/>
            </w:tcBorders>
            <w:shd w:val="clear" w:color="auto" w:fill="CFF0FC"/>
          </w:tcPr>
          <w:p>
            <w:pPr>
              <w:jc w:val="right"/>
              <w:ind w:right="10"/>
              <w:spacing w:after="0" w:line="205" w:lineRule="exact"/>
              <w:rPr>
                <w:sz w:val="20"/>
                <w:szCs w:val="20"/>
                <w:color w:val="auto"/>
              </w:rPr>
            </w:pPr>
            <w:r>
              <w:rPr>
                <w:rFonts w:ascii="Arial" w:cs="Arial" w:eastAsia="Arial" w:hAnsi="Arial"/>
                <w:sz w:val="18"/>
                <w:szCs w:val="18"/>
                <w:b w:val="1"/>
                <w:bCs w:val="1"/>
                <w:color w:val="auto"/>
              </w:rPr>
              <w:t>FOR</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90"/>
              </w:rPr>
              <w:t>Ending Balance</w:t>
            </w:r>
          </w:p>
        </w:tc>
        <w:tc>
          <w:tcPr>
            <w:tcW w:w="22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14,313</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5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6"/>
              </w:rPr>
              <w:t>balance:</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w:t>
            </w: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87"/>
              </w:rPr>
              <w:t>evaluated</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for</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CFF0FC"/>
            </w:tcBorders>
            <w:gridSpan w:val="2"/>
            <w:vMerge w:val="restart"/>
          </w:tcPr>
          <w:p>
            <w:pPr>
              <w:jc w:val="right"/>
              <w:ind w:right="30"/>
              <w:spacing w:after="0"/>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4"/>
          </w:tcPr>
          <w:p>
            <w:pPr>
              <w:spacing w:after="0"/>
              <w:rPr>
                <w:sz w:val="20"/>
                <w:szCs w:val="20"/>
                <w:color w:val="auto"/>
              </w:rPr>
            </w:pPr>
            <w:r>
              <w:rPr>
                <w:rFonts w:ascii="Arial" w:cs="Arial" w:eastAsia="Arial" w:hAnsi="Arial"/>
                <w:sz w:val="18"/>
                <w:szCs w:val="18"/>
                <w:color w:val="auto"/>
                <w:w w:val="98"/>
              </w:rPr>
              <w:t>collectively evaluated for</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7,395</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641</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12,656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w w:val="91"/>
              </w:rPr>
              <w:t>balance:</w:t>
            </w:r>
          </w:p>
        </w:tc>
        <w:tc>
          <w:tcPr>
            <w:tcW w:w="580" w:type="dxa"/>
            <w:vAlign w:val="bottom"/>
            <w:tcBorders>
              <w:top w:val="single" w:sz="8" w:color="CFF0FC"/>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loans</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w w:val="92"/>
              </w:rPr>
              <w:t>acquired</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with</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deteriorated</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8"/>
              </w:rPr>
              <w:t>credit quality</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2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Ending balance</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175,316</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188,826</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94,490</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587,654</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204,043</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52,661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1,302,990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CFF0FC"/>
            </w:tcBorders>
            <w:gridSpan w:val="2"/>
            <w:vMerge w:val="restart"/>
          </w:tcPr>
          <w:p>
            <w:pPr>
              <w:jc w:val="right"/>
              <w:ind w:right="30"/>
              <w:spacing w:after="0"/>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individually</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evaluated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for</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6,756</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467</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2,950</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14,532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5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96"/>
              </w:rPr>
              <w:t>balance:</w:t>
            </w: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8"/>
              </w:rPr>
              <w:t>collectively evaluated for</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174,273</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182,070</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94,023</w:t>
            </w: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584,704</w:t>
            </w:r>
          </w:p>
        </w:tc>
        <w:tc>
          <w:tcPr>
            <w:tcW w:w="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200,602</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52,638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1,288,310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w w:val="91"/>
              </w:rPr>
              <w:t>balance:</w:t>
            </w:r>
          </w:p>
        </w:tc>
        <w:tc>
          <w:tcPr>
            <w:tcW w:w="58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spacing w:after="0"/>
              <w:rPr>
                <w:sz w:val="20"/>
                <w:szCs w:val="20"/>
                <w:color w:val="auto"/>
              </w:rPr>
            </w:pPr>
            <w:r>
              <w:rPr>
                <w:rFonts w:ascii="Arial" w:cs="Arial" w:eastAsia="Arial" w:hAnsi="Arial"/>
                <w:sz w:val="18"/>
                <w:szCs w:val="18"/>
                <w:color w:val="auto"/>
              </w:rPr>
              <w:t>deteriorated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9"/>
              </w:rPr>
              <w:t>credit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quality</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3100" w:type="dxa"/>
            <w:vAlign w:val="bottom"/>
            <w:gridSpan w:val="6"/>
          </w:tcPr>
          <w:p>
            <w:pPr>
              <w:jc w:val="right"/>
              <w:ind w:right="50"/>
              <w:spacing w:after="0"/>
              <w:rPr>
                <w:sz w:val="20"/>
                <w:szCs w:val="20"/>
                <w:color w:val="auto"/>
              </w:rPr>
            </w:pPr>
            <w:r>
              <w:rPr>
                <w:rFonts w:ascii="Arial" w:cs="Arial" w:eastAsia="Arial" w:hAnsi="Arial"/>
                <w:sz w:val="18"/>
                <w:szCs w:val="18"/>
                <w:color w:val="auto"/>
              </w:rPr>
              <w:t>NOTE 4 LOANS (Continued)</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Unfunded</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Loan</w:t>
            </w: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97"/>
              </w:rPr>
              <w:t>Commitment</w:t>
            </w: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1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Commercial</w:t>
            </w:r>
          </w:p>
        </w:tc>
        <w:tc>
          <w:tcPr>
            <w:tcW w:w="11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Real Estate</w:t>
            </w:r>
          </w:p>
        </w:tc>
        <w:tc>
          <w:tcPr>
            <w:tcW w:w="11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and Industrial</w:t>
            </w:r>
          </w:p>
        </w:tc>
        <w:tc>
          <w:tcPr>
            <w:tcW w:w="9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5"/>
              </w:rPr>
              <w:t>Credit</w:t>
            </w:r>
          </w:p>
        </w:tc>
        <w:tc>
          <w:tcPr>
            <w:tcW w:w="110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72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5"/>
              </w:rPr>
              <w:t>Three Months 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September 30, 2020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40" w:type="dxa"/>
            <w:vAlign w:val="bottom"/>
            <w:tcBorders>
              <w:left w:val="single" w:sz="8" w:color="auto"/>
            </w:tcBorders>
            <w:shd w:val="clear" w:color="auto" w:fill="CFF0FC"/>
          </w:tcPr>
          <w:p>
            <w:pPr>
              <w:spacing w:after="0"/>
              <w:rPr>
                <w:sz w:val="20"/>
                <w:szCs w:val="20"/>
                <w:color w:val="auto"/>
              </w:rPr>
            </w:pPr>
          </w:p>
        </w:tc>
        <w:tc>
          <w:tcPr>
            <w:tcW w:w="66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570</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1,036</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4,458</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2,423</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605</w:t>
            </w: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spacing w:after="0"/>
              <w:rPr>
                <w:sz w:val="19"/>
                <w:szCs w:val="19"/>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1,275</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19"/>
                <w:szCs w:val="19"/>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5"/>
        </w:trPr>
        <w:tc>
          <w:tcPr>
            <w:tcW w:w="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Other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w:t>
            </w:r>
          </w:p>
        </w:tc>
        <w:tc>
          <w:tcPr>
            <w:tcW w:w="440" w:type="dxa"/>
            <w:vAlign w:val="bottom"/>
            <w:tcBorders>
              <w:left w:val="single" w:sz="8" w:color="auto"/>
              <w:bottom w:val="single" w:sz="8" w:color="auto"/>
            </w:tcBorders>
            <w:shd w:val="clear" w:color="auto" w:fill="CFF0FC"/>
          </w:tcPr>
          <w:p>
            <w:pPr>
              <w:spacing w:after="0"/>
              <w:rPr>
                <w:sz w:val="20"/>
                <w:szCs w:val="20"/>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3"/>
        </w:trPr>
        <w:tc>
          <w:tcPr>
            <w:tcW w:w="1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530</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762</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669</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5,735</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3,272</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604</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633</w:t>
            </w: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196"/>
        </w:trPr>
        <w:tc>
          <w:tcPr>
            <w:tcW w:w="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6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487</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330</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641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5,691</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2,621</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604</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11,318</w:t>
            </w:r>
          </w:p>
        </w:tc>
        <w:tc>
          <w:tcPr>
            <w:tcW w:w="0" w:type="dxa"/>
            <w:vAlign w:val="bottom"/>
          </w:tcPr>
          <w:p>
            <w:pPr>
              <w:spacing w:after="0"/>
              <w:rPr>
                <w:sz w:val="1"/>
                <w:szCs w:val="1"/>
                <w:color w:val="auto"/>
              </w:rPr>
            </w:pPr>
          </w:p>
        </w:tc>
      </w:tr>
      <w:tr>
        <w:trPr>
          <w:trHeight w:val="196"/>
        </w:trPr>
        <w:tc>
          <w:tcPr>
            <w:tcW w:w="172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10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175,595</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192,577</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103,476</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593,936</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244,823</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53,455</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1,363,862</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w w:val="99"/>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985</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7,014</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721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3,219</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3,295</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15,259</w:t>
            </w:r>
          </w:p>
        </w:tc>
        <w:tc>
          <w:tcPr>
            <w:tcW w:w="0" w:type="dxa"/>
            <w:vAlign w:val="bottom"/>
          </w:tcPr>
          <w:p>
            <w:pPr>
              <w:spacing w:after="0"/>
              <w:rPr>
                <w:sz w:val="1"/>
                <w:szCs w:val="1"/>
                <w:color w:val="auto"/>
              </w:rPr>
            </w:pPr>
          </w:p>
        </w:tc>
      </w:tr>
      <w:tr>
        <w:trPr>
          <w:trHeight w:val="196"/>
        </w:trPr>
        <w:tc>
          <w:tcPr>
            <w:tcW w:w="7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00" w:type="dxa"/>
            <w:vAlign w:val="bottom"/>
            <w:tcBorders>
              <w:top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66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174,567</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185,563</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102,755</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590,717</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241,528</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53,339</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1,348,469</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w w:val="95"/>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spacing w:after="0"/>
              <w:rPr>
                <w:sz w:val="20"/>
                <w:szCs w:val="20"/>
                <w:color w:val="auto"/>
              </w:rPr>
            </w:pPr>
            <w:r>
              <w:rPr>
                <w:rFonts w:ascii="Arial" w:cs="Arial" w:eastAsia="Arial" w:hAnsi="Arial"/>
                <w:sz w:val="18"/>
                <w:szCs w:val="18"/>
                <w:color w:val="auto"/>
              </w:rPr>
              <w:t>deteriorated 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quality</w:t>
            </w:r>
          </w:p>
        </w:tc>
        <w:tc>
          <w:tcPr>
            <w:tcW w:w="100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3060" w:type="dxa"/>
            <w:vAlign w:val="bottom"/>
            <w:gridSpan w:val="7"/>
          </w:tcPr>
          <w:p>
            <w:pPr>
              <w:jc w:val="right"/>
              <w:ind w:right="100"/>
              <w:spacing w:after="0"/>
              <w:rPr>
                <w:sz w:val="20"/>
                <w:szCs w:val="20"/>
                <w:color w:val="auto"/>
              </w:rPr>
            </w:pPr>
            <w:r>
              <w:rPr>
                <w:rFonts w:ascii="Arial" w:cs="Arial" w:eastAsia="Arial" w:hAnsi="Arial"/>
                <w:sz w:val="18"/>
                <w:szCs w:val="18"/>
                <w:color w:val="auto"/>
              </w:rPr>
              <w:t>NOTE 4 LOANS (Continued)</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2"/>
              </w:rPr>
              <w:t>Unfunded</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Loan</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7"/>
              </w:rPr>
              <w:t>Commitment</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Consumer</w:t>
            </w:r>
          </w:p>
        </w:tc>
        <w:tc>
          <w:tcPr>
            <w:tcW w:w="1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7"/>
              </w:rPr>
              <w:t>Commercial</w:t>
            </w:r>
          </w:p>
        </w:tc>
        <w:tc>
          <w:tcPr>
            <w:tcW w:w="120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5"/>
              </w:rPr>
              <w:t>&amp; Letters of</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Real Estate</w:t>
            </w:r>
          </w:p>
        </w:tc>
        <w:tc>
          <w:tcPr>
            <w:tcW w:w="1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Real Estate</w:t>
            </w:r>
          </w:p>
        </w:tc>
        <w:tc>
          <w:tcPr>
            <w:tcW w:w="10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Real Estate</w:t>
            </w:r>
          </w:p>
        </w:tc>
        <w:tc>
          <w:tcPr>
            <w:tcW w:w="12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w:t>
            </w:r>
          </w:p>
        </w:tc>
        <w:tc>
          <w:tcPr>
            <w:tcW w:w="110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76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Nine Months Ended</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tcBorders>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9"/>
        </w:trPr>
        <w:tc>
          <w:tcPr>
            <w:tcW w:w="1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Other</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3"/>
              </w:rPr>
              <w:t>Non-interest</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expense related to</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100" w:type="dxa"/>
            <w:vAlign w:val="bottom"/>
            <w:tcBorders>
              <w:bottom w:val="single" w:sz="8" w:color="CFF0FC"/>
              <w:right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Borders>
              <w:bottom w:val="single" w:sz="8" w:color="CFF0FC"/>
            </w:tcBorders>
          </w:tcPr>
          <w:p>
            <w:pPr>
              <w:spacing w:after="0"/>
              <w:rPr>
                <w:sz w:val="22"/>
                <w:szCs w:val="22"/>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16,737</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4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8"/>
                <w:szCs w:val="18"/>
                <w:color w:val="auto"/>
              </w:rPr>
              <w:t>Ending</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w:t>
            </w:r>
          </w:p>
        </w:tc>
        <w:tc>
          <w:tcPr>
            <w:tcW w:w="100" w:type="dxa"/>
            <w:vAlign w:val="bottom"/>
            <w:tcBorders>
              <w:bottom w:val="single" w:sz="8" w:color="CFF0FC"/>
              <w:right w:val="single" w:sz="8" w:color="auto"/>
            </w:tcBorders>
          </w:tcPr>
          <w:p>
            <w:pPr>
              <w:spacing w:after="0"/>
              <w:rPr>
                <w:sz w:val="23"/>
                <w:szCs w:val="23"/>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Borders>
              <w:bottom w:val="single" w:sz="8" w:color="CFF0FC"/>
            </w:tcBorders>
          </w:tcPr>
          <w:p>
            <w:pPr>
              <w:spacing w:after="0"/>
              <w:rPr>
                <w:sz w:val="23"/>
                <w:szCs w:val="23"/>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14,337</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76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w w:val="98"/>
              </w:rPr>
              <w:t>Ending balance: loans</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quality</w:t>
            </w:r>
          </w:p>
        </w:tc>
        <w:tc>
          <w:tcPr>
            <w:tcW w:w="10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202,370</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179,051</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105,722</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727,418</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225,382</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55,619</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1,495,562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8"/>
                <w:szCs w:val="18"/>
                <w:color w:val="auto"/>
              </w:rPr>
              <w:t>Ending</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Borders>
              <w:bottom w:val="single" w:sz="8" w:color="CFF0FC"/>
              <w:right w:val="single" w:sz="8" w:color="auto"/>
            </w:tcBorders>
          </w:tcPr>
          <w:p>
            <w:pPr>
              <w:spacing w:after="0"/>
              <w:rPr>
                <w:sz w:val="23"/>
                <w:szCs w:val="23"/>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3"/>
                <w:szCs w:val="23"/>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11,849</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4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201,595</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173,000</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105,475</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723,577</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223,803</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55,604</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1,483,054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8"/>
                <w:szCs w:val="18"/>
                <w:color w:val="auto"/>
                <w:w w:val="98"/>
              </w:rPr>
              <w:t>Ending balance: loans</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quality</w:t>
            </w: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3040" w:type="dxa"/>
            <w:vAlign w:val="bottom"/>
            <w:gridSpan w:val="7"/>
          </w:tcPr>
          <w:p>
            <w:pPr>
              <w:ind w:left="780"/>
              <w:spacing w:after="0"/>
              <w:rPr>
                <w:sz w:val="20"/>
                <w:szCs w:val="20"/>
                <w:color w:val="auto"/>
              </w:rPr>
            </w:pPr>
            <w:r>
              <w:rPr>
                <w:rFonts w:ascii="Arial" w:cs="Arial" w:eastAsia="Arial" w:hAnsi="Arial"/>
                <w:sz w:val="18"/>
                <w:szCs w:val="18"/>
                <w:color w:val="auto"/>
                <w:w w:val="96"/>
              </w:rPr>
              <w:t>NOTE 4 LOANS (Continued)</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2"/>
              </w:rPr>
              <w:t>Unfunded</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Loan</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w w:val="97"/>
              </w:rPr>
              <w:t>Commitment</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Consumer</w:t>
            </w:r>
          </w:p>
        </w:tc>
        <w:tc>
          <w:tcPr>
            <w:tcW w:w="10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Agricultural</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Commercial</w:t>
            </w:r>
          </w:p>
        </w:tc>
        <w:tc>
          <w:tcPr>
            <w:tcW w:w="120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5"/>
              </w:rPr>
              <w:t>&amp; Letters of</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Real Estate</w:t>
            </w:r>
          </w:p>
        </w:tc>
        <w:tc>
          <w:tcPr>
            <w:tcW w:w="10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8"/>
              </w:rPr>
              <w:t>Real Estate</w:t>
            </w:r>
          </w:p>
        </w:tc>
        <w:tc>
          <w:tcPr>
            <w:tcW w:w="10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Agricultural</w:t>
            </w:r>
          </w:p>
        </w:tc>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w w:val="98"/>
              </w:rPr>
              <w:t>Real Estate</w:t>
            </w:r>
          </w:p>
        </w:tc>
        <w:tc>
          <w:tcPr>
            <w:tcW w:w="12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and Industrial</w:t>
            </w:r>
          </w:p>
        </w:tc>
        <w:tc>
          <w:tcPr>
            <w:tcW w:w="9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6"/>
              </w:rPr>
              <w:t>Consumer</w:t>
            </w:r>
          </w:p>
        </w:tc>
        <w:tc>
          <w:tcPr>
            <w:tcW w:w="18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Credit</w:t>
            </w:r>
          </w:p>
        </w:tc>
        <w:tc>
          <w:tcPr>
            <w:tcW w:w="110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176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Nine Months Ended</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September 30, 2020</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tcBorders>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ALLOWANCE FOR</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1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60" w:type="dxa"/>
            <w:vAlign w:val="bottom"/>
            <w:gridSpan w:val="2"/>
          </w:tcPr>
          <w:p>
            <w:pPr>
              <w:ind w:left="260"/>
              <w:spacing w:after="0"/>
              <w:rPr>
                <w:sz w:val="20"/>
                <w:szCs w:val="20"/>
                <w:color w:val="auto"/>
              </w:rPr>
            </w:pPr>
            <w:r>
              <w:rPr>
                <w:rFonts w:ascii="Arial" w:cs="Arial" w:eastAsia="Arial" w:hAnsi="Arial"/>
                <w:sz w:val="18"/>
                <w:szCs w:val="18"/>
                <w:color w:val="auto"/>
              </w:rPr>
              <w:t>Provision (Credit)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Other</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3"/>
              </w:rPr>
              <w:t>Non-interest</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expense related to</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100" w:type="dxa"/>
            <w:vAlign w:val="bottom"/>
            <w:tcBorders>
              <w:bottom w:val="single" w:sz="8" w:color="CFF0FC"/>
              <w:right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80" w:type="dxa"/>
            <w:vAlign w:val="bottom"/>
            <w:tcBorders>
              <w:bottom w:val="single" w:sz="8" w:color="CFF0FC"/>
            </w:tcBorders>
          </w:tcPr>
          <w:p>
            <w:pPr>
              <w:spacing w:after="0"/>
              <w:rPr>
                <w:sz w:val="22"/>
                <w:szCs w:val="22"/>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12,516</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4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8"/>
                <w:szCs w:val="18"/>
                <w:color w:val="auto"/>
              </w:rPr>
              <w:t>Ending</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FF0FC"/>
              <w:right w:val="single" w:sz="8" w:color="auto"/>
            </w:tcBorders>
          </w:tcPr>
          <w:p>
            <w:pPr>
              <w:spacing w:after="0"/>
              <w:rPr>
                <w:sz w:val="23"/>
                <w:szCs w:val="23"/>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FF0FC"/>
              <w:right w:val="single" w:sz="8" w:color="auto"/>
            </w:tcBorders>
          </w:tcPr>
          <w:p>
            <w:pPr>
              <w:spacing w:after="0"/>
              <w:rPr>
                <w:sz w:val="23"/>
                <w:szCs w:val="23"/>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Borders>
              <w:bottom w:val="single" w:sz="8" w:color="CFF0FC"/>
              <w:right w:val="single" w:sz="8" w:color="auto"/>
            </w:tcBorders>
          </w:tcPr>
          <w:p>
            <w:pPr>
              <w:spacing w:after="0"/>
              <w:rPr>
                <w:sz w:val="23"/>
                <w:szCs w:val="23"/>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80" w:type="dxa"/>
            <w:vAlign w:val="bottom"/>
            <w:tcBorders>
              <w:bottom w:val="single" w:sz="8" w:color="CFF0FC"/>
            </w:tcBorders>
          </w:tcPr>
          <w:p>
            <w:pPr>
              <w:spacing w:after="0"/>
              <w:rPr>
                <w:sz w:val="23"/>
                <w:szCs w:val="23"/>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11,318</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76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w w:val="98"/>
              </w:rPr>
              <w:t>Ending balance: loans</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quality</w:t>
            </w:r>
          </w:p>
        </w:tc>
        <w:tc>
          <w:tcPr>
            <w:tcW w:w="10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175,595</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192,577</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103,476</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593,936</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244,823</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53,455</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1,363,862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8"/>
                <w:szCs w:val="18"/>
                <w:color w:val="auto"/>
              </w:rPr>
              <w:t>Ending</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4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100" w:type="dxa"/>
            <w:vAlign w:val="bottom"/>
            <w:tcBorders>
              <w:bottom w:val="single" w:sz="8" w:color="CFF0FC"/>
              <w:right w:val="single" w:sz="8" w:color="auto"/>
            </w:tcBorders>
          </w:tcPr>
          <w:p>
            <w:pPr>
              <w:spacing w:after="0"/>
              <w:rPr>
                <w:sz w:val="23"/>
                <w:szCs w:val="23"/>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FF0FC"/>
              <w:right w:val="single" w:sz="8" w:color="auto"/>
            </w:tcBorders>
          </w:tcPr>
          <w:p>
            <w:pPr>
              <w:spacing w:after="0"/>
              <w:rPr>
                <w:sz w:val="23"/>
                <w:szCs w:val="23"/>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FF0FC"/>
              <w:right w:val="single" w:sz="8" w:color="auto"/>
            </w:tcBorders>
          </w:tcPr>
          <w:p>
            <w:pPr>
              <w:spacing w:after="0"/>
              <w:rPr>
                <w:sz w:val="23"/>
                <w:szCs w:val="23"/>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2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3"/>
                <w:szCs w:val="23"/>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15,259</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04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174,567</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185,563</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102,755</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590,717</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241,528</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53,339</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1,348,469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8"/>
                <w:szCs w:val="18"/>
                <w:color w:val="auto"/>
                <w:w w:val="98"/>
              </w:rPr>
              <w:t>Ending balance: loans</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deteriorated credit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quality</w:t>
            </w: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 5 EARNINGS PER SHARE</w:t>
      </w:r>
    </w:p>
    <w:p>
      <w:pPr>
        <w:spacing w:after="0" w:line="225" w:lineRule="exact"/>
        <w:rPr>
          <w:sz w:val="20"/>
          <w:szCs w:val="20"/>
          <w:color w:val="auto"/>
        </w:rPr>
      </w:pPr>
    </w:p>
    <w:p>
      <w:pPr>
        <w:jc w:val="both"/>
        <w:ind w:left="620"/>
        <w:spacing w:after="0" w:line="269"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45" w:lineRule="exact"/>
        <w:rPr>
          <w:sz w:val="20"/>
          <w:szCs w:val="20"/>
          <w:color w:val="auto"/>
        </w:rPr>
      </w:pPr>
    </w:p>
    <w:p>
      <w:pPr>
        <w:jc w:val="both"/>
        <w:ind w:left="620"/>
        <w:spacing w:after="0" w:line="289" w:lineRule="auto"/>
        <w:rPr>
          <w:sz w:val="20"/>
          <w:szCs w:val="20"/>
          <w:color w:val="auto"/>
        </w:rPr>
      </w:pPr>
      <w:r>
        <w:rPr>
          <w:rFonts w:ascii="Arial" w:cs="Arial" w:eastAsia="Arial" w:hAnsi="Arial"/>
          <w:sz w:val="16"/>
          <w:szCs w:val="16"/>
          <w:color w:val="auto"/>
        </w:rPr>
        <w:t>Beginning in 2020, 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in each year. On June 5, 2020, each Director received approximately $4,000 which equated to 176 shares. On June 4, 2021, ten Directors received approximately $6,000 worth of shares which equated to 272 shares while four Directors received a prorated dollar value of shares. The use of stock for Directors’ retainer, does not have an effect on diluted earnings per share as it is immediately vested.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6"/>
          </w:tcPr>
          <w:p>
            <w:pPr>
              <w:jc w:val="right"/>
              <w:ind w:right="920"/>
              <w:spacing w:after="0"/>
              <w:rPr>
                <w:sz w:val="20"/>
                <w:szCs w:val="20"/>
                <w:color w:val="auto"/>
              </w:rPr>
            </w:pPr>
            <w:r>
              <w:rPr>
                <w:rFonts w:ascii="Arial" w:cs="Arial" w:eastAsia="Arial" w:hAnsi="Arial"/>
                <w:sz w:val="18"/>
                <w:szCs w:val="18"/>
                <w:color w:val="auto"/>
              </w:rPr>
              <w:t>(in thousands of dollars)</w:t>
            </w:r>
          </w:p>
        </w:tc>
        <w:tc>
          <w:tcPr>
            <w:tcW w:w="120" w:type="dxa"/>
            <w:vAlign w:val="bottom"/>
          </w:tcPr>
          <w:p>
            <w:pPr>
              <w:spacing w:after="0"/>
              <w:rPr>
                <w:sz w:val="19"/>
                <w:szCs w:val="19"/>
                <w:color w:val="auto"/>
              </w:rPr>
            </w:pPr>
          </w:p>
        </w:tc>
        <w:tc>
          <w:tcPr>
            <w:tcW w:w="2880" w:type="dxa"/>
            <w:vAlign w:val="bottom"/>
            <w:gridSpan w:val="6"/>
          </w:tcPr>
          <w:p>
            <w:pPr>
              <w:jc w:val="right"/>
              <w:ind w:right="68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6"/>
          </w:tcPr>
          <w:p>
            <w:pPr>
              <w:jc w:val="right"/>
              <w:ind w:right="104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9"/>
                <w:szCs w:val="19"/>
                <w:color w:val="auto"/>
              </w:rPr>
            </w:pPr>
          </w:p>
        </w:tc>
        <w:tc>
          <w:tcPr>
            <w:tcW w:w="2880" w:type="dxa"/>
            <w:vAlign w:val="bottom"/>
            <w:gridSpan w:val="6"/>
          </w:tcPr>
          <w:p>
            <w:pPr>
              <w:jc w:val="right"/>
              <w:ind w:right="8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1720"/>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4,410</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12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22"/>
        </w:trPr>
        <w:tc>
          <w:tcPr>
            <w:tcW w:w="502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58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120" w:type="dxa"/>
            <w:vAlign w:val="bottom"/>
          </w:tcPr>
          <w:p>
            <w:pPr>
              <w:spacing w:after="0"/>
              <w:rPr>
                <w:sz w:val="18"/>
                <w:szCs w:val="18"/>
                <w:color w:val="auto"/>
              </w:rPr>
            </w:pP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22"/>
        </w:trPr>
        <w:tc>
          <w:tcPr>
            <w:tcW w:w="5020" w:type="dxa"/>
            <w:vAlign w:val="bottom"/>
            <w:vMerge w:val="restart"/>
          </w:tcPr>
          <w:p>
            <w:pPr>
              <w:ind w:left="14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tcBorders>
              <w:bottom w:val="single" w:sz="8" w:color="CFF0FC"/>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6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4,376</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including</w:t>
            </w: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11,209,732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11,142,797</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11,199,309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11,135,695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02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participating securities</w:t>
            </w: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Less: average unvested restricted shares</w:t>
            </w: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(96,197)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(83,257)</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(89,075)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(83,445)</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11,113,535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11,059,540</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11,110,234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11,052,250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320" w:hanging="105"/>
        <w:spacing w:after="0"/>
        <w:tabs>
          <w:tab w:leader="none" w:pos="4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September 30, 2021 and December 31, 2020 are reflected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color w:val="auto"/>
                <w:w w:val="90"/>
              </w:rPr>
              <w:t>(In Thousands)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September 30, 2021</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4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9"/>
                <w:szCs w:val="19"/>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Level 3</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158,078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158,078</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158,078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time deposits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Securities - available-for-sale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426,717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426,717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349,146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securities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Loans held for sale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net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1,479,864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1,434,960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1,434,960</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Interest receivable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7,401</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Financial Liabilities: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bearing deposits</w:t>
            </w: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1,175,769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1,175,816</w:t>
            </w: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1,175,816</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Non-interest bearing deposits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438,076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438,076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438,076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5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252,383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248,399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248,399</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ind w:left="500"/>
              <w:spacing w:after="0"/>
              <w:rPr>
                <w:sz w:val="20"/>
                <w:szCs w:val="20"/>
                <w:color w:val="auto"/>
              </w:rPr>
            </w:pPr>
            <w:r>
              <w:rPr>
                <w:rFonts w:ascii="Arial" w:cs="Arial" w:eastAsia="Arial" w:hAnsi="Arial"/>
                <w:sz w:val="18"/>
                <w:szCs w:val="18"/>
                <w:color w:val="auto"/>
              </w:rPr>
              <w:t>Total Deposits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1,866,228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1,862,291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438,076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1,424,215</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tcPr>
          <w:p>
            <w:pPr>
              <w:ind w:left="380"/>
              <w:spacing w:after="0"/>
              <w:rPr>
                <w:sz w:val="20"/>
                <w:szCs w:val="20"/>
                <w:color w:val="auto"/>
              </w:rPr>
            </w:pPr>
            <w:r>
              <w:rPr>
                <w:rFonts w:ascii="Arial" w:cs="Arial" w:eastAsia="Arial" w:hAnsi="Arial"/>
                <w:sz w:val="18"/>
                <w:szCs w:val="18"/>
                <w:color w:val="auto"/>
              </w:rPr>
              <w:t>agreement to repurchase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29,601</w:t>
            </w:r>
          </w:p>
        </w:tc>
        <w:tc>
          <w:tcPr>
            <w:tcW w:w="100" w:type="dxa"/>
            <w:vAlign w:val="bottom"/>
          </w:tcPr>
          <w:p>
            <w:pPr>
              <w:spacing w:after="0"/>
              <w:rPr>
                <w:sz w:val="20"/>
                <w:szCs w:val="20"/>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Home Loan Bank advances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17,869</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w w:val="99"/>
              </w:rPr>
              <w:t>Subordinated notes, net of unamortized issuance costs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payable</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9"/>
                <w:szCs w:val="19"/>
                <w:color w:val="auto"/>
              </w:rPr>
            </w:pPr>
          </w:p>
        </w:tc>
      </w:tr>
      <w:tr>
        <w:trPr>
          <w:trHeight w:val="553"/>
        </w:trPr>
        <w:tc>
          <w:tcPr>
            <w:tcW w:w="4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color w:val="auto"/>
                <w:w w:val="90"/>
              </w:rPr>
              <w:t>(In Thousands)</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December 31, 2020</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4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9"/>
                <w:szCs w:val="19"/>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Level 3</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175,706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175,706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175,706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time deposits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Securities - available-for-sale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307,812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securities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Loans held for sale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net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1,289,318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1,261,440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1,261,440</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Interest receivable</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Financial Liabilities: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bearing deposits</w:t>
            </w: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997,462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1,004,608</w:t>
            </w: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1,004,608</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Non-interest bearing deposits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351,147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5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250,135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250,135</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Pr>
          <w:p>
            <w:pPr>
              <w:ind w:left="500"/>
              <w:spacing w:after="0"/>
              <w:rPr>
                <w:sz w:val="20"/>
                <w:szCs w:val="20"/>
                <w:color w:val="auto"/>
              </w:rPr>
            </w:pPr>
            <w:r>
              <w:rPr>
                <w:rFonts w:ascii="Arial" w:cs="Arial" w:eastAsia="Arial" w:hAnsi="Arial"/>
                <w:sz w:val="18"/>
                <w:szCs w:val="18"/>
                <w:color w:val="auto"/>
              </w:rPr>
              <w:t>Total Deposits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1,596,162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1,605,890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1,254,743</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8"/>
                <w:szCs w:val="18"/>
                <w:color w:val="auto"/>
              </w:rPr>
              <w:t>Federal funds purchased and securities sold under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tcPr>
          <w:p>
            <w:pPr>
              <w:ind w:left="380"/>
              <w:spacing w:after="0"/>
              <w:rPr>
                <w:sz w:val="20"/>
                <w:szCs w:val="20"/>
                <w:color w:val="auto"/>
              </w:rPr>
            </w:pPr>
            <w:r>
              <w:rPr>
                <w:rFonts w:ascii="Arial" w:cs="Arial" w:eastAsia="Arial" w:hAnsi="Arial"/>
                <w:sz w:val="18"/>
                <w:szCs w:val="18"/>
                <w:color w:val="auto"/>
              </w:rPr>
              <w:t>agreement to repurchase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30,239</w:t>
            </w:r>
          </w:p>
        </w:tc>
        <w:tc>
          <w:tcPr>
            <w:tcW w:w="100" w:type="dxa"/>
            <w:vAlign w:val="bottom"/>
          </w:tcPr>
          <w:p>
            <w:pPr>
              <w:spacing w:after="0"/>
              <w:rPr>
                <w:sz w:val="20"/>
                <w:szCs w:val="20"/>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Home Loan Bank advances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17,872</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w w:val="99"/>
              </w:rPr>
              <w:t>Subordinated notes, net of unamortized issuance costs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payable</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3"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2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September 30, 2021 and December 31, 2020, segregated by level or the valuation inputs within the fair value hierarchy utilized to measure fair value:</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Assets and Liabilities Measured at Fair Value on a Recurring Basis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6"/>
              </w:rPr>
              <w:t>Significant</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140"/>
              <w:spacing w:after="0"/>
              <w:rPr>
                <w:sz w:val="20"/>
                <w:szCs w:val="20"/>
                <w:color w:val="auto"/>
              </w:rPr>
            </w:pPr>
            <w:r>
              <w:rPr>
                <w:rFonts w:ascii="Arial" w:cs="Arial" w:eastAsia="Arial" w:hAnsi="Arial"/>
                <w:sz w:val="18"/>
                <w:szCs w:val="18"/>
                <w:color w:val="auto"/>
              </w:rPr>
              <w:t>September 30, 2021</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U.S. Treasury</w:t>
            </w:r>
          </w:p>
        </w:tc>
        <w:tc>
          <w:tcPr>
            <w:tcW w:w="1660" w:type="dxa"/>
            <w:vAlign w:val="bottom"/>
            <w:gridSpan w:val="3"/>
          </w:tcPr>
          <w:p>
            <w:pPr>
              <w:ind w:left="15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73,804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163,196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60,851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73,804</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349,146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Unobservable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140"/>
              <w:spacing w:after="0"/>
              <w:rPr>
                <w:sz w:val="20"/>
                <w:szCs w:val="20"/>
                <w:color w:val="auto"/>
              </w:rPr>
            </w:pPr>
            <w:r>
              <w:rPr>
                <w:rFonts w:ascii="Arial" w:cs="Arial" w:eastAsia="Arial" w:hAnsi="Arial"/>
                <w:sz w:val="18"/>
                <w:szCs w:val="18"/>
                <w:color w:val="auto"/>
              </w:rPr>
              <w:t>December 31, 2020</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U.S. Treasury</w:t>
            </w:r>
          </w:p>
        </w:tc>
        <w:tc>
          <w:tcPr>
            <w:tcW w:w="1660" w:type="dxa"/>
            <w:vAlign w:val="bottom"/>
            <w:gridSpan w:val="3"/>
          </w:tcPr>
          <w:p>
            <w:pPr>
              <w:ind w:left="15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113,056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68,953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54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306,250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vMerge w:val="restart"/>
          </w:tcPr>
          <w:p>
            <w:pPr>
              <w:jc w:val="right"/>
              <w:ind w:right="35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following tables represent the changes in the Level 3 fair-value category of which unobservable inputs are relied upon as of the three and nine month periods ended September 30, 2021 and September 30,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State and Local</w:t>
            </w:r>
          </w:p>
        </w:tc>
        <w:tc>
          <w:tcPr>
            <w:tcW w:w="134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Tax-Exempt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July 1, 2021</w:t>
            </w:r>
          </w:p>
        </w:tc>
        <w:tc>
          <w:tcPr>
            <w:tcW w:w="17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State and Local</w:t>
            </w:r>
          </w:p>
        </w:tc>
        <w:tc>
          <w:tcPr>
            <w:tcW w:w="134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Tax-Exempt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July 1, 2020</w:t>
            </w:r>
          </w:p>
        </w:tc>
        <w:tc>
          <w:tcPr>
            <w:tcW w:w="17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7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State and Local</w:t>
            </w:r>
          </w:p>
        </w:tc>
        <w:tc>
          <w:tcPr>
            <w:tcW w:w="134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Tax-Exempt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7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bottom w:val="single" w:sz="8" w:color="CFF0FC"/>
            </w:tcBorders>
            <w:vMerge w:val="restart"/>
          </w:tcPr>
          <w:p>
            <w:pPr>
              <w:jc w:val="right"/>
              <w:ind w:right="430"/>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center"/>
        <w:ind w:right="29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1"/>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86"/>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ind w:left="20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Governments</w:t>
            </w:r>
          </w:p>
        </w:tc>
        <w:tc>
          <w:tcPr>
            <w:tcW w:w="2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Governments</w:t>
            </w:r>
          </w:p>
        </w:tc>
        <w:tc>
          <w:tcPr>
            <w:tcW w:w="2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Taxable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4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September 30, 2021 and December 31, 2020,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34"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At September 30, 2021 and December 31, 2020, fair value of collateral dependent impaired loans categorized as Level 3 was $6.9 million and $7.7 million, respectively. The specific allocation for impaired loans was $1.3 million and $1.7 million as of September 30, 2021 and December 31, 2020, respectively, which are accounted for in the allowance for loan losses (see Note 4).</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4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(In Thousands)</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2"/>
        </w:trPr>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88"/>
              </w:rPr>
              <w:t>Fair Value at</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30"/>
        </w:trPr>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September 30, 2021</w:t>
            </w:r>
          </w:p>
        </w:tc>
        <w:tc>
          <w:tcPr>
            <w:tcW w:w="2080" w:type="dxa"/>
            <w:vAlign w:val="bottom"/>
            <w:gridSpan w:val="2"/>
          </w:tcPr>
          <w:p>
            <w:pPr>
              <w:ind w:left="240"/>
              <w:spacing w:after="0"/>
              <w:rPr>
                <w:sz w:val="20"/>
                <w:szCs w:val="20"/>
                <w:color w:val="auto"/>
              </w:rPr>
            </w:pPr>
            <w:r>
              <w:rPr>
                <w:rFonts w:ascii="Arial" w:cs="Arial" w:eastAsia="Arial" w:hAnsi="Arial"/>
                <w:sz w:val="18"/>
                <w:szCs w:val="18"/>
                <w:color w:val="auto"/>
              </w:rPr>
              <w:t>Valuation Technique</w:t>
            </w:r>
          </w:p>
        </w:tc>
        <w:tc>
          <w:tcPr>
            <w:tcW w:w="3620" w:type="dxa"/>
            <w:vAlign w:val="bottom"/>
            <w:gridSpan w:val="2"/>
          </w:tcPr>
          <w:p>
            <w:pPr>
              <w:ind w:left="1000"/>
              <w:spacing w:after="0"/>
              <w:rPr>
                <w:sz w:val="20"/>
                <w:szCs w:val="20"/>
                <w:color w:val="auto"/>
              </w:rPr>
            </w:pPr>
            <w:r>
              <w:rPr>
                <w:rFonts w:ascii="Arial" w:cs="Arial" w:eastAsia="Arial" w:hAnsi="Arial"/>
                <w:sz w:val="18"/>
                <w:szCs w:val="18"/>
                <w:color w:val="auto"/>
              </w:rPr>
              <w:t>Unobservable Inputs</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Average)</w:t>
            </w:r>
          </w:p>
        </w:tc>
      </w:tr>
      <w:tr>
        <w:trPr>
          <w:trHeight w:val="209"/>
        </w:trPr>
        <w:tc>
          <w:tcPr>
            <w:tcW w:w="2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0.34-</w:t>
            </w:r>
          </w:p>
        </w:tc>
      </w:tr>
      <w:tr>
        <w:trPr>
          <w:trHeight w:val="216"/>
        </w:trPr>
        <w:tc>
          <w:tcPr>
            <w:tcW w:w="2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1.34%</w:t>
            </w: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220" w:type="dxa"/>
            <w:vAlign w:val="bottom"/>
            <w:shd w:val="clear" w:color="auto" w:fill="CFF0FC"/>
          </w:tcPr>
          <w:p>
            <w:pPr>
              <w:spacing w:after="0"/>
              <w:rPr>
                <w:sz w:val="20"/>
                <w:szCs w:val="20"/>
                <w:color w:val="auto"/>
              </w:rPr>
            </w:pPr>
          </w:p>
        </w:tc>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(0.86%)</w:t>
            </w:r>
          </w:p>
        </w:tc>
      </w:tr>
      <w:tr>
        <w:trPr>
          <w:trHeight w:val="230"/>
        </w:trPr>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5"/>
        </w:trPr>
        <w:tc>
          <w:tcPr>
            <w:tcW w:w="2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34.54-</w:t>
            </w:r>
          </w:p>
        </w:tc>
      </w:tr>
      <w:tr>
        <w:trPr>
          <w:trHeight w:val="216"/>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Collateral based</w:t>
            </w: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81.41%</w:t>
            </w:r>
          </w:p>
        </w:tc>
      </w:tr>
      <w:tr>
        <w:trPr>
          <w:trHeight w:val="230"/>
        </w:trPr>
        <w:tc>
          <w:tcPr>
            <w:tcW w:w="2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220" w:type="dxa"/>
            <w:vAlign w:val="bottom"/>
            <w:shd w:val="clear" w:color="auto" w:fill="CFF0FC"/>
          </w:tcPr>
          <w:p>
            <w:pPr>
              <w:spacing w:after="0"/>
              <w:rPr>
                <w:sz w:val="20"/>
                <w:szCs w:val="20"/>
                <w:color w:val="auto"/>
              </w:rPr>
            </w:pPr>
          </w:p>
        </w:tc>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measurements</w:t>
            </w: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(32.44%)</w:t>
            </w:r>
          </w:p>
        </w:tc>
      </w:tr>
      <w:tr>
        <w:trPr>
          <w:trHeight w:val="229"/>
        </w:trPr>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5"/>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w:t>
            </w:r>
          </w:p>
        </w:tc>
      </w:tr>
      <w:tr>
        <w:trPr>
          <w:trHeight w:val="216"/>
        </w:trPr>
        <w:tc>
          <w:tcPr>
            <w:tcW w:w="2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7.32%</w:t>
            </w:r>
          </w:p>
        </w:tc>
      </w:tr>
      <w:tr>
        <w:trPr>
          <w:trHeight w:val="230"/>
        </w:trPr>
        <w:tc>
          <w:tcPr>
            <w:tcW w:w="2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20"/>
                <w:szCs w:val="20"/>
                <w:color w:val="auto"/>
              </w:rPr>
            </w:pPr>
          </w:p>
        </w:tc>
        <w:tc>
          <w:tcPr>
            <w:tcW w:w="2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Appraisals</w:t>
            </w: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(50.99%)</w:t>
            </w:r>
          </w:p>
        </w:tc>
      </w:tr>
      <w:tr>
        <w:trPr>
          <w:trHeight w:val="432"/>
        </w:trPr>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ind w:left="10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2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7"/>
          </w:tcPr>
          <w:p>
            <w:pPr>
              <w:ind w:left="1500"/>
              <w:spacing w:after="0"/>
              <w:rPr>
                <w:sz w:val="20"/>
                <w:szCs w:val="20"/>
                <w:color w:val="auto"/>
              </w:rPr>
            </w:pPr>
            <w:r>
              <w:rPr>
                <w:rFonts w:ascii="Arial" w:cs="Arial" w:eastAsia="Arial" w:hAnsi="Arial"/>
                <w:sz w:val="18"/>
                <w:szCs w:val="18"/>
                <w:color w:val="auto"/>
                <w:w w:val="96"/>
              </w:rPr>
              <w:t>NOTE 6 FAIR VALUE OF FINANCIAL INSTRUMENTS (Continued)</w:t>
            </w:r>
          </w:p>
        </w:tc>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917"/>
        </w:trPr>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2"/>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30"/>
        </w:trPr>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88"/>
              </w:rPr>
              <w:t>December 31, 2020</w:t>
            </w:r>
          </w:p>
        </w:tc>
        <w:tc>
          <w:tcPr>
            <w:tcW w:w="240" w:type="dxa"/>
            <w:vAlign w:val="bottom"/>
          </w:tcPr>
          <w:p>
            <w:pPr>
              <w:spacing w:after="0"/>
              <w:rPr>
                <w:sz w:val="20"/>
                <w:szCs w:val="20"/>
                <w:color w:val="auto"/>
              </w:rPr>
            </w:pPr>
          </w:p>
        </w:tc>
        <w:tc>
          <w:tcPr>
            <w:tcW w:w="2080" w:type="dxa"/>
            <w:vAlign w:val="bottom"/>
            <w:gridSpan w:val="2"/>
          </w:tcPr>
          <w:p>
            <w:pPr>
              <w:ind w:left="240"/>
              <w:spacing w:after="0"/>
              <w:rPr>
                <w:sz w:val="20"/>
                <w:szCs w:val="20"/>
                <w:color w:val="auto"/>
              </w:rPr>
            </w:pPr>
            <w:r>
              <w:rPr>
                <w:rFonts w:ascii="Arial" w:cs="Arial" w:eastAsia="Arial" w:hAnsi="Arial"/>
                <w:sz w:val="18"/>
                <w:szCs w:val="18"/>
                <w:color w:val="auto"/>
              </w:rPr>
              <w:t>Valuation Technique</w:t>
            </w:r>
          </w:p>
        </w:tc>
        <w:tc>
          <w:tcPr>
            <w:tcW w:w="20" w:type="dxa"/>
            <w:vAlign w:val="bottom"/>
          </w:tcPr>
          <w:p>
            <w:pPr>
              <w:spacing w:after="0"/>
              <w:rPr>
                <w:sz w:val="20"/>
                <w:szCs w:val="20"/>
                <w:color w:val="auto"/>
              </w:rPr>
            </w:pPr>
          </w:p>
        </w:tc>
        <w:tc>
          <w:tcPr>
            <w:tcW w:w="3660" w:type="dxa"/>
            <w:vAlign w:val="bottom"/>
            <w:gridSpan w:val="2"/>
          </w:tcPr>
          <w:p>
            <w:pPr>
              <w:ind w:left="102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r>
      <w:tr>
        <w:trPr>
          <w:trHeight w:val="209"/>
        </w:trPr>
        <w:tc>
          <w:tcPr>
            <w:tcW w:w="2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1.19-</w:t>
            </w:r>
          </w:p>
        </w:tc>
      </w:tr>
      <w:tr>
        <w:trPr>
          <w:trHeight w:val="216"/>
        </w:trPr>
        <w:tc>
          <w:tcPr>
            <w:tcW w:w="2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Credit strength of underlying project or</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1.19%</w:t>
            </w: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2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6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(1.19%)</w:t>
            </w:r>
          </w:p>
        </w:tc>
      </w:tr>
      <w:tr>
        <w:trPr>
          <w:trHeight w:val="230"/>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6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0.71-100%</w:t>
            </w:r>
          </w:p>
        </w:tc>
      </w:tr>
      <w:tr>
        <w:trPr>
          <w:trHeight w:val="230"/>
        </w:trPr>
        <w:tc>
          <w:tcPr>
            <w:tcW w:w="2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2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6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(17.71%)</w:t>
            </w:r>
          </w:p>
        </w:tc>
      </w:tr>
      <w:tr>
        <w:trPr>
          <w:trHeight w:val="230"/>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 %</w:t>
            </w:r>
          </w:p>
        </w:tc>
      </w:tr>
      <w:tr>
        <w:trPr>
          <w:trHeight w:val="230"/>
        </w:trPr>
        <w:tc>
          <w:tcPr>
            <w:tcW w:w="2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6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 — )</w:t>
            </w:r>
          </w:p>
        </w:tc>
      </w:tr>
      <w:tr>
        <w:trPr>
          <w:trHeight w:val="1107"/>
        </w:trPr>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20" w:type="dxa"/>
            <w:vAlign w:val="bottom"/>
            <w:gridSpan w:val="2"/>
          </w:tcPr>
          <w:p>
            <w:pPr>
              <w:ind w:left="11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center"/>
        <w:ind w:right="242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24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impaired loans as recorded at fair value on September 30, 2021 and December 31, 2020:</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11"/>
          </w:tcPr>
          <w:p>
            <w:pPr>
              <w:jc w:val="center"/>
              <w:ind w:right="360"/>
              <w:spacing w:after="0"/>
              <w:rPr>
                <w:sz w:val="20"/>
                <w:szCs w:val="20"/>
                <w:color w:val="auto"/>
              </w:rPr>
            </w:pPr>
            <w:r>
              <w:rPr>
                <w:rFonts w:ascii="Arial" w:cs="Arial" w:eastAsia="Arial" w:hAnsi="Arial"/>
                <w:sz w:val="18"/>
                <w:szCs w:val="18"/>
                <w:color w:val="auto"/>
                <w:w w:val="89"/>
              </w:rPr>
              <w:t>Assets Measured at Fair Value on a Nonrecurring Basis at September 30, 2021</w:t>
            </w:r>
          </w:p>
        </w:tc>
      </w:tr>
      <w:tr>
        <w:trPr>
          <w:trHeight w:val="222"/>
        </w:trPr>
        <w:tc>
          <w:tcPr>
            <w:tcW w:w="30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5"/>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r>
      <w:tr>
        <w:trPr>
          <w:trHeight w:val="216"/>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89"/>
              </w:rPr>
              <w:t>Balance at</w:t>
            </w: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30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 2021</w:t>
            </w:r>
          </w:p>
        </w:tc>
        <w:tc>
          <w:tcPr>
            <w:tcW w:w="24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3)</w:t>
            </w:r>
          </w:p>
        </w:tc>
      </w:tr>
      <w:tr>
        <w:trPr>
          <w:trHeight w:val="209"/>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166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100" w:type="dxa"/>
            <w:vAlign w:val="bottom"/>
            <w:shd w:val="clear" w:color="auto" w:fill="CFF0FC"/>
          </w:tcPr>
          <w:p>
            <w:pPr>
              <w:spacing w:after="0"/>
              <w:rPr>
                <w:sz w:val="20"/>
                <w:szCs w:val="20"/>
                <w:color w:val="auto"/>
              </w:rPr>
            </w:pPr>
          </w:p>
        </w:tc>
      </w:tr>
      <w:tr>
        <w:trPr>
          <w:trHeight w:val="215"/>
        </w:trPr>
        <w:tc>
          <w:tcPr>
            <w:tcW w:w="3020" w:type="dxa"/>
            <w:vAlign w:val="bottom"/>
          </w:tcPr>
          <w:p>
            <w:pPr>
              <w:spacing w:after="0"/>
              <w:rPr>
                <w:sz w:val="20"/>
                <w:szCs w:val="20"/>
                <w:color w:val="auto"/>
              </w:rPr>
            </w:pPr>
            <w:r>
              <w:rPr>
                <w:rFonts w:ascii="Arial" w:cs="Arial" w:eastAsia="Arial" w:hAnsi="Arial"/>
                <w:sz w:val="18"/>
                <w:szCs w:val="18"/>
                <w:color w:val="auto"/>
              </w:rPr>
              <w:t>Other real estate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owned - residential</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r>
      <w:tr>
        <w:trPr>
          <w:trHeight w:val="715"/>
        </w:trPr>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40" w:type="dxa"/>
            <w:vAlign w:val="bottom"/>
            <w:gridSpan w:val="11"/>
          </w:tcPr>
          <w:p>
            <w:pPr>
              <w:jc w:val="center"/>
              <w:ind w:right="340"/>
              <w:spacing w:after="0"/>
              <w:rPr>
                <w:sz w:val="20"/>
                <w:szCs w:val="20"/>
                <w:color w:val="auto"/>
              </w:rPr>
            </w:pPr>
            <w:r>
              <w:rPr>
                <w:rFonts w:ascii="Arial" w:cs="Arial" w:eastAsia="Arial" w:hAnsi="Arial"/>
                <w:sz w:val="18"/>
                <w:szCs w:val="18"/>
                <w:color w:val="auto"/>
                <w:w w:val="89"/>
              </w:rPr>
              <w:t>Assets Measured at Fair Value on a Nonrecurring Basis at December 31, 2020</w:t>
            </w:r>
          </w:p>
        </w:tc>
      </w:tr>
      <w:tr>
        <w:trPr>
          <w:trHeight w:val="222"/>
        </w:trPr>
        <w:tc>
          <w:tcPr>
            <w:tcW w:w="30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5"/>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r>
      <w:tr>
        <w:trPr>
          <w:trHeight w:val="216"/>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89"/>
              </w:rPr>
              <w:t>Balance at</w:t>
            </w: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0"/>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30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2020</w:t>
            </w:r>
          </w:p>
        </w:tc>
        <w:tc>
          <w:tcPr>
            <w:tcW w:w="24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3)</w:t>
            </w:r>
          </w:p>
        </w:tc>
      </w:tr>
      <w:tr>
        <w:trPr>
          <w:trHeight w:val="209"/>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166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100" w:type="dxa"/>
            <w:vAlign w:val="bottom"/>
            <w:shd w:val="clear" w:color="auto" w:fill="CFF0FC"/>
          </w:tcPr>
          <w:p>
            <w:pPr>
              <w:spacing w:after="0"/>
              <w:rPr>
                <w:sz w:val="20"/>
                <w:szCs w:val="20"/>
                <w:color w:val="auto"/>
              </w:rPr>
            </w:pPr>
          </w:p>
        </w:tc>
      </w:tr>
      <w:tr>
        <w:trPr>
          <w:trHeight w:val="215"/>
        </w:trPr>
        <w:tc>
          <w:tcPr>
            <w:tcW w:w="3020" w:type="dxa"/>
            <w:vAlign w:val="bottom"/>
          </w:tcPr>
          <w:p>
            <w:pPr>
              <w:spacing w:after="0"/>
              <w:rPr>
                <w:sz w:val="20"/>
                <w:szCs w:val="20"/>
                <w:color w:val="auto"/>
              </w:rPr>
            </w:pPr>
            <w:r>
              <w:rPr>
                <w:rFonts w:ascii="Arial" w:cs="Arial" w:eastAsia="Arial" w:hAnsi="Arial"/>
                <w:sz w:val="18"/>
                <w:szCs w:val="18"/>
                <w:color w:val="auto"/>
              </w:rPr>
              <w:t>Other real estate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owned - residential</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40" w:right="2900" w:hanging="1325"/>
        <w:spacing w:after="0" w:line="762" w:lineRule="auto"/>
        <w:tabs>
          <w:tab w:leader="none" w:pos="43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Remainder of this page intentionally left blank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Company had no federal funds purchased as of September 30, 2021 and December 31, 2020. During the same time periods, the Company had $29.6 million and $30.2 million in securities sold under agreement to repurchase.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September 30, 2021</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13"/>
          </w:tcPr>
          <w:p>
            <w:pPr>
              <w:jc w:val="center"/>
              <w:ind w:right="1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12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89"/>
              </w:rPr>
              <w:t>Up to 30 days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1,240</w:t>
            </w:r>
          </w:p>
        </w:tc>
        <w:tc>
          <w:tcPr>
            <w:tcW w:w="58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25,455</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29,601</w:t>
            </w:r>
          </w:p>
        </w:tc>
        <w:tc>
          <w:tcPr>
            <w:tcW w:w="120" w:type="dxa"/>
            <w:vAlign w:val="bottom"/>
          </w:tcPr>
          <w:p>
            <w:pPr>
              <w:spacing w:after="0"/>
              <w:rPr>
                <w:sz w:val="19"/>
                <w:szCs w:val="19"/>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96"/>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2020</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13"/>
          </w:tcPr>
          <w:p>
            <w:pPr>
              <w:jc w:val="center"/>
              <w:ind w:right="1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120" w:type="dxa"/>
            <w:vAlign w:val="bottom"/>
          </w:tcPr>
          <w:p>
            <w:pPr>
              <w:spacing w:after="0"/>
              <w:rPr>
                <w:sz w:val="19"/>
                <w:szCs w:val="19"/>
                <w:color w:val="auto"/>
              </w:rPr>
            </w:pPr>
          </w:p>
        </w:tc>
      </w:tr>
      <w:tr>
        <w:trPr>
          <w:trHeight w:val="438"/>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89"/>
              </w:rPr>
              <w:t>Up to 30 days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1,899</w:t>
            </w:r>
          </w:p>
        </w:tc>
        <w:tc>
          <w:tcPr>
            <w:tcW w:w="58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24,440</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30,239</w:t>
            </w:r>
          </w:p>
        </w:tc>
        <w:tc>
          <w:tcPr>
            <w:tcW w:w="120" w:type="dxa"/>
            <w:vAlign w:val="bottom"/>
          </w:tcPr>
          <w:p>
            <w:pPr>
              <w:spacing w:after="0"/>
              <w:rPr>
                <w:sz w:val="19"/>
                <w:szCs w:val="19"/>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8 SUBORDINATED NOTES</w:t>
      </w:r>
    </w:p>
    <w:p>
      <w:pPr>
        <w:spacing w:after="0" w:line="252"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are intended to qualify as Tier 2 capital for regulatory purposes. The Company intends to use the net proceeds from the Offering for general corporate purposes, including financing acquisitions and organic growth.</w:t>
      </w:r>
    </w:p>
    <w:p>
      <w:pPr>
        <w:spacing w:after="0" w:line="130"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Interest on the Notes will accrue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gridSpan w:val="6"/>
          </w:tcPr>
          <w:p>
            <w:pPr>
              <w:jc w:val="right"/>
              <w:ind w:right="1107"/>
              <w:spacing w:after="0"/>
              <w:rPr>
                <w:sz w:val="20"/>
                <w:szCs w:val="20"/>
                <w:color w:val="auto"/>
              </w:rPr>
            </w:pPr>
            <w:r>
              <w:rPr>
                <w:rFonts w:ascii="Arial" w:cs="Arial" w:eastAsia="Arial" w:hAnsi="Arial"/>
                <w:sz w:val="18"/>
                <w:szCs w:val="18"/>
                <w:color w:val="auto"/>
              </w:rPr>
              <w:t>September 30, 2021</w:t>
            </w:r>
          </w:p>
        </w:tc>
        <w:tc>
          <w:tcPr>
            <w:tcW w:w="2600" w:type="dxa"/>
            <w:vAlign w:val="bottom"/>
            <w:gridSpan w:val="3"/>
          </w:tcPr>
          <w:p>
            <w:pPr>
              <w:ind w:left="540"/>
              <w:spacing w:after="0"/>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0" w:type="dxa"/>
            <w:vAlign w:val="bottom"/>
            <w:gridSpan w:val="5"/>
          </w:tcPr>
          <w:p>
            <w:pPr>
              <w:jc w:val="right"/>
              <w:ind w:right="387"/>
              <w:spacing w:after="0"/>
              <w:rPr>
                <w:sz w:val="20"/>
                <w:szCs w:val="20"/>
                <w:color w:val="auto"/>
              </w:rPr>
            </w:pPr>
            <w:r>
              <w:rPr>
                <w:rFonts w:ascii="Arial" w:cs="Arial" w:eastAsia="Arial" w:hAnsi="Arial"/>
                <w:sz w:val="18"/>
                <w:szCs w:val="18"/>
                <w:color w:val="auto"/>
              </w:rPr>
              <w:t>Unamortized Note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9"/>
              </w:rPr>
              <w:t>Unamortized Note</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Principal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right"/>
              <w:ind w:right="527"/>
              <w:spacing w:after="0"/>
              <w:rPr>
                <w:sz w:val="20"/>
                <w:szCs w:val="20"/>
                <w:color w:val="auto"/>
              </w:rPr>
            </w:pPr>
            <w:r>
              <w:rPr>
                <w:rFonts w:ascii="Arial" w:cs="Arial" w:eastAsia="Arial" w:hAnsi="Arial"/>
                <w:sz w:val="18"/>
                <w:szCs w:val="18"/>
                <w:color w:val="auto"/>
                <w:w w:val="86"/>
              </w:rPr>
              <w:t>Issuance Costs</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Principal</w:t>
            </w:r>
          </w:p>
        </w:tc>
        <w:tc>
          <w:tcPr>
            <w:tcW w:w="220" w:type="dxa"/>
            <w:vAlign w:val="bottom"/>
          </w:tcPr>
          <w:p>
            <w:pPr>
              <w:spacing w:after="0"/>
              <w:rPr>
                <w:sz w:val="20"/>
                <w:szCs w:val="20"/>
                <w:color w:val="auto"/>
              </w:rPr>
            </w:pPr>
          </w:p>
        </w:tc>
        <w:tc>
          <w:tcPr>
            <w:tcW w:w="1240" w:type="dxa"/>
            <w:vAlign w:val="bottom"/>
          </w:tcPr>
          <w:p>
            <w:pPr>
              <w:ind w:left="140"/>
              <w:spacing w:after="0"/>
              <w:rPr>
                <w:sz w:val="20"/>
                <w:szCs w:val="20"/>
                <w:color w:val="auto"/>
              </w:rPr>
            </w:pPr>
            <w:r>
              <w:rPr>
                <w:rFonts w:ascii="Arial" w:cs="Arial" w:eastAsia="Arial" w:hAnsi="Arial"/>
                <w:sz w:val="18"/>
                <w:szCs w:val="18"/>
                <w:color w:val="auto"/>
                <w:w w:val="87"/>
              </w:rPr>
              <w:t>Issuance Costs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Notes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top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9 PROPOSED BUSINESS COMBINATION</w:t>
      </w:r>
    </w:p>
    <w:p>
      <w:pPr>
        <w:spacing w:after="0" w:line="25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On May 4, 2021, the Company announced they have signed an agreement and plan of reorganization and merger (the Agreement) whereby F&amp;M will acquire Perpetual Federal Savings Bank, (“PFSB”), in a stock and cash transaction. PFSB operates one full-service office in Urbana, Ohio. At March 31, 2021, PFSB reported $391 million in total assets, $326 million in loans, $305 million in deposits and $79 million in tangible equity. PFSB is taxed as an S-Corporation. The closing date was October 1,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ind w:left="1440" w:right="1680" w:hanging="1435"/>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 NOTE 9 PROPOSED BUSINESS COMBINATION (Continued)</w:t>
      </w:r>
    </w:p>
    <w:p>
      <w:pPr>
        <w:spacing w:after="0" w:line="373" w:lineRule="exact"/>
        <w:rPr>
          <w:sz w:val="20"/>
          <w:szCs w:val="20"/>
          <w:color w:val="auto"/>
        </w:rPr>
      </w:pPr>
    </w:p>
    <w:p>
      <w:pPr>
        <w:jc w:val="both"/>
        <w:ind w:left="700"/>
        <w:spacing w:after="0" w:line="301" w:lineRule="auto"/>
        <w:rPr>
          <w:sz w:val="20"/>
          <w:szCs w:val="20"/>
          <w:color w:val="auto"/>
        </w:rPr>
      </w:pPr>
      <w:r>
        <w:rPr>
          <w:rFonts w:ascii="Arial" w:cs="Arial" w:eastAsia="Arial" w:hAnsi="Arial"/>
          <w:sz w:val="16"/>
          <w:szCs w:val="16"/>
          <w:color w:val="auto"/>
        </w:rPr>
        <w:t>Subject to the terms of the Agreement, which has been unanimously approved by the Board of Directors of each company, PFSB shareholders will elect to receive either 1.776 shares of FMAO stock or $41.20 per share in cash for each PFSB share owned, subject to adjustment based upon 1,833,999 shares of FMAO to be issued in the merger. At March 31, 2021, PFSB reported 2,470,032 shares of common stock outstanding. Based on FMAO’s closing share price as of May 3, 2021 of $24.22, the implied aggregate acquisition value equals $103.7 million.</w:t>
      </w:r>
    </w:p>
    <w:p>
      <w:pPr>
        <w:spacing w:after="0" w:line="130" w:lineRule="exact"/>
        <w:rPr>
          <w:sz w:val="20"/>
          <w:szCs w:val="20"/>
          <w:color w:val="auto"/>
        </w:rPr>
      </w:pPr>
    </w:p>
    <w:p>
      <w:pPr>
        <w:jc w:val="both"/>
        <w:ind w:left="700"/>
        <w:spacing w:after="0" w:line="275" w:lineRule="auto"/>
        <w:rPr>
          <w:sz w:val="20"/>
          <w:szCs w:val="20"/>
          <w:color w:val="auto"/>
        </w:rPr>
      </w:pPr>
      <w:r>
        <w:rPr>
          <w:rFonts w:ascii="Arial" w:cs="Arial" w:eastAsia="Arial" w:hAnsi="Arial"/>
          <w:sz w:val="17"/>
          <w:szCs w:val="17"/>
          <w:color w:val="auto"/>
        </w:rPr>
        <w:t>In 2021, the Company incurred $523.5 thousand of third-party acquisition related costs. These expenses are comprised of consulting fees of $160.8 thousand and other general and administrative expense of $362.7 thousand in the Company’s consolidated statement of income for the nine months ended September 30, 2021. During the most recent quarter, the Company incurred $275.4 thousand of third-party acquisition related costs. These expenses are comprised of consulting fees of $69.0 thousand and other general and administrative expense of $206.3 thousand in the Company’s consolidated statement of income for the three months ended September 30, 2021.</w:t>
      </w:r>
    </w:p>
    <w:p>
      <w:pPr>
        <w:spacing w:after="0" w:line="3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NOTE 10 RECENT ACCOUNTING PRONOUNCEMENTS</w:t>
      </w:r>
    </w:p>
    <w:p>
      <w:pPr>
        <w:spacing w:after="0" w:line="252" w:lineRule="exact"/>
        <w:rPr>
          <w:sz w:val="20"/>
          <w:szCs w:val="20"/>
          <w:color w:val="auto"/>
        </w:rPr>
      </w:pPr>
    </w:p>
    <w:p>
      <w:pPr>
        <w:jc w:val="both"/>
        <w:ind w:left="700"/>
        <w:spacing w:after="0" w:line="269" w:lineRule="auto"/>
        <w:rPr>
          <w:sz w:val="20"/>
          <w:szCs w:val="20"/>
          <w:color w:val="auto"/>
        </w:rPr>
      </w:pPr>
      <w:r>
        <w:rPr>
          <w:rFonts w:ascii="Arial" w:cs="Arial" w:eastAsia="Arial" w:hAnsi="Arial"/>
          <w:sz w:val="17"/>
          <w:szCs w:val="17"/>
          <w:color w:val="auto"/>
        </w:rPr>
        <w:t>In June 2016, the Financial Accounting Standards Board (“FASB”) issued Accounting Standards Update (“ASU”) No. 2016-13 “Financial Instruments – Credit Losses (Topic 326): Measurement of Credit Losses on Financial Instruments.” This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141" w:lineRule="exact"/>
        <w:rPr>
          <w:sz w:val="20"/>
          <w:szCs w:val="20"/>
          <w:color w:val="auto"/>
        </w:rPr>
      </w:pPr>
    </w:p>
    <w:p>
      <w:pPr>
        <w:jc w:val="both"/>
        <w:ind w:left="700"/>
        <w:spacing w:after="0" w:line="275" w:lineRule="auto"/>
        <w:rPr>
          <w:sz w:val="20"/>
          <w:szCs w:val="20"/>
          <w:color w:val="auto"/>
        </w:rPr>
      </w:pPr>
      <w:r>
        <w:rPr>
          <w:rFonts w:ascii="Arial" w:cs="Arial" w:eastAsia="Arial" w:hAnsi="Arial"/>
          <w:sz w:val="17"/>
          <w:szCs w:val="17"/>
          <w:color w:val="auto"/>
        </w:rPr>
        <w:t>The ASU was effective for SEC filers for fiscal years, and interim periods within those fiscal years, beginning after December 15, 2019 (i.e., January 1, 2020, for calendar year entities). FASB subsequently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149"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The Company has contracted with an external advisor and has formed a committee to determine the methodology to be used. Most importantly, the Company is gathering as much data as possible to enable management to review scenarios and determine which calculations will produce the most reliable results. The Company began working with the third-party service provider to review parallel reports starting in June 2019. The Company has not adopted ASU 2016-13 in calendar year 2021 and management is currently evaluating when or if they would elect to early adopt ASU 2016-13.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The first nine months of 2021 has been a time of expansion and handling one-time events impacting both revenue and expense. A great deal of the focus for 1</w:t>
      </w:r>
      <w:r>
        <w:rPr>
          <w:rFonts w:ascii="Arial" w:cs="Arial" w:eastAsia="Arial" w:hAnsi="Arial"/>
          <w:sz w:val="14"/>
          <w:szCs w:val="14"/>
          <w:color w:val="auto"/>
        </w:rPr>
        <w:t>st</w:t>
      </w:r>
      <w:r>
        <w:rPr>
          <w:rFonts w:ascii="Arial" w:cs="Arial" w:eastAsia="Arial" w:hAnsi="Arial"/>
          <w:sz w:val="17"/>
          <w:szCs w:val="17"/>
          <w:color w:val="auto"/>
        </w:rPr>
        <w:t xml:space="preserve"> quarter remained with COVID-19 related items. While much of the forgiveness from the Paycheck Protection Program (PPP) was received in 4</w:t>
      </w:r>
      <w:r>
        <w:rPr>
          <w:rFonts w:ascii="Arial" w:cs="Arial" w:eastAsia="Arial" w:hAnsi="Arial"/>
          <w:sz w:val="14"/>
          <w:szCs w:val="14"/>
          <w:color w:val="auto"/>
        </w:rPr>
        <w:t>th</w:t>
      </w:r>
      <w:r>
        <w:rPr>
          <w:rFonts w:ascii="Arial" w:cs="Arial" w:eastAsia="Arial" w:hAnsi="Arial"/>
          <w:sz w:val="17"/>
          <w:szCs w:val="17"/>
          <w:color w:val="auto"/>
        </w:rPr>
        <w:t xml:space="preserve"> quarter 2020, we continued to work with our remaining customers to process the forgiveness requests and payments. At the same time, we began the requests for additional funding under the additional PPP opportunities. Farmers &amp; Merchant’s (F&amp;M) Commercial Division saw PPP loan activity begin to slow in the 2</w:t>
      </w:r>
      <w:r>
        <w:rPr>
          <w:rFonts w:ascii="Arial" w:cs="Arial" w:eastAsia="Arial" w:hAnsi="Arial"/>
          <w:sz w:val="14"/>
          <w:szCs w:val="14"/>
          <w:color w:val="auto"/>
        </w:rPr>
        <w:t>nd</w:t>
      </w:r>
      <w:r>
        <w:rPr>
          <w:rFonts w:ascii="Arial" w:cs="Arial" w:eastAsia="Arial" w:hAnsi="Arial"/>
          <w:sz w:val="17"/>
          <w:szCs w:val="17"/>
          <w:color w:val="auto"/>
        </w:rPr>
        <w:t xml:space="preserve"> quarter. F&amp;M shifted to working with our PPP Second Draw clients and the forgiveness process. F&amp;M is very proud of the PPP program and the impact it has had on our clients and their employees. The PPP program at F&amp;M has impacted 18,094 jobs. Most COVID-19 restrictions were lifted in the second quarter and many of the F&amp;M client base returned to full schedules. F&amp;M did assist clients with deferrals or modifications that were negatively impacted by COVID-19. As of the end of the third quarter, only two loans are currently under principal deferrals. One of these loans will resume principal payments in October while the second loan will resume principal payments in July 2022. The Bank received approximately $2.4 million in accelerated net fee income from the most recent round (2021 originations) of PPP loans during the third quarter. The activities surrounding the originations and forgiveness of PPP loans account for a portion of the one-time events occurring in 2021.</w:t>
      </w:r>
    </w:p>
    <w:p>
      <w:pPr>
        <w:spacing w:after="0" w:line="152"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Acquisition costs are categorized as one-time when looking at the individual acquisition. Two actual acquisitions had associated costs with them in the first nine months of 2021. The acquisition of Ossian Financial Services, Inc (Ossian) had expenses of $2.1 million during the first nine months of 2021 and Perpetual Federal Savings (Perpetual) total $523.5 thousand so far in 2021. The Company is excited to have expanded its coverage in Indiana with the new offices of Ossian and Bluffton. As of May 1</w:t>
      </w:r>
      <w:r>
        <w:rPr>
          <w:rFonts w:ascii="Arial" w:cs="Arial" w:eastAsia="Arial" w:hAnsi="Arial"/>
          <w:sz w:val="13"/>
          <w:szCs w:val="13"/>
          <w:color w:val="auto"/>
        </w:rPr>
        <w:t>st</w:t>
      </w:r>
      <w:r>
        <w:rPr>
          <w:rFonts w:ascii="Arial" w:cs="Arial" w:eastAsia="Arial" w:hAnsi="Arial"/>
          <w:sz w:val="16"/>
          <w:szCs w:val="16"/>
          <w:color w:val="auto"/>
        </w:rPr>
        <w:t>, Ossian has been included in the Company’s financials with system software conversion occurred mid-May. The Company has obtained regulatory approvals for the Perpetual deal and has completed the transaction on October 1</w:t>
      </w:r>
      <w:r>
        <w:rPr>
          <w:rFonts w:ascii="Arial" w:cs="Arial" w:eastAsia="Arial" w:hAnsi="Arial"/>
          <w:sz w:val="13"/>
          <w:szCs w:val="13"/>
          <w:color w:val="auto"/>
        </w:rPr>
        <w:t>st</w:t>
      </w:r>
      <w:r>
        <w:rPr>
          <w:rFonts w:ascii="Arial" w:cs="Arial" w:eastAsia="Arial" w:hAnsi="Arial"/>
          <w:sz w:val="16"/>
          <w:szCs w:val="16"/>
          <w:color w:val="auto"/>
        </w:rPr>
        <w:t xml:space="preserve"> with system software conversion occurring mid-October. Each acquisition involves a different structure. Ossian was an all cash deal. Perpetual was a stock and cash deal. Additional detail can be found in the financial statements presented. These two acquisitions will account for expansion of both our footprint and our assets by over half a billion dollars by year end 2021.</w:t>
      </w:r>
    </w:p>
    <w:p>
      <w:pPr>
        <w:spacing w:after="0" w:line="125"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F&amp;M Commercial Banking Division continues to see good loan demand and most of this activity is spread throughout the three state footprint, including the Loan Production Offices (LPO) in Muncie, Indiana; Oxford, Ohio; and West Bloomfield, Michigan. The loan environment remains very competitive and we are seeing both lower rates and longer amortizations than what we have historically seen. Commercial clients continue to remain very challenged in the availability of workforce. Commercial clients have a seen some of the supply chain challenges lessen, but some areas of material availability and price remain very concerning for our clients. Credit quality of the portfolio remains solid and we are able to analyze most of the commercial portfolio as CPAs have mostly caught up on FYE 2020 reporting.</w:t>
      </w:r>
    </w:p>
    <w:p>
      <w:pPr>
        <w:spacing w:after="0" w:line="137"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2021 planting season for our market area was favorable as crops were planted timely. The growing conditions through most of our market area has been favorable with average to above average yields anticipated. Commodity prices have fallen from their earlier highs but remain at a profitable level. The outlook for our grain farmers is optimistic for 2021. The livestock industry in our portfolio has been stable. Agri-business is stable and will benefit as farm profits are positive. Concerns in the supply chain exist as they do in other industries. The agriculture portfolio remains healthy and concerns manageable.</w:t>
      </w:r>
    </w:p>
    <w:p>
      <w:pPr>
        <w:spacing w:after="0" w:line="161"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 xml:space="preserve">Home loan rates remain low though the volume of refinancing loans has slowed as compared to the same time in 2020. Turn times have become more manageable and the Bank focused on home equity lines as an opportunity for growth. Limited inventory and the demand for homes remain strong. During the quarter, 247 loans including home equity and lines of credit were closed totaling $30.3 million which compares to 541 loans and $70.6 million the previous year. The third quarter gain on 1-4 family mortgage sales was down by approximately 67% compared to third quarter 2020. On a year to date basis, the gain on 1-4 family mortgage sales was down $75 thousand from a year ago. The median home-sale price did increase 14% in the United States during Q3 according to </w:t>
      </w:r>
      <w:r>
        <w:rPr>
          <w:rFonts w:ascii="Arial" w:cs="Arial" w:eastAsia="Arial" w:hAnsi="Arial"/>
          <w:sz w:val="17"/>
          <w:szCs w:val="17"/>
          <w:i w:val="1"/>
          <w:iCs w:val="1"/>
          <w:color w:val="auto"/>
        </w:rPr>
        <w:t>Housing Wire.</w:t>
      </w:r>
      <w:r>
        <w:rPr>
          <w:rFonts w:ascii="Arial" w:cs="Arial" w:eastAsia="Arial" w:hAnsi="Arial"/>
          <w:sz w:val="17"/>
          <w:szCs w:val="17"/>
          <w:color w:val="auto"/>
        </w:rPr>
        <w:t xml:space="preserve"> Increased lumber prices have impacted the remodeling and new build; however, we have seen input prices begin to decrease.</w:t>
      </w:r>
    </w:p>
    <w:p>
      <w:pPr>
        <w:spacing w:after="0" w:line="137"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Additional expenses that would categorize closely to one-time events, were the divestiture of four offices. Three of the offices were in communities of which two offices were present. The review of our office structure spurred from the Company’s strategic plan focusing on improving operating efficiency. Office closure expenses of $406 thousand have been included in the Company’s consolidated statements of income for 2021. During fourth quarter, the last office closure expense should be realized. Total savings is expected to be over $760 thousand, netting a year one savings overall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significant savings going forward. This will allow the Company to use the savings to fund expansion and transformation of existing offices.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ATM’s remain at the locations and all have ceased operations as of the end of the second quarter 2021.</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formed a “Pandemic” committee at the beginning of the COVID-19 situation in 2020 in the United States. The committee was tasked with researching, monitoring and implementing best practices as it relates to the protection of our employees, customers, shareholders and communities at large. We continue to rely on the committee and follow the directives issued as it remains in place today. With offices in three states, we adhere to the guidelines provided and continue to follow quarantine protocols as it relates to exposure and positive tests. We currently require masking of employees along with social distancing. The Company has offered an employee incentive for vaccinations of COVID-19 and/or the flu. Our meetings have fluctuated between in person and virtual as we monitor the risks of spread. We have participated in the government programs made available to our customers and ourselves. COVID-19 has become a routine part of our business and is a standard consideration in each decision we make. Therefore, we have determined a separate section as it relates to COVID-19 is no longer necessary in our reporting. Our PPP loan balances are under $10 million and will no longer have a significant impact on our financials. Our committee remains intact, and we will report on any new programs we may participate in.</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Overall, COVID-19 has increased the speed of adoption of our digital strategy and has changed the physical location of our team members. Departments are now separated to reduce the risk of a whole department being exposed and the utilization of remote work has increased. At the same time, the Company recognizes the importance of social interaction and will continue to explore the best way to bring people together in a safe environment. During the summer, the Bank hosted employee outings to two local zoos. The events were well received and attended. As we prepare for the holidays and budget for 2022, remain assured COVID -19 has influenced our actions and it has heightened our awareness of risks that must be considered and lessened in all future decisions.</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interest earnings increased by $5.8 million as compared to first nine months of 2020. The improvement was due to growth in the balance sheet as the Company continues to operate in the low rate environment preceded by the national prime rate drop of 150 basis points in the first quarter of 2020. The year to date net interest margin increased 9 basis points to 3.36% as compared to year to date June 30, 2021. The asset yield increased by 9 basis points on a year to date basis and 32 basis points when comparing to prior quarter. Cost of funds decreased 1 basis point on a year to date basis and increased 1 basis point when comparing the third quarter’s cost to second quarter 2021. The increase in net interest margin and asset yield is attributable to the accelerated net fee income realized with the payoff or forgiveness of PPP loans. Further discussion of the balance sheet composition movements and the impact on the earnings can be viewed in the Material Results of Operations section that follows.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improved 18.7% in comparing the first nine months 2021 to first nine months 2020 and earnings per share increased 17.5% in the same comparison. The higher net income was mainly driven by two factors: higher interest income and lower interest expense. Interest income on a year to date basis increased 4.5% or $2.4 million compared to 2020. As mentioned previously, interest expense decreased by 40.9% and $3.4 million on a year to date basis compared to first nine months 2020 on 23.1% higher average balances in 2021. Noninterest income, which also played a large part in the improved earnings, increased 17.3% and $1.9 million over the same period 2020. Gain on sales of both 1-4 family mortgage loans and fixed rate agricultural loans along with interchange fees on debit card transactions were the biggest contributors. 1-4 family mortgage activity remains strong though has slowed compared to the last three quarters of 2020. We expect additional slowing the last quarter of the year as refinancing has slowed, housing prices have increased, and inventory of available homes is low throughout most of the Bank’s market area.</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worked diligently to manage during volatile times and the increase in our size and footprint has helped establish diversity of revenue streams and insulated our earnings. While we report and recognize the many one-time costs incurred by our strategic focus, we continue to realize the long-term benefits of our strategies. Our historical prudent approach to lending has continued to demonstrate its benefits in our credit quality. Past dues over 30 days as of September 30, 2021 were 0.11% of total loans outstanding. The relationships we have with our customers, employees, shareholders and communities has allowed our belief in our mission to “help people live their best lives” be realized. The light at the end of the tunnel is beginning to widen and the Company remains well capitalized and plans to continue in our strategic vision of expansion. The last two years has shown us the benefits from such growth are real.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and located in Nevada. We report our financial condition and net income on a consolidated basis and we have only one segment.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twenty-nine full-service banking offices throughout Northwest Ohio and Northeast Indiana and a drive-up facility in Archbold. The Bank also operates three Loan Production Offices (LPOs), one in each state of Ohio, Indiana and Michigan.</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the Bank discontinued operations in four offices, three in Ohio and one in Indiana. Existing customers of those offices will continue to be serviced by other nearby offices.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4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ind w:left="640" w:hanging="272"/>
        <w:spacing w:after="0" w:line="219"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Maximum loan to value (LTV) for cars, SUVs, and trucks is 110% depending on whether direct or indirect.</w:t>
      </w:r>
    </w:p>
    <w:p>
      <w:pPr>
        <w:ind w:left="640" w:hanging="272"/>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Loans above 100% are generally the result of additional charges for extended warranties and/or insurance coverage for wage or death.</w:t>
      </w:r>
    </w:p>
    <w:p>
      <w:pPr>
        <w:spacing w:after="0" w:line="5" w:lineRule="exact"/>
        <w:rPr>
          <w:rFonts w:ascii="Arial" w:cs="Arial" w:eastAsia="Arial" w:hAnsi="Arial"/>
          <w:sz w:val="16"/>
          <w:szCs w:val="16"/>
          <w:color w:val="auto"/>
        </w:rPr>
      </w:pPr>
    </w:p>
    <w:p>
      <w:pPr>
        <w:ind w:left="640" w:hanging="272"/>
        <w:spacing w:after="0" w:line="219"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jc w:val="both"/>
        <w:ind w:left="640" w:hanging="272"/>
        <w:spacing w:after="0" w:line="219"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(PMI) on those exceeding 80% LTV. Exception for 1st lien home equity loans which do not require PMI or exceeding 80% LTV.</w:t>
      </w:r>
    </w:p>
    <w:p>
      <w:pPr>
        <w:ind w:left="640" w:hanging="27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9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0" w:name="page51"/>
    <w:bookmarkEnd w:id="50"/>
    <w:p>
      <w:pPr>
        <w:ind w:left="80"/>
        <w:spacing w:after="0"/>
        <w:rPr>
          <w:sz w:val="20"/>
          <w:szCs w:val="20"/>
          <w:color w:val="auto"/>
        </w:rPr>
      </w:pPr>
      <w:r>
        <w:rPr>
          <w:rFonts w:ascii="Arial" w:cs="Arial" w:eastAsia="Arial" w:hAnsi="Arial"/>
          <w:sz w:val="18"/>
          <w:szCs w:val="18"/>
          <w:color w:val="auto"/>
        </w:rPr>
        <w:t>Commercial/Agriculture:</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Receivable:</w:t>
      </w:r>
    </w:p>
    <w:p>
      <w:pPr>
        <w:spacing w:after="0" w:line="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Up to 80% LTV less retainages and greater than 90 days.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Inventory:</w:t>
      </w:r>
    </w:p>
    <w:p>
      <w:pPr>
        <w:ind w:left="1020" w:hanging="287"/>
        <w:spacing w:after="0" w:line="215"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Agriculture:</w:t>
      </w:r>
    </w:p>
    <w:p>
      <w:pPr>
        <w:ind w:left="1760" w:hanging="366"/>
        <w:spacing w:after="0" w:line="207" w:lineRule="auto"/>
        <w:tabs>
          <w:tab w:leader="none" w:pos="1760"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Livestock and grain up to 80% LTV, crops (insured) up to 75% and Warehouse Receipts up to 87%.</w:t>
      </w:r>
    </w:p>
    <w:p>
      <w:pPr>
        <w:ind w:left="1000" w:hanging="267"/>
        <w:spacing w:after="0" w:line="219"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w:t>
      </w:r>
    </w:p>
    <w:p>
      <w:pPr>
        <w:ind w:left="1760" w:hanging="366"/>
        <w:spacing w:after="0" w:line="203" w:lineRule="auto"/>
        <w:tabs>
          <w:tab w:leader="none" w:pos="1760"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Maximum LTV of 50% on raw and finished goods.</w:t>
      </w:r>
    </w:p>
    <w:p>
      <w:pPr>
        <w:ind w:left="1000" w:hanging="267"/>
        <w:spacing w:after="0" w:line="219"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Floor plan:</w:t>
      </w:r>
    </w:p>
    <w:p>
      <w:pPr>
        <w:ind w:left="1760" w:hanging="366"/>
        <w:spacing w:after="0" w:line="203" w:lineRule="auto"/>
        <w:tabs>
          <w:tab w:leader="none" w:pos="1760"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1760" w:hanging="366"/>
        <w:spacing w:after="0" w:line="230" w:lineRule="auto"/>
        <w:tabs>
          <w:tab w:leader="none" w:pos="1760"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Equipment:</w:t>
      </w:r>
    </w:p>
    <w:p>
      <w:pPr>
        <w:ind w:left="1000" w:hanging="267"/>
        <w:spacing w:after="0" w:line="21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NTE 80% of invoice, used NTE 50% of listed book or 75% of appraised value.</w:t>
      </w:r>
    </w:p>
    <w:p>
      <w:pPr>
        <w:ind w:left="1000" w:hanging="267"/>
        <w:spacing w:after="0" w:line="21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ind w:left="1000" w:hanging="26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Heavy trucks, titled trailers NTE 75% LTV and aircraft up to 75% of appraised value.</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Real Estate:</w:t>
      </w:r>
    </w:p>
    <w:p>
      <w:pPr>
        <w:ind w:left="1000" w:hanging="267"/>
        <w:spacing w:after="0" w:line="21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ind w:left="1000" w:hanging="26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Bank’s primary market includes communities located in the Ohio counties of Defiance, Fulton, Hancock, Henry, Lucas, Williams, Wood and in the Indiana counties of Adams, Allen, DeKalb, Jay, Steuben and Wells.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September 30, 2021, we had 366 full time equivalent employees. The employees are not represented by a collective bargaining unit. We provide our employees with a comprehensive benefit program, some of which is contributory. We consider our employee relations to be good.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REGULATORY DEVELOPMENTS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global spread of the Coronavirus (COVID-19) and resulting declaration of a world-wide pandemic have impacted the financial services industry and banking operations in the United States (US) and world-wide. The financial services sector is 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 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involved modification of loan terms for existing borrowers, waiver of</w:t>
      </w:r>
    </w:p>
    <w:p>
      <w:pPr>
        <w:spacing w:after="0" w:line="16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679" w:right="339" w:bottom="1440" w:gutter="0" w:footer="0" w:header="0"/>
        </w:sectPr>
      </w:pPr>
    </w:p>
    <w:bookmarkStart w:id="51" w:name="page52"/>
    <w:bookmarkEnd w:id="51"/>
    <w:p>
      <w:pPr>
        <w:jc w:val="both"/>
        <w:ind w:left="3"/>
        <w:spacing w:after="0" w:line="268" w:lineRule="auto"/>
        <w:rPr>
          <w:sz w:val="20"/>
          <w:szCs w:val="20"/>
          <w:color w:val="auto"/>
        </w:rPr>
      </w:pPr>
      <w:r>
        <w:rPr>
          <w:rFonts w:ascii="Arial" w:cs="Arial" w:eastAsia="Arial" w:hAnsi="Arial"/>
          <w:sz w:val="17"/>
          <w:szCs w:val="17"/>
          <w:color w:val="auto"/>
        </w:rPr>
        <w:t>certain fees and charges, providing small dollar loans, and offering forbearance and payment deferrals on mortgage loan obligations due to financial hardship. Legislation enacted in March 2020 has provided the Families First Coronavirus Response Act (FFCRA) and CARES Act. The FFCRA which was effective through December 31, 2020, provided for a paid leave for employees (of employers with fewer than 500 employees) who had to quarantine due to the coronavirus, were caring for a sick family member, or caring for a child out of school. It significantly expanded existing protections currently available to employees who take leave to care for a sick family member. The CARES Act, among other matters, resulted in expansion of SBA Lending Programs; provided for a financial election to suspend GAAP principles and regulatory determinations for COVID-19 related loan modifications that would otherwise be deemed Trouble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was the rollout of the SBA Paycheck Protection Program (PPP). The PPP authorized lending of up to $350 billion in 100% guaranteed 7(a) loans to cover payroll costs, interest on mortgage payments, rent obligations, and utilities. The PPP provided a guaranteed loan for which a portion of the loan up to or equal to 8 weeks of covered payroll and specific operating expenses can be forgiven. The maximum loan size was capped at the lessor of 250% of the average monthly payroll costs or $10 million.</w:t>
      </w:r>
    </w:p>
    <w:p>
      <w:pPr>
        <w:spacing w:after="0" w:line="153" w:lineRule="exact"/>
        <w:rPr>
          <w:sz w:val="20"/>
          <w:szCs w:val="20"/>
          <w:color w:val="auto"/>
        </w:rPr>
      </w:pPr>
    </w:p>
    <w:p>
      <w:pPr>
        <w:jc w:val="both"/>
        <w:ind w:left="3"/>
        <w:spacing w:after="0" w:line="269" w:lineRule="auto"/>
        <w:rPr>
          <w:sz w:val="20"/>
          <w:szCs w:val="20"/>
          <w:color w:val="auto"/>
        </w:rPr>
      </w:pPr>
      <w:r>
        <w:rPr>
          <w:rFonts w:ascii="Arial" w:cs="Arial" w:eastAsia="Arial" w:hAnsi="Arial"/>
          <w:sz w:val="17"/>
          <w:szCs w:val="17"/>
          <w:color w:val="auto"/>
        </w:rPr>
        <w:t>In April 2020, legislation known as the Paycheck Protection Program and Health Care Enhancement Act provided additional funding to replenish and supplement key programs under the CARES Act. Included in this legislation was the extension of the PPP with an additional $320 billion in funding. At least $60 billion of this funding was to be set aside for small and midsize banks and community lenders. Since April, the SBA has issued various Interim Final Rules to supplement and clarify matters involving the PPP. The Paycheck Protection Program Flexibility Act of 2020 (PPPFA) was enacted in early June 2020. This provided more flexibility to Borrowers regarding use of PPP loan funds. Certain provisions were retroactive to the date of the CARES Act and all PPP loans. Among these provisions were the extension of the covered period of the loan, extension of the forgiveness period, deferral of payments based on the loan forgiveness period, reduction in the minimum that must be spent for payroll costs, extended date by which employees must be rehired, and removal of restrictions on payroll tax deferral. The term for subsequent PPO loans made after enactment of the PPPFA was extended to five years from two. A primary focus is now directed to aiding PPP borrowers in navigating the loan forgiveness process.</w:t>
      </w:r>
    </w:p>
    <w:p>
      <w:pPr>
        <w:spacing w:after="0" w:line="145" w:lineRule="exact"/>
        <w:rPr>
          <w:sz w:val="20"/>
          <w:szCs w:val="20"/>
          <w:color w:val="auto"/>
        </w:rPr>
      </w:pPr>
    </w:p>
    <w:p>
      <w:pPr>
        <w:jc w:val="both"/>
        <w:ind w:left="3"/>
        <w:spacing w:after="0" w:line="284" w:lineRule="auto"/>
        <w:rPr>
          <w:sz w:val="20"/>
          <w:szCs w:val="20"/>
          <w:color w:val="auto"/>
        </w:rPr>
      </w:pPr>
      <w:r>
        <w:rPr>
          <w:rFonts w:ascii="Arial" w:cs="Arial" w:eastAsia="Arial" w:hAnsi="Arial"/>
          <w:sz w:val="16"/>
          <w:szCs w:val="16"/>
          <w:color w:val="auto"/>
        </w:rPr>
        <w:t>FFCRA requirements to provide paid leave to employees ended on December 31, 2020. Due to the extended duration of the COVID-19 pandemic, employers subject to FFCRA could voluntarily extend the paid leave option until March 31, 2021. If the employer has elected to voluntarily apply the FFCRA extension, employees eligible for leave in 2020 and did not use the leave may take the leave in 2021. Under the American Rescue Plan of 2021 enacted in March 2021, for those employers who voluntarily extend the paid leave option, paid leave was reset starting April 1, 2021. If employees previously exhausted their paid leave under FFCRA, they may be entitled to an additional 10 days/80 hours for use. Additionally, the PPP was reauthorized with passage of the Economic Aid to Hard-Hit Small Businesses, Nonprofits, and Venues Act. It was originally intended to run through March 31, 2021 and was subsequently extended to May 31, 2021. Under the new legislation, $284 billion in funding for first and second-time PPP loan borrowers was provided to the SBA. Three categories of businesses are eligible to apply for PPP:</w:t>
      </w:r>
    </w:p>
    <w:p>
      <w:pPr>
        <w:spacing w:after="0" w:line="1" w:lineRule="exact"/>
        <w:rPr>
          <w:sz w:val="20"/>
          <w:szCs w:val="20"/>
          <w:color w:val="auto"/>
        </w:rPr>
      </w:pPr>
    </w:p>
    <w:p>
      <w:pPr>
        <w:jc w:val="both"/>
        <w:ind w:left="3" w:hanging="3"/>
        <w:spacing w:after="0" w:line="268" w:lineRule="auto"/>
        <w:tabs>
          <w:tab w:leader="none" w:pos="2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qualified business that did not receive a PPP loan during the first funding round; 2) previous PPP loan recipients who need a second loan and meet certain criteria; previous PPP loan recipients who returned all or a portion of their original loans and want to apply to additional funding. To be eligible, any business applying for PPP must have been in operation since at least February 15, 2020. Specific eligibility criteria apply to first-time PPP borrowers and previous PPP loan recipients. For 2021, PPP provides expanded coverage for expenditures in addition to covered payroll and specific operating expenses. For second-time loan recipients, the maximum loan amount was reduced from $10 million to $2 million. A loan recipient is eligible for full loan forgiveness if at least 60% of the loan amount is spent on payroll costs. Funds must be spent over a covered period of the loan recipients’ choosing between eight and 24 weeks after loan origination to be eligible for forgiveness. Depending on the continued duration of COVID-19 spread, further legislation and regulatory guidance may continue due to the economic impact on customers, businesses, communities, and industry sectors.</w:t>
      </w:r>
    </w:p>
    <w:p>
      <w:pPr>
        <w:spacing w:after="0" w:line="141" w:lineRule="exact"/>
        <w:rPr>
          <w:sz w:val="20"/>
          <w:szCs w:val="20"/>
          <w:color w:val="auto"/>
        </w:rPr>
      </w:pPr>
    </w:p>
    <w:p>
      <w:pPr>
        <w:ind w:left="3"/>
        <w:spacing w:after="0" w:line="277" w:lineRule="auto"/>
        <w:rPr>
          <w:sz w:val="20"/>
          <w:szCs w:val="20"/>
          <w:color w:val="auto"/>
        </w:rPr>
      </w:pPr>
      <w:r>
        <w:rPr>
          <w:rFonts w:ascii="Arial" w:cs="Arial" w:eastAsia="Arial" w:hAnsi="Arial"/>
          <w:sz w:val="18"/>
          <w:szCs w:val="18"/>
          <w:color w:val="auto"/>
        </w:rPr>
        <w:t>The Coronavirus Response and Relief Supplemental Appropriations Act, passed by Congress in December 2020, extended certain provisions of the CARES Act affecting the Company into 2021. Key banking provisions under this legislation include the following:</w:t>
      </w:r>
    </w:p>
    <w:p>
      <w:pPr>
        <w:spacing w:after="0" w:line="143" w:lineRule="exact"/>
        <w:rPr>
          <w:sz w:val="20"/>
          <w:szCs w:val="20"/>
          <w:color w:val="auto"/>
        </w:rPr>
      </w:pPr>
    </w:p>
    <w:p>
      <w:pPr>
        <w:ind w:left="743" w:right="20" w:hanging="372"/>
        <w:spacing w:after="0" w:line="251" w:lineRule="auto"/>
        <w:tabs>
          <w:tab w:leader="none" w:pos="7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Provided an additional $284.6 billion in Paycheck Protection Program (PPP) funding for loans to small businesses, including for borrowers who have previously received a PPP loan.</w:t>
      </w:r>
    </w:p>
    <w:p>
      <w:pPr>
        <w:spacing w:after="0" w:line="1" w:lineRule="exact"/>
        <w:rPr>
          <w:rFonts w:ascii="Arial" w:cs="Arial" w:eastAsia="Arial" w:hAnsi="Arial"/>
          <w:sz w:val="18"/>
          <w:szCs w:val="18"/>
          <w:color w:val="auto"/>
        </w:rPr>
      </w:pPr>
    </w:p>
    <w:p>
      <w:pPr>
        <w:ind w:left="743" w:hanging="372"/>
        <w:spacing w:after="0"/>
        <w:tabs>
          <w:tab w:leader="none" w:pos="7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one-page simplified forgiveness process for PPP loans under $150,000.</w:t>
      </w:r>
    </w:p>
    <w:p>
      <w:pPr>
        <w:spacing w:after="0" w:line="209" w:lineRule="exact"/>
        <w:rPr>
          <w:sz w:val="20"/>
          <w:szCs w:val="20"/>
          <w:color w:val="auto"/>
        </w:rPr>
      </w:pPr>
    </w:p>
    <w:p>
      <w:pPr>
        <w:ind w:left="4783"/>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44" w:right="339" w:bottom="1440" w:gutter="0" w:footer="0" w:header="0"/>
        </w:sectPr>
      </w:pPr>
    </w:p>
    <w:bookmarkStart w:id="52" w:name="page53"/>
    <w:bookmarkEnd w:id="52"/>
    <w:p>
      <w:pPr>
        <w:ind w:left="740" w:hanging="372"/>
        <w:spacing w:after="0" w:line="258"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Clarification to various CARES Act provisions, the tax treatment of PPP expenses, lender responsibilities for agent fees, and lender “hold harmless” protections under the PPP and other laws.</w:t>
      </w:r>
    </w:p>
    <w:p>
      <w:pPr>
        <w:spacing w:after="0" w:line="1" w:lineRule="exact"/>
        <w:rPr>
          <w:rFonts w:ascii="Arial" w:cs="Arial" w:eastAsia="Arial" w:hAnsi="Arial"/>
          <w:sz w:val="18"/>
          <w:szCs w:val="18"/>
          <w:color w:val="auto"/>
        </w:rPr>
      </w:pPr>
    </w:p>
    <w:p>
      <w:pPr>
        <w:jc w:val="both"/>
        <w:ind w:left="740" w:hanging="372"/>
        <w:spacing w:after="0" w:line="250"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further delay in Troubled Debt Restructuring (TDR) accounting until 60 days after the termination of the national emergency, or January 1, 2022. During third quarter 2021, there was one loan modification for $3.1 million that would have been previously treated as TDR under the guidance in ASC 310-40.</w:t>
      </w:r>
    </w:p>
    <w:p>
      <w:pPr>
        <w:spacing w:after="0" w:line="1" w:lineRule="exact"/>
        <w:rPr>
          <w:rFonts w:ascii="Arial" w:cs="Arial" w:eastAsia="Arial" w:hAnsi="Arial"/>
          <w:sz w:val="18"/>
          <w:szCs w:val="18"/>
          <w:color w:val="auto"/>
        </w:rPr>
      </w:pPr>
    </w:p>
    <w:p>
      <w:pPr>
        <w:ind w:left="740" w:hanging="37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further optional delay in Current Expected Credit Loss (CECL) accounting until January 1, 2022.</w:t>
      </w:r>
    </w:p>
    <w:p>
      <w:pPr>
        <w:spacing w:after="0" w:line="9" w:lineRule="exact"/>
        <w:rPr>
          <w:rFonts w:ascii="Arial" w:cs="Arial" w:eastAsia="Arial" w:hAnsi="Arial"/>
          <w:sz w:val="18"/>
          <w:szCs w:val="18"/>
          <w:color w:val="auto"/>
        </w:rPr>
      </w:pPr>
    </w:p>
    <w:p>
      <w:pPr>
        <w:ind w:left="740" w:hanging="372"/>
        <w:spacing w:after="0" w:line="250"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round of Economic Impact Payments (EIPs) for consumers, with aggressive distribution timelines and new exemptions from garnishments.</w:t>
      </w:r>
    </w:p>
    <w:p>
      <w:pPr>
        <w:ind w:left="740" w:hanging="372"/>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 added support for Community Development Financial Institutions (CDFIs) and Minority Depository Institutions (MDIs).</w:t>
      </w:r>
    </w:p>
    <w:p>
      <w:pPr>
        <w:spacing w:after="0" w:line="20" w:lineRule="exact"/>
        <w:rPr>
          <w:rFonts w:ascii="Arial" w:cs="Arial" w:eastAsia="Arial" w:hAnsi="Arial"/>
          <w:sz w:val="17"/>
          <w:szCs w:val="17"/>
          <w:color w:val="auto"/>
        </w:rPr>
      </w:pPr>
    </w:p>
    <w:p>
      <w:pPr>
        <w:ind w:left="740" w:hanging="37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Funding for agricultural support programs and for renter assistance programs.</w:t>
      </w:r>
    </w:p>
    <w:p>
      <w:pPr>
        <w:spacing w:after="0" w:line="9" w:lineRule="exact"/>
        <w:rPr>
          <w:rFonts w:ascii="Arial" w:cs="Arial" w:eastAsia="Arial" w:hAnsi="Arial"/>
          <w:sz w:val="18"/>
          <w:szCs w:val="18"/>
          <w:color w:val="auto"/>
        </w:rPr>
      </w:pPr>
    </w:p>
    <w:p>
      <w:pPr>
        <w:ind w:left="740" w:hanging="372"/>
        <w:spacing w:after="0" w:line="260"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existing Federal Reserve emergency lending authority under the CARES Act, while preserving the Fed’s general 13(3) emergency authority existing prior to that Act.</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2020, new Qualified Mortgage (QM) Definition rules were issued by the Consumer Financial Protection Bureau. One set of rules revised the General QM definition and another set added the definition of a Seasoned QM Loan. Both QM Loan rules had an effective date of March 1, 2021. The revised General QM rule replaced the General QM loans definition of a 43% debt-to-income (DTI) limit with a focus on the loan pricing and whether the Annual Percentage Rate exceeds the average prime offer rate by less than 2.25 percentage points. Compliance with the revised General QM Loan rule had a mandatory compliance date of July 1, 2021. The existing Temporary Government Sponsored Entity (GSE) QM option was set to expire as of the mandatory compliance date for the revised General QM Rule. Subsequently, the CFPB issued a final rule published in the Federal Register on April 30, 2021 which delayed and extended the mandatory compliance date for the revised General QM rule to October 1, 2022. At the present time, the Company has the option to comply with either the original DTI-based General QM Loan definition or the revised price-based new General QM Loan definition. Since the Company sells fixed rate consumer mortgage loans to the Federal Home Loan Mortgage Corporation, it must remain attentive to their current loan underwriting requirements and how they evolve in the extended interim period.</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0" w:right="33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7"/>
          <w:szCs w:val="17"/>
          <w:color w:val="auto"/>
        </w:rPr>
        <w:t>The net income from operations of foreclosed real estate held for sale is reported either in noninterest income or noninterest expense depending upon whether the property is in a gain or loss position overall. At September 30, 2021 OREO property holdings were $167 thousand. OREO totaled $71 thousand and $206 thousand as of December 31, 2020 and September 30, 2020 respectively.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Inherent in most estimates is imprecision. The Bank’s ALLL may include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 For more information regarding the estimates and calculations used to establish the ALLL please see Note 4 to the consolidated financial statements provided herewith.</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it has sold without recourse but services for others for a fee represent an asset on the Bank’s balance sheet. The valuation is completed by an independent third party.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stratum,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plans to continue in its growth mode in 2021 led by loan growth from within our newer markets. The Bank is focused on funding the loan growth with the least expensive source of deposits, sale of securities or borrowings. Growing deposits will also be a focus especially in our newer markets. The Bank offers the Insured Cash Sweep (“ICS”) product</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4" w:name="page55"/>
    <w:bookmarkEnd w:id="54"/>
    <w:p>
      <w:pPr>
        <w:jc w:val="both"/>
        <w:ind w:right="20"/>
        <w:spacing w:after="0" w:line="277" w:lineRule="auto"/>
        <w:rPr>
          <w:sz w:val="20"/>
          <w:szCs w:val="20"/>
          <w:color w:val="auto"/>
        </w:rPr>
      </w:pPr>
      <w:r>
        <w:rPr>
          <w:rFonts w:ascii="Arial" w:cs="Arial" w:eastAsia="Arial" w:hAnsi="Arial"/>
          <w:sz w:val="18"/>
          <w:szCs w:val="18"/>
          <w:color w:val="auto"/>
        </w:rPr>
        <w:t>accessed through the Promontory network of financial institutions which helps to reduce the amount of pledged securities. This has provided more availability for runoff of securities by the Bank if warranted to fund loan growth.</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Liquidity in terms of cash and cash equivalents ended $17.6 million lower as of September 30, 2021 than it was at yearend December 31, 2020. An increase in deposits helped to fund the $190.5 million increase in net loans since yearend 2020. All loan portfolios with the exception of the agricultural real estate portfolio increased compared to December 31, 2020.</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comparing to the same prior year period, the September 30, 2021 (net of deferred fees and cost) loan balances of $1.5 billion accounted for $131.7 million or 9.7% increase when compared to 2020’s $1.4 billion. The year over year improvement was made up of a combined increase of 4.9% in commercial and industrial related loans (comprised of 22.5% in commercial real estate loans and a decrease of 17.6% in non-real estate commercial loans). PPP loans of approximately $9.8 million and $87.2 million are included in the non-real estate commercial portfolio as of September 30, 2021 and September 30, 2020, respectively. Consumer real estate loans increased by 15.2%, consumer loans by 4.0% and other loans by 244.4%. Agricultural related loans decreased 4.8% year over year (comprised of 7.0% in agricultural real estate and offset by an increase of 2.2% in non-real estate agricultural loans). The Company credits the growth not only to the OFSI acquisition but also to the strong team of lenders focused on providing customers valuable localized services and thereby increasing our market share.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shows the breakdown of the loan portfolio category as of September 30, for the last three years, net of deferred fees and costs.</w:t>
      </w:r>
    </w:p>
    <w:p>
      <w:pPr>
        <w:spacing w:after="0" w:line="289"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r>
      <w:tr>
        <w:trPr>
          <w:trHeight w:val="229"/>
        </w:trPr>
        <w:tc>
          <w:tcPr>
            <w:tcW w:w="3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Amount</w:t>
            </w: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202,370</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175,595</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179,051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192,577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200,625</w:t>
            </w:r>
          </w:p>
        </w:tc>
        <w:tc>
          <w:tcPr>
            <w:tcW w:w="100" w:type="dxa"/>
            <w:vAlign w:val="bottom"/>
          </w:tcPr>
          <w:p>
            <w:pPr>
              <w:spacing w:after="0"/>
              <w:rPr>
                <w:sz w:val="19"/>
                <w:szCs w:val="19"/>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105,722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103,476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110,405</w:t>
            </w:r>
          </w:p>
        </w:tc>
        <w:tc>
          <w:tcPr>
            <w:tcW w:w="100" w:type="dxa"/>
            <w:vAlign w:val="bottom"/>
            <w:shd w:val="clear" w:color="auto" w:fill="CFF0FC"/>
          </w:tcPr>
          <w:p>
            <w:pPr>
              <w:spacing w:after="0"/>
              <w:rPr>
                <w:sz w:val="19"/>
                <w:szCs w:val="19"/>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727,418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593,936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501,095</w:t>
            </w:r>
          </w:p>
        </w:tc>
        <w:tc>
          <w:tcPr>
            <w:tcW w:w="100" w:type="dxa"/>
            <w:vAlign w:val="bottom"/>
          </w:tcPr>
          <w:p>
            <w:pPr>
              <w:spacing w:after="0"/>
              <w:rPr>
                <w:sz w:val="19"/>
                <w:szCs w:val="19"/>
                <w:color w:val="auto"/>
              </w:rPr>
            </w:pP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194,286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235,793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130,228</w:t>
            </w:r>
          </w:p>
        </w:tc>
        <w:tc>
          <w:tcPr>
            <w:tcW w:w="10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Consumer</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49,718</w:t>
            </w:r>
          </w:p>
        </w:tc>
        <w:tc>
          <w:tcPr>
            <w:tcW w:w="100" w:type="dxa"/>
            <w:vAlign w:val="bottom"/>
          </w:tcPr>
          <w:p>
            <w:pPr>
              <w:spacing w:after="0"/>
              <w:rPr>
                <w:sz w:val="19"/>
                <w:szCs w:val="19"/>
                <w:color w:val="auto"/>
              </w:rPr>
            </w:pP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8,167</w:t>
            </w:r>
          </w:p>
        </w:tc>
        <w:tc>
          <w:tcPr>
            <w:tcW w:w="100" w:type="dxa"/>
            <w:vAlign w:val="bottom"/>
            <w:shd w:val="clear" w:color="auto" w:fill="CFF0FC"/>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Loans, net</w:t>
            </w:r>
          </w:p>
        </w:tc>
        <w:tc>
          <w:tcPr>
            <w:tcW w:w="17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1,495,562</w:t>
            </w:r>
          </w:p>
        </w:tc>
        <w:tc>
          <w:tcPr>
            <w:tcW w:w="3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1,363,862</w:t>
            </w:r>
          </w:p>
        </w:tc>
        <w:tc>
          <w:tcPr>
            <w:tcW w:w="3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1,158,696</w:t>
            </w:r>
          </w:p>
        </w:tc>
        <w:tc>
          <w:tcPr>
            <w:tcW w:w="100" w:type="dxa"/>
            <w:vAlign w:val="bottom"/>
            <w:shd w:val="clear" w:color="auto" w:fill="CFF0FC"/>
          </w:tcPr>
          <w:p>
            <w:pPr>
              <w:spacing w:after="0"/>
              <w:rPr>
                <w:sz w:val="19"/>
                <w:szCs w:val="19"/>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contractual maturity schedule by major category of loans excluding fair value adjustments as of September 30, 2021.</w:t>
      </w:r>
    </w:p>
    <w:p>
      <w:pPr>
        <w:spacing w:after="0" w:line="277"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0"/>
              </w:rPr>
              <w:t>(In Thousands)</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After One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Within</w:t>
            </w:r>
          </w:p>
        </w:tc>
        <w:tc>
          <w:tcPr>
            <w:tcW w:w="116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Year Within</w:t>
            </w:r>
          </w:p>
        </w:tc>
        <w:tc>
          <w:tcPr>
            <w:tcW w:w="10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After</w:t>
            </w:r>
          </w:p>
        </w:tc>
      </w:tr>
      <w:tr>
        <w:trPr>
          <w:trHeight w:val="230"/>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One Year</w:t>
            </w:r>
          </w:p>
        </w:tc>
        <w:tc>
          <w:tcPr>
            <w:tcW w:w="116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Five Years</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Five Years</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8,137</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31,278</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163,269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171,167</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61,331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32,014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12,266</w:t>
            </w:r>
          </w:p>
        </w:tc>
        <w:tc>
          <w:tcPr>
            <w:tcW w:w="8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323,045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377,209</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67,459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94,500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33,473</w:t>
            </w:r>
          </w:p>
        </w:tc>
        <w:tc>
          <w:tcPr>
            <w:tcW w:w="8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36,199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14,249</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29,746</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security portfolio has been utilized to fund loan growth for the last three years, additional sources have been cultivated during 2019, 2020, and 2021. The security portfolio increased $118.9 million in the first nine months of 2021 from yearend 2020 and $167.7 million from September 2020. The amount of pledged investment securities decreased by $6.1 million as compared to yearend and $9.9 million as compared to September 30, 2020. Liquidity is improved with the additional option of selling unpledged investment securities if needed to fund loan growth or other initiatives. As of</w:t>
      </w:r>
    </w:p>
    <w:p>
      <w:pPr>
        <w:spacing w:after="0" w:line="18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55" w:name="page56"/>
    <w:bookmarkEnd w:id="55"/>
    <w:p>
      <w:pPr>
        <w:jc w:val="both"/>
        <w:ind w:left="760"/>
        <w:spacing w:after="0" w:line="277" w:lineRule="auto"/>
        <w:rPr>
          <w:sz w:val="20"/>
          <w:szCs w:val="20"/>
          <w:color w:val="auto"/>
        </w:rPr>
      </w:pPr>
      <w:r>
        <w:rPr>
          <w:rFonts w:ascii="Arial" w:cs="Arial" w:eastAsia="Arial" w:hAnsi="Arial"/>
          <w:sz w:val="18"/>
          <w:szCs w:val="18"/>
          <w:color w:val="auto"/>
        </w:rPr>
        <w:t>September 30, 2021, pledged investment securities totaled $77.1 million. The current portfolio is in a net unrealized gain position of $1.1 million.</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For the Bank, an additional $6.7 million is also available from the Federal Home Loan Bank based on current amounts of pledged collateral. At the present time, only 1-4 family and home equity portfolios are pledged. Additional borrowings would be available if additional portfolios (i.e. commercial real estate) were pledged.</w:t>
      </w:r>
    </w:p>
    <w:p>
      <w:pPr>
        <w:spacing w:after="0" w:line="157"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are intended to qualify as Tier 2 capital for regulatory purposes. The Company intends to use the net proceeds from the Offering for general corporate purposes, including financing acquisitions and organic growth.</w:t>
      </w:r>
    </w:p>
    <w:p>
      <w:pPr>
        <w:spacing w:after="0" w:line="117"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and/or sales from the security portfolio, increased deposits and additional borrowings. For short term needs, the Bank has $163.2 million of unsecured borrowing capacity through its correspondent banks.</w:t>
      </w:r>
    </w:p>
    <w:p>
      <w:pPr>
        <w:spacing w:after="0" w:line="157"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Overall total assets increased 16.2% since yearend 2020 and grew 21.5% since September 30, 2020. The largest growth in both periods was in the loan portfolios and securities. Cash and cash equivalents also increased significantly compared to September 30, 2020.</w:t>
      </w:r>
    </w:p>
    <w:p>
      <w:pPr>
        <w:spacing w:after="0" w:line="106"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Deposits accounted for the largest growth within liabilities, up 16.9% or $270.1 million since yearend and 26.3% or $388.9 million over September 30, 2020 balances. The OFSI acquisition contributed $116.0 million to the overall increase in the deposit balances compared to yearend and September 30, 2020. As stated previously, the growth of deposits correlated to a flight to safety as the stock market continues to experience some volatility. Core deposits continue to drive the increase which provide the opportunity to generate additional noninterest income. This growth aided the increased liquidity position and funded the loan growth for the periods along with usage of excess Federal Funds sold for daily borrowings.</w:t>
      </w:r>
    </w:p>
    <w:p>
      <w:pPr>
        <w:spacing w:after="0" w:line="152"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Shareholders’ equity increased by $5.6 million as of the third quarter of 2021 compared to yearend 2020. Earnings exceeded dividend declarations during the nine months ended September 30, 2021. Accumulated other comprehensive income decreased in unrealized gain position by $4.8 million from December 2020 to an unrealized gain of $901 thousand on September 30, 2021. Dividends declared increased $0.01 from the last four quarters to $0.18 per share. Compared to September 30, 2020, shareholders’ equity increased 6.0% or $14.4 million. Profits were higher year to date September 2021 than year to date September 2020 by $2.5 million.</w:t>
      </w:r>
    </w:p>
    <w:p>
      <w:pPr>
        <w:spacing w:after="0" w:line="149"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increased to 1.875%. The total buffer requirement increased to 2.5% for calendar year 2019. As of September 30, 2021, the Company and the Bank are both positioned well above the 2019 requirement.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Holding Company has sufficient liquidity to maintain its dividend policy without relying on the upstreaming of dividends from the Bank.</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Bank continues to be well-capitalized in accordance with Federal regulatory capital requirements as the capital ratios below show: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3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3900" w:type="dxa"/>
            <w:vAlign w:val="bottom"/>
          </w:tcPr>
          <w:p>
            <w:pPr>
              <w:jc w:val="right"/>
              <w:spacing w:after="0"/>
              <w:rPr>
                <w:sz w:val="20"/>
                <w:szCs w:val="20"/>
                <w:color w:val="auto"/>
              </w:rPr>
            </w:pPr>
            <w:r>
              <w:rPr>
                <w:rFonts w:ascii="Arial" w:cs="Arial" w:eastAsia="Arial" w:hAnsi="Arial"/>
                <w:sz w:val="18"/>
                <w:szCs w:val="18"/>
                <w:color w:val="auto"/>
              </w:rPr>
              <w:t>11.25%</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3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3900" w:type="dxa"/>
            <w:vAlign w:val="bottom"/>
          </w:tcPr>
          <w:p>
            <w:pPr>
              <w:jc w:val="right"/>
              <w:spacing w:after="0"/>
              <w:rPr>
                <w:sz w:val="20"/>
                <w:szCs w:val="20"/>
                <w:color w:val="auto"/>
              </w:rPr>
            </w:pPr>
            <w:r>
              <w:rPr>
                <w:rFonts w:ascii="Arial" w:cs="Arial" w:eastAsia="Arial" w:hAnsi="Arial"/>
                <w:sz w:val="18"/>
                <w:szCs w:val="18"/>
                <w:color w:val="auto"/>
              </w:rPr>
              <w:t>10.81%</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3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240" w:type="dxa"/>
            <w:vAlign w:val="bottom"/>
          </w:tcPr>
          <w:p>
            <w:pPr>
              <w:spacing w:after="0"/>
              <w:rPr>
                <w:sz w:val="19"/>
                <w:szCs w:val="19"/>
                <w:color w:val="auto"/>
              </w:rPr>
            </w:pPr>
          </w:p>
        </w:tc>
      </w:tr>
      <w:tr>
        <w:trPr>
          <w:trHeight w:val="675"/>
        </w:trPr>
        <w:tc>
          <w:tcPr>
            <w:tcW w:w="2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900" w:type="dxa"/>
            <w:vAlign w:val="bottom"/>
          </w:tcPr>
          <w:p>
            <w:pPr>
              <w:jc w:val="right"/>
              <w:ind w:right="3190"/>
              <w:spacing w:after="0"/>
              <w:rPr>
                <w:sz w:val="20"/>
                <w:szCs w:val="20"/>
                <w:color w:val="auto"/>
              </w:rPr>
            </w:pPr>
            <w:r>
              <w:rPr>
                <w:rFonts w:ascii="Arial" w:cs="Arial" w:eastAsia="Arial" w:hAnsi="Arial"/>
                <w:sz w:val="18"/>
                <w:szCs w:val="18"/>
                <w:color w:val="auto"/>
              </w:rPr>
              <w:t>56</w:t>
            </w: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ind w:left="180"/>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Comparison of Results of Interest Earnings and Expenses for three month periods ended September 30, 2021 and 2020</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When comparing third quarter 2021 to third quarter 2020, average loan balances with the acquisition of OFSI grew $131.8 million with PPP loans decreasing $64.6 million. This represented a 9.7% increase in a one-year time period. Interest income on loan balances experienced an increase of $2.6 million as compared to the quarter ended September 30, 2020. Net fee income for the PPP loans is recognized on a straight line basis over 24 months for the first draw and 60 months for the second draw and will be accelerated upon payoff. PPP loan income for the quarter included interest income of $56.7 thousand and net fee income of $2.5 million compared to $219.7 thousand of loan interest income and $416.9 thousand of net fee income for 2020.</w:t>
      </w:r>
    </w:p>
    <w:p>
      <w:pPr>
        <w:spacing w:after="0" w:line="152"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The available-for-sale securities portfolio increased in average balances by $144.0 million when comparing to the previous year while the income increased $176 thousand over third quarter. Federal funds sold and interest-bearing deposits increased in average balances by $103.6 million as compared to the same quarter in 2020 with increased income of $68 thousand for the current quarter. Refer to Note 2 Business Combination and Asset Purchase for information on assets acquired from OFSI.</w:t>
      </w:r>
    </w:p>
    <w:p>
      <w:pPr>
        <w:spacing w:after="0" w:line="160" w:lineRule="exact"/>
        <w:rPr>
          <w:sz w:val="20"/>
          <w:szCs w:val="20"/>
          <w:color w:val="auto"/>
        </w:rPr>
      </w:pPr>
    </w:p>
    <w:p>
      <w:pPr>
        <w:jc w:val="both"/>
        <w:ind w:left="180"/>
        <w:spacing w:after="0" w:line="342" w:lineRule="auto"/>
        <w:rPr>
          <w:sz w:val="20"/>
          <w:szCs w:val="20"/>
          <w:color w:val="auto"/>
        </w:rPr>
      </w:pPr>
      <w:r>
        <w:rPr>
          <w:rFonts w:ascii="Arial" w:cs="Arial" w:eastAsia="Arial" w:hAnsi="Arial"/>
          <w:sz w:val="16"/>
          <w:szCs w:val="16"/>
          <w:color w:val="auto"/>
        </w:rPr>
        <w:t>The overall total average balance of the Bank’s earning assets increased and interest income for the quarter comparisons was higher for third quarter 2021 by 16.4% or $2.8 million as compared to third quarter 2020. A low prime lending rate has contributed to the decrease in rate yield.</w:t>
      </w:r>
    </w:p>
    <w:p>
      <w:pPr>
        <w:spacing w:after="0" w:line="83"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Annualized yield, for the quarter ended September 30, 2021, was 3.53% as compared to 4.25% for the quarter ended September 30, 2020. The following charts demonstrate the value of increased loan balances in the balance sheet mix, as well as the impact on the changes in interest rates. The yields on tax-exempt securities and the portion of the tax-exempt IDB loans included in loans have been tax adjusted based on a 21% tax rate in the charts to follow.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618"/>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color w:val="auto"/>
                <w:w w:val="90"/>
              </w:rPr>
              <w:t>Quarter to Date Ended September 30, 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8"/>
                <w:szCs w:val="18"/>
                <w:color w:val="auto"/>
              </w:rPr>
              <w:t>Annualized Yield/Rate</w:t>
            </w:r>
          </w:p>
        </w:tc>
      </w:tr>
      <w:tr>
        <w:trPr>
          <w:trHeight w:val="209"/>
        </w:trPr>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238"/>
              <w:spacing w:after="0"/>
              <w:rPr>
                <w:sz w:val="20"/>
                <w:szCs w:val="20"/>
                <w:color w:val="auto"/>
              </w:rPr>
            </w:pPr>
            <w:r>
              <w:rPr>
                <w:rFonts w:ascii="Arial" w:cs="Arial" w:eastAsia="Arial" w:hAnsi="Arial"/>
                <w:sz w:val="18"/>
                <w:szCs w:val="18"/>
                <w:color w:val="auto"/>
                <w:w w:val="98"/>
              </w:rPr>
              <w:t>September 30,</w:t>
            </w:r>
          </w:p>
        </w:tc>
        <w:tc>
          <w:tcPr>
            <w:tcW w:w="12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September 30,</w:t>
            </w:r>
          </w:p>
        </w:tc>
      </w:tr>
      <w:tr>
        <w:trPr>
          <w:trHeight w:val="230"/>
        </w:trPr>
        <w:tc>
          <w:tcPr>
            <w:tcW w:w="32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Interest Earning Assets: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247"/>
              <w:spacing w:after="0"/>
              <w:rPr>
                <w:sz w:val="20"/>
                <w:szCs w:val="20"/>
                <w:color w:val="auto"/>
              </w:rPr>
            </w:pPr>
            <w:r>
              <w:rPr>
                <w:rFonts w:ascii="Arial" w:cs="Arial" w:eastAsia="Arial" w:hAnsi="Arial"/>
                <w:sz w:val="18"/>
                <w:szCs w:val="18"/>
                <w:color w:val="auto"/>
                <w:w w:val="93"/>
              </w:rPr>
              <w:t>Average Balance</w:t>
            </w: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Interest/Dividends</w:t>
            </w: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0"/>
                <w:szCs w:val="20"/>
                <w:color w:val="auto"/>
              </w:rPr>
            </w:pPr>
          </w:p>
        </w:tc>
      </w:tr>
      <w:tr>
        <w:trPr>
          <w:trHeight w:val="223"/>
        </w:trPr>
        <w:tc>
          <w:tcPr>
            <w:tcW w:w="3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1,490,988</w:t>
            </w:r>
          </w:p>
        </w:tc>
        <w:tc>
          <w:tcPr>
            <w:tcW w:w="1260" w:type="dxa"/>
            <w:vAlign w:val="bottom"/>
            <w:gridSpan w:val="2"/>
            <w:shd w:val="clear" w:color="auto" w:fill="CFF0FC"/>
          </w:tcPr>
          <w:p>
            <w:pPr>
              <w:jc w:val="right"/>
              <w:ind w:right="978"/>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0"/>
              </w:rPr>
              <w:t>18,766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5.04%</w:t>
            </w:r>
          </w:p>
        </w:tc>
        <w:tc>
          <w:tcPr>
            <w:tcW w:w="162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4.76%</w:t>
            </w: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Taxable investment securities</w:t>
            </w:r>
          </w:p>
        </w:tc>
        <w:tc>
          <w:tcPr>
            <w:tcW w:w="140" w:type="dxa"/>
            <w:vAlign w:val="bottom"/>
          </w:tcPr>
          <w:p>
            <w:pPr>
              <w:spacing w:after="0"/>
              <w:rPr>
                <w:sz w:val="19"/>
                <w:szCs w:val="19"/>
                <w:color w:val="auto"/>
              </w:rPr>
            </w:pPr>
          </w:p>
        </w:tc>
        <w:tc>
          <w:tcPr>
            <w:tcW w:w="1620" w:type="dxa"/>
            <w:vAlign w:val="bottom"/>
            <w:gridSpan w:val="2"/>
          </w:tcPr>
          <w:p>
            <w:pPr>
              <w:jc w:val="right"/>
              <w:ind w:right="27"/>
              <w:spacing w:after="0"/>
              <w:rPr>
                <w:sz w:val="20"/>
                <w:szCs w:val="20"/>
                <w:color w:val="auto"/>
              </w:rPr>
            </w:pPr>
            <w:r>
              <w:rPr>
                <w:rFonts w:ascii="Arial" w:cs="Arial" w:eastAsia="Arial" w:hAnsi="Arial"/>
                <w:sz w:val="18"/>
                <w:szCs w:val="18"/>
                <w:color w:val="auto"/>
              </w:rPr>
              <w:t>398,060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1.18%</w:t>
            </w:r>
          </w:p>
        </w:tc>
        <w:tc>
          <w:tcPr>
            <w:tcW w:w="1620" w:type="dxa"/>
            <w:vAlign w:val="bottom"/>
            <w:gridSpan w:val="4"/>
          </w:tcPr>
          <w:p>
            <w:pPr>
              <w:jc w:val="right"/>
              <w:ind w:right="40"/>
              <w:spacing w:after="0"/>
              <w:rPr>
                <w:sz w:val="20"/>
                <w:szCs w:val="20"/>
                <w:color w:val="auto"/>
              </w:rPr>
            </w:pPr>
            <w:r>
              <w:rPr>
                <w:rFonts w:ascii="Arial" w:cs="Arial" w:eastAsia="Arial" w:hAnsi="Arial"/>
                <w:sz w:val="18"/>
                <w:szCs w:val="18"/>
                <w:color w:val="auto"/>
              </w:rPr>
              <w:t>1.58%</w:t>
            </w:r>
          </w:p>
        </w:tc>
      </w:tr>
      <w:tr>
        <w:trPr>
          <w:trHeight w:val="230"/>
        </w:trPr>
        <w:tc>
          <w:tcPr>
            <w:tcW w:w="3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17,293</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2.20%</w:t>
            </w:r>
          </w:p>
        </w:tc>
        <w:tc>
          <w:tcPr>
            <w:tcW w:w="162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Fed funds sold &amp; other</w:t>
            </w:r>
          </w:p>
        </w:tc>
        <w:tc>
          <w:tcPr>
            <w:tcW w:w="140" w:type="dxa"/>
            <w:vAlign w:val="bottom"/>
          </w:tcPr>
          <w:p>
            <w:pPr>
              <w:spacing w:after="0"/>
              <w:rPr>
                <w:sz w:val="19"/>
                <w:szCs w:val="19"/>
                <w:color w:val="auto"/>
              </w:rPr>
            </w:pPr>
          </w:p>
        </w:tc>
        <w:tc>
          <w:tcPr>
            <w:tcW w:w="1620" w:type="dxa"/>
            <w:vAlign w:val="bottom"/>
            <w:gridSpan w:val="2"/>
          </w:tcPr>
          <w:p>
            <w:pPr>
              <w:jc w:val="right"/>
              <w:ind w:right="27"/>
              <w:spacing w:after="0"/>
              <w:rPr>
                <w:sz w:val="20"/>
                <w:szCs w:val="20"/>
                <w:color w:val="auto"/>
              </w:rPr>
            </w:pPr>
            <w:r>
              <w:rPr>
                <w:rFonts w:ascii="Arial" w:cs="Arial" w:eastAsia="Arial" w:hAnsi="Arial"/>
                <w:sz w:val="18"/>
                <w:szCs w:val="18"/>
                <w:color w:val="auto"/>
              </w:rPr>
              <w:t>187,398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0.22%</w:t>
            </w:r>
          </w:p>
        </w:tc>
        <w:tc>
          <w:tcPr>
            <w:tcW w:w="1620" w:type="dxa"/>
            <w:vAlign w:val="bottom"/>
            <w:gridSpan w:val="4"/>
          </w:tcPr>
          <w:p>
            <w:pPr>
              <w:jc w:val="right"/>
              <w:ind w:right="40"/>
              <w:spacing w:after="0"/>
              <w:rPr>
                <w:sz w:val="20"/>
                <w:szCs w:val="20"/>
                <w:color w:val="auto"/>
              </w:rPr>
            </w:pPr>
            <w:r>
              <w:rPr>
                <w:rFonts w:ascii="Arial" w:cs="Arial" w:eastAsia="Arial" w:hAnsi="Arial"/>
                <w:sz w:val="18"/>
                <w:szCs w:val="18"/>
                <w:color w:val="auto"/>
              </w:rPr>
              <w:t>0.17%</w:t>
            </w:r>
          </w:p>
        </w:tc>
      </w:tr>
      <w:tr>
        <w:trPr>
          <w:trHeight w:val="223"/>
        </w:trPr>
        <w:tc>
          <w:tcPr>
            <w:tcW w:w="32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2,093,739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7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20,122</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3.85%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4.04%</w:t>
            </w:r>
          </w:p>
        </w:tc>
      </w:tr>
      <w:tr>
        <w:trPr>
          <w:trHeight w:val="20"/>
        </w:trPr>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99"/>
        </w:trPr>
        <w:tc>
          <w:tcPr>
            <w:tcW w:w="560" w:type="dxa"/>
            <w:vAlign w:val="bottom"/>
          </w:tcPr>
          <w:p>
            <w:pPr>
              <w:spacing w:after="0"/>
              <w:rPr>
                <w:sz w:val="24"/>
                <w:szCs w:val="24"/>
                <w:color w:val="auto"/>
              </w:rPr>
            </w:pPr>
          </w:p>
        </w:tc>
        <w:tc>
          <w:tcPr>
            <w:tcW w:w="9540" w:type="dxa"/>
            <w:vAlign w:val="bottom"/>
            <w:gridSpan w:val="19"/>
          </w:tcPr>
          <w:p>
            <w:pPr>
              <w:jc w:val="right"/>
              <w:ind w:right="1160"/>
              <w:spacing w:after="0"/>
              <w:rPr>
                <w:sz w:val="20"/>
                <w:szCs w:val="20"/>
                <w:color w:val="auto"/>
              </w:rPr>
            </w:pPr>
            <w:r>
              <w:rPr>
                <w:rFonts w:ascii="Arial" w:cs="Arial" w:eastAsia="Arial" w:hAnsi="Arial"/>
                <w:sz w:val="18"/>
                <w:szCs w:val="18"/>
                <w:color w:val="auto"/>
              </w:rPr>
              <w:t>Change in Interest Income Quarter to Date September 30, 2021 Compared to September 30, 2020</w:t>
            </w:r>
          </w:p>
        </w:tc>
      </w:tr>
      <w:tr>
        <w:trPr>
          <w:trHeight w:val="493"/>
        </w:trPr>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center"/>
              <w:ind w:right="30"/>
              <w:spacing w:after="0"/>
              <w:rPr>
                <w:sz w:val="20"/>
                <w:szCs w:val="20"/>
                <w:color w:val="auto"/>
              </w:rPr>
            </w:pPr>
            <w:r>
              <w:rPr>
                <w:rFonts w:ascii="Arial" w:cs="Arial" w:eastAsia="Arial" w:hAnsi="Arial"/>
                <w:sz w:val="18"/>
                <w:szCs w:val="18"/>
                <w:color w:val="auto"/>
                <w:w w:val="89"/>
              </w:rPr>
              <w:t>Change Due</w:t>
            </w:r>
          </w:p>
        </w:tc>
        <w:tc>
          <w:tcPr>
            <w:tcW w:w="140" w:type="dxa"/>
            <w:vAlign w:val="bottom"/>
          </w:tcPr>
          <w:p>
            <w:pPr>
              <w:spacing w:after="0"/>
              <w:rPr>
                <w:sz w:val="18"/>
                <w:szCs w:val="18"/>
                <w:color w:val="auto"/>
              </w:rPr>
            </w:pP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Change Due</w:t>
            </w:r>
          </w:p>
        </w:tc>
        <w:tc>
          <w:tcPr>
            <w:tcW w:w="560" w:type="dxa"/>
            <w:vAlign w:val="bottom"/>
          </w:tcPr>
          <w:p>
            <w:pPr>
              <w:spacing w:after="0"/>
              <w:rPr>
                <w:sz w:val="18"/>
                <w:szCs w:val="18"/>
                <w:color w:val="auto"/>
              </w:rPr>
            </w:pPr>
          </w:p>
        </w:tc>
      </w:tr>
      <w:tr>
        <w:trPr>
          <w:trHeight w:val="230"/>
        </w:trPr>
        <w:tc>
          <w:tcPr>
            <w:tcW w:w="3240" w:type="dxa"/>
            <w:vAlign w:val="bottom"/>
            <w:gridSpan w:val="3"/>
          </w:tcPr>
          <w:p>
            <w:pPr>
              <w:ind w:left="560"/>
              <w:spacing w:after="0"/>
              <w:rPr>
                <w:sz w:val="20"/>
                <w:szCs w:val="20"/>
                <w:color w:val="auto"/>
              </w:rPr>
            </w:pPr>
            <w:r>
              <w:rPr>
                <w:rFonts w:ascii="Arial" w:cs="Arial" w:eastAsia="Arial" w:hAnsi="Arial"/>
                <w:sz w:val="18"/>
                <w:szCs w:val="18"/>
                <w:color w:val="auto"/>
              </w:rPr>
              <w:t>Interest Earning Assets: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8"/>
                <w:szCs w:val="18"/>
                <w:color w:val="auto"/>
                <w:w w:val="94"/>
              </w:rPr>
              <w:t>Total Change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center"/>
              <w:ind w:right="330"/>
              <w:spacing w:after="0"/>
              <w:rPr>
                <w:sz w:val="20"/>
                <w:szCs w:val="20"/>
                <w:color w:val="auto"/>
              </w:rPr>
            </w:pPr>
            <w:r>
              <w:rPr>
                <w:rFonts w:ascii="Arial" w:cs="Arial" w:eastAsia="Arial" w:hAnsi="Arial"/>
                <w:sz w:val="18"/>
                <w:szCs w:val="18"/>
                <w:color w:val="auto"/>
                <w:w w:val="91"/>
              </w:rPr>
              <w:t>to Volume</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4"/>
          </w:tcPr>
          <w:p>
            <w:pPr>
              <w:jc w:val="right"/>
              <w:ind w:right="1080"/>
              <w:spacing w:after="0"/>
              <w:rPr>
                <w:sz w:val="20"/>
                <w:szCs w:val="20"/>
                <w:color w:val="auto"/>
              </w:rPr>
            </w:pPr>
            <w:r>
              <w:rPr>
                <w:rFonts w:ascii="Arial" w:cs="Arial" w:eastAsia="Arial" w:hAnsi="Arial"/>
                <w:sz w:val="18"/>
                <w:szCs w:val="18"/>
                <w:color w:val="auto"/>
                <w:w w:val="89"/>
              </w:rPr>
              <w:t>to Rate</w:t>
            </w:r>
          </w:p>
        </w:tc>
      </w:tr>
      <w:tr>
        <w:trPr>
          <w:trHeight w:val="223"/>
        </w:trPr>
        <w:tc>
          <w:tcPr>
            <w:tcW w:w="560" w:type="dxa"/>
            <w:vAlign w:val="bottom"/>
          </w:tcPr>
          <w:p>
            <w:pPr>
              <w:spacing w:after="0"/>
              <w:rPr>
                <w:sz w:val="19"/>
                <w:szCs w:val="19"/>
                <w:color w:val="auto"/>
              </w:rPr>
            </w:pPr>
          </w:p>
        </w:tc>
        <w:tc>
          <w:tcPr>
            <w:tcW w:w="2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1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2,585</w:t>
            </w:r>
          </w:p>
        </w:tc>
        <w:tc>
          <w:tcPr>
            <w:tcW w:w="520" w:type="dxa"/>
            <w:vAlign w:val="bottom"/>
            <w:tcBorders>
              <w:top w:val="single" w:sz="8" w:color="auto"/>
            </w:tcBorders>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1,570</w:t>
            </w:r>
          </w:p>
        </w:tc>
        <w:tc>
          <w:tcPr>
            <w:tcW w:w="540" w:type="dxa"/>
            <w:vAlign w:val="bottom"/>
            <w:tcBorders>
              <w:top w:val="single" w:sz="8" w:color="auto"/>
            </w:tcBorders>
            <w:gridSpan w:val="2"/>
            <w:shd w:val="clear" w:color="auto" w:fill="CFF0FC"/>
          </w:tcPr>
          <w:p>
            <w:pPr>
              <w:jc w:val="right"/>
              <w:ind w:right="238"/>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1,015</w:t>
            </w:r>
          </w:p>
        </w:tc>
        <w:tc>
          <w:tcPr>
            <w:tcW w:w="560" w:type="dxa"/>
            <w:vAlign w:val="bottom"/>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(394)</w:t>
            </w:r>
          </w:p>
        </w:tc>
        <w:tc>
          <w:tcPr>
            <w:tcW w:w="560" w:type="dxa"/>
            <w:vAlign w:val="bottom"/>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Tax-exempt investment securities</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2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Fed funds sold &amp; other</w:t>
            </w:r>
          </w:p>
        </w:tc>
        <w:tc>
          <w:tcPr>
            <w:tcW w:w="14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2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2,172</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657</w:t>
            </w:r>
          </w:p>
        </w:tc>
        <w:tc>
          <w:tcPr>
            <w:tcW w:w="56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Adding to the higher interest income for the quarter was the decrease in interest expense in 2021 of $597 thousand or 26.3% compared to third quarter 2020. Since 2020, average interest-bearing deposit balances have increased $259.9 million or 22.1% and the Company recognized $643 thousand less in interest expense for the most recent quarter. The prime rate dropped 150 basis points in March of 2020 and management has adjusted deposit rates accordingly. Interest expense on</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80" w:right="339" w:bottom="1440" w:gutter="0" w:footer="0" w:header="0"/>
        </w:sectPr>
      </w:pPr>
    </w:p>
    <w:bookmarkStart w:id="57" w:name="page58"/>
    <w:bookmarkEnd w:id="57"/>
    <w:p>
      <w:pPr>
        <w:jc w:val="both"/>
        <w:ind w:left="760"/>
        <w:spacing w:after="0" w:line="257" w:lineRule="auto"/>
        <w:rPr>
          <w:sz w:val="20"/>
          <w:szCs w:val="20"/>
          <w:color w:val="auto"/>
        </w:rPr>
      </w:pPr>
      <w:r>
        <w:rPr>
          <w:rFonts w:ascii="Arial" w:cs="Arial" w:eastAsia="Arial" w:hAnsi="Arial"/>
          <w:sz w:val="18"/>
          <w:szCs w:val="18"/>
          <w:color w:val="auto"/>
        </w:rPr>
        <w:t>FHLB borrowings was down $144 thousand in the third quarter 2021 over the same time frame in 2020 due to borrowings taken on from the Limberlost acquisition being repaid in addition to the related fair value amortization completed in April 2021. Interest expense on fed funds purchased and securities sold under agreement to repurchase was down $9 thousand compared to second quarter 2020. Interest expense on subordinated notes was $199 thousand for the most recent quarter. Refer to Note 8 for additional information on subordinated notes. Liabilities assumed from OFSI can be seen in Note 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941"/>
              <w:spacing w:after="0"/>
              <w:rPr>
                <w:sz w:val="20"/>
                <w:szCs w:val="20"/>
                <w:color w:val="auto"/>
              </w:rPr>
            </w:pPr>
            <w:r>
              <w:rPr>
                <w:rFonts w:ascii="Arial" w:cs="Arial" w:eastAsia="Arial" w:hAnsi="Arial"/>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gridSpan w:val="4"/>
          </w:tcPr>
          <w:p>
            <w:pPr>
              <w:jc w:val="right"/>
              <w:spacing w:after="0"/>
              <w:rPr>
                <w:sz w:val="20"/>
                <w:szCs w:val="20"/>
                <w:color w:val="auto"/>
              </w:rPr>
            </w:pPr>
            <w:r>
              <w:rPr>
                <w:rFonts w:ascii="Arial" w:cs="Arial" w:eastAsia="Arial" w:hAnsi="Arial"/>
                <w:sz w:val="18"/>
                <w:szCs w:val="18"/>
                <w:color w:val="auto"/>
                <w:w w:val="94"/>
              </w:rPr>
              <w:t>Quarter to Date Ended September 30, 2021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5"/>
          </w:tcPr>
          <w:p>
            <w:pPr>
              <w:jc w:val="right"/>
              <w:ind w:right="980"/>
              <w:spacing w:after="0"/>
              <w:rPr>
                <w:sz w:val="20"/>
                <w:szCs w:val="20"/>
                <w:color w:val="auto"/>
              </w:rPr>
            </w:pPr>
            <w:r>
              <w:rPr>
                <w:rFonts w:ascii="Arial" w:cs="Arial" w:eastAsia="Arial" w:hAnsi="Arial"/>
                <w:sz w:val="18"/>
                <w:szCs w:val="18"/>
                <w:color w:val="auto"/>
              </w:rPr>
              <w:t>Annualized Yield/Rate</w:t>
            </w:r>
          </w:p>
        </w:tc>
        <w:tc>
          <w:tcPr>
            <w:tcW w:w="0" w:type="dxa"/>
            <w:vAlign w:val="bottom"/>
          </w:tcPr>
          <w:p>
            <w:pPr>
              <w:spacing w:after="0"/>
              <w:rPr>
                <w:sz w:val="1"/>
                <w:szCs w:val="1"/>
                <w:color w:val="auto"/>
              </w:rPr>
            </w:pPr>
          </w:p>
        </w:tc>
      </w:tr>
      <w:tr>
        <w:trPr>
          <w:trHeight w:val="223"/>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4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8"/>
                <w:szCs w:val="18"/>
                <w:color w:val="auto"/>
              </w:rPr>
              <w:t>Interest</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September 30, 2021</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September 30, 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1,181,103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8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Other time deposits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252,966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Subordinated notes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23,807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32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Interest Bearing Liabilities</w:t>
            </w:r>
          </w:p>
        </w:tc>
        <w:tc>
          <w:tcPr>
            <w:tcW w:w="4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vMerge w:val="continue"/>
            <w:shd w:val="clear" w:color="auto" w:fill="CFF0FC"/>
          </w:tcPr>
          <w:p>
            <w:pPr>
              <w:spacing w:after="0"/>
              <w:rPr>
                <w:sz w:val="19"/>
                <w:szCs w:val="19"/>
                <w:color w:val="auto"/>
              </w:rPr>
            </w:pPr>
          </w:p>
        </w:tc>
        <w:tc>
          <w:tcPr>
            <w:tcW w:w="4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1,505,473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8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1,672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460"/>
        <w:spacing w:after="0"/>
        <w:rPr>
          <w:sz w:val="20"/>
          <w:szCs w:val="20"/>
          <w:color w:val="auto"/>
        </w:rPr>
      </w:pPr>
      <w:r>
        <w:rPr>
          <w:rFonts w:ascii="Arial" w:cs="Arial" w:eastAsia="Arial" w:hAnsi="Arial"/>
          <w:sz w:val="18"/>
          <w:szCs w:val="18"/>
          <w:u w:val="single" w:color="auto"/>
          <w:color w:val="auto"/>
        </w:rPr>
        <w:t>Change in Interest Expense Quarter to Date September 30, 2021 Compared to September 30, 2020</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5"/>
              </w:rPr>
              <w:t>(In Thousands)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9"/>
        </w:trPr>
        <w:tc>
          <w:tcPr>
            <w:tcW w:w="3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w w:val="94"/>
              </w:rPr>
              <w:t>Change Due</w:t>
            </w:r>
          </w:p>
        </w:tc>
        <w:tc>
          <w:tcPr>
            <w:tcW w:w="12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w w:val="92"/>
              </w:rPr>
              <w:t>Change Due</w:t>
            </w: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138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0"/>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3"/>
              </w:rPr>
              <w:t>to Volume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to Rate</w:t>
            </w: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13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3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Other time deposits</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13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sold under agreement to repurchase</w:t>
            </w:r>
          </w:p>
        </w:tc>
        <w:tc>
          <w:tcPr>
            <w:tcW w:w="13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Subordinated notes</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tcBorders>
              <w:bottom w:val="single" w:sz="8" w:color="CFF0FC"/>
            </w:tcBorders>
            <w:shd w:val="clear" w:color="auto" w:fill="CFF0FC"/>
          </w:tcPr>
          <w:p>
            <w:pPr>
              <w:spacing w:after="0" w:line="20" w:lineRule="exact"/>
              <w:rPr>
                <w:sz w:val="1"/>
                <w:szCs w:val="1"/>
                <w:color w:val="auto"/>
              </w:rPr>
            </w:pPr>
          </w:p>
        </w:tc>
        <w:tc>
          <w:tcPr>
            <w:tcW w:w="1380" w:type="dxa"/>
            <w:vAlign w:val="bottom"/>
            <w:tcBorders>
              <w:bottom w:val="single" w:sz="8" w:color="CFF0FC"/>
            </w:tcBorders>
            <w:shd w:val="clear" w:color="auto" w:fill="CFF0FC"/>
          </w:tcPr>
          <w:p>
            <w:pPr>
              <w:spacing w:after="0" w:line="20" w:lineRule="exact"/>
              <w:rPr>
                <w:sz w:val="1"/>
                <w:szCs w:val="1"/>
                <w:color w:val="auto"/>
              </w:rPr>
            </w:pPr>
          </w:p>
        </w:tc>
        <w:tc>
          <w:tcPr>
            <w:tcW w:w="400" w:type="dxa"/>
            <w:vAlign w:val="bottom"/>
            <w:tcBorders>
              <w:bottom w:val="single" w:sz="8" w:color="CFF0FC"/>
            </w:tcBorders>
            <w:shd w:val="clear" w:color="auto" w:fill="000000"/>
          </w:tcPr>
          <w:p>
            <w:pPr>
              <w:spacing w:after="0" w:line="20" w:lineRule="exact"/>
              <w:rPr>
                <w:sz w:val="1"/>
                <w:szCs w:val="1"/>
                <w:color w:val="auto"/>
              </w:rPr>
            </w:pPr>
          </w:p>
        </w:tc>
        <w:tc>
          <w:tcPr>
            <w:tcW w:w="740" w:type="dxa"/>
            <w:vAlign w:val="bottom"/>
            <w:tcBorders>
              <w:bottom w:val="single" w:sz="8" w:color="CFF0FC"/>
            </w:tcBorders>
            <w:shd w:val="clear" w:color="auto" w:fill="000000"/>
          </w:tcPr>
          <w:p>
            <w:pPr>
              <w:spacing w:after="0" w:line="20" w:lineRule="exact"/>
              <w:rPr>
                <w:sz w:val="1"/>
                <w:szCs w:val="1"/>
                <w:color w:val="auto"/>
              </w:rPr>
            </w:pPr>
          </w:p>
        </w:tc>
        <w:tc>
          <w:tcPr>
            <w:tcW w:w="120" w:type="dxa"/>
            <w:vAlign w:val="bottom"/>
            <w:tcBorders>
              <w:bottom w:val="single" w:sz="8" w:color="CFF0FC"/>
            </w:tcBorders>
            <w:shd w:val="clear" w:color="auto" w:fill="CFF0FC"/>
          </w:tcPr>
          <w:p>
            <w:pPr>
              <w:spacing w:after="0" w:line="20" w:lineRule="exact"/>
              <w:rPr>
                <w:sz w:val="1"/>
                <w:szCs w:val="1"/>
                <w:color w:val="auto"/>
              </w:rPr>
            </w:pPr>
          </w:p>
        </w:tc>
        <w:tc>
          <w:tcPr>
            <w:tcW w:w="120" w:type="dxa"/>
            <w:vAlign w:val="bottom"/>
            <w:tcBorders>
              <w:bottom w:val="single" w:sz="8" w:color="CFF0FC"/>
            </w:tcBorders>
            <w:shd w:val="clear" w:color="auto" w:fill="000000"/>
          </w:tcPr>
          <w:p>
            <w:pPr>
              <w:spacing w:after="0" w:line="20" w:lineRule="exact"/>
              <w:rPr>
                <w:sz w:val="1"/>
                <w:szCs w:val="1"/>
                <w:color w:val="auto"/>
              </w:rPr>
            </w:pPr>
          </w:p>
        </w:tc>
        <w:tc>
          <w:tcPr>
            <w:tcW w:w="1040" w:type="dxa"/>
            <w:vAlign w:val="bottom"/>
            <w:tcBorders>
              <w:bottom w:val="single" w:sz="8" w:color="CFF0FC"/>
            </w:tcBorders>
            <w:shd w:val="clear" w:color="auto" w:fill="000000"/>
          </w:tcPr>
          <w:p>
            <w:pPr>
              <w:spacing w:after="0" w:line="20" w:lineRule="exact"/>
              <w:rPr>
                <w:sz w:val="1"/>
                <w:szCs w:val="1"/>
                <w:color w:val="auto"/>
              </w:rPr>
            </w:pPr>
          </w:p>
        </w:tc>
        <w:tc>
          <w:tcPr>
            <w:tcW w:w="120" w:type="dxa"/>
            <w:vAlign w:val="bottom"/>
            <w:tcBorders>
              <w:bottom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bottom w:val="single" w:sz="8" w:color="auto"/>
            </w:tcBorders>
            <w:shd w:val="clear" w:color="auto" w:fill="CFF0FC"/>
          </w:tcPr>
          <w:p>
            <w:pPr>
              <w:spacing w:after="0" w:line="20" w:lineRule="exact"/>
              <w:rPr>
                <w:sz w:val="1"/>
                <w:szCs w:val="1"/>
                <w:color w:val="auto"/>
              </w:rPr>
            </w:pPr>
          </w:p>
        </w:tc>
        <w:tc>
          <w:tcPr>
            <w:tcW w:w="980" w:type="dxa"/>
            <w:vAlign w:val="bottom"/>
            <w:tcBorders>
              <w:top w:val="single" w:sz="8" w:color="auto"/>
              <w:bottom w:val="single" w:sz="8" w:color="auto"/>
            </w:tcBorders>
            <w:shd w:val="clear" w:color="auto" w:fill="CFF0FC"/>
          </w:tcPr>
          <w:p>
            <w:pPr>
              <w:spacing w:after="0" w:line="20" w:lineRule="exact"/>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Total Interest Bearing Liabilities</w:t>
            </w:r>
          </w:p>
        </w:tc>
        <w:tc>
          <w:tcPr>
            <w:tcW w:w="1780" w:type="dxa"/>
            <w:vAlign w:val="bottom"/>
            <w:gridSpan w:val="2"/>
            <w:shd w:val="clear" w:color="auto" w:fill="CFF0FC"/>
          </w:tcPr>
          <w:p>
            <w:pPr>
              <w:jc w:val="right"/>
              <w:ind w:right="23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Overall, net interest spread for the third quarter 2021 was 10 basis points higher than last year. As the following chart indicates, the decline in yields on interest earning assets was less than the decline in the cost of funds when comparing to the same period a year ago.</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680" w:type="dxa"/>
            <w:vAlign w:val="bottom"/>
            <w:gridSpan w:val="3"/>
          </w:tcPr>
          <w:p>
            <w:pPr>
              <w:jc w:val="center"/>
              <w:ind w:left="1110"/>
              <w:spacing w:after="0"/>
              <w:rPr>
                <w:sz w:val="20"/>
                <w:szCs w:val="20"/>
                <w:color w:val="auto"/>
              </w:rPr>
            </w:pPr>
            <w:r>
              <w:rPr>
                <w:rFonts w:ascii="Arial" w:cs="Arial" w:eastAsia="Arial" w:hAnsi="Arial"/>
                <w:sz w:val="18"/>
                <w:szCs w:val="18"/>
                <w:color w:val="auto"/>
                <w:w w:val="88"/>
              </w:rPr>
              <w:t>September 30,</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p>
        </w:tc>
        <w:tc>
          <w:tcPr>
            <w:tcW w:w="144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Interest Expense/cost</w:t>
            </w:r>
          </w:p>
        </w:tc>
        <w:tc>
          <w:tcPr>
            <w:tcW w:w="1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0.74%</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44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shd w:val="clear" w:color="auto" w:fill="CFF0FC"/>
          </w:tcPr>
          <w:p>
            <w:pPr>
              <w:spacing w:after="0"/>
              <w:rPr>
                <w:sz w:val="19"/>
                <w:szCs w:val="19"/>
                <w:color w:val="auto"/>
              </w:rPr>
            </w:pPr>
          </w:p>
        </w:tc>
        <w:tc>
          <w:tcPr>
            <w:tcW w:w="144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w:t>
            </w:r>
          </w:p>
        </w:tc>
        <w:tc>
          <w:tcPr>
            <w:tcW w:w="8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w:t>
            </w:r>
          </w:p>
        </w:tc>
        <w:tc>
          <w:tcPr>
            <w:tcW w:w="8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Interest Margin</w:t>
            </w:r>
          </w:p>
        </w:tc>
        <w:tc>
          <w:tcPr>
            <w:tcW w:w="14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Net Interest Income</w:t>
      </w:r>
    </w:p>
    <w:p>
      <w:pPr>
        <w:spacing w:after="0" w:line="20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Net interest income increased $3.4 million for the third quarter 2021 over the same time frame in 2020 with the increase in interest income of $2.8 million combined with the lower interest expense of $597 thousand, as previously mentioned. As the new loans added in 2020 and 2021 generate more income, management expects the benefits of the Company’s strategy of repositioning the balance sheet to continue to increase net interest income. In terms of net interest margin rate, the Bank recognizes competition for deposits may again increase and put pressure on the margin which may lead to a tightening.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Comparison of Noninterest Results of Operations for three month periods ended September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loan portfolio accounted for the largest component of charge-offs and recoveries for third quarter of 2021 and 2020. The commercial real estate portfolio is currently creating a large impact on the ALLL due to the loan growth.</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Total provision for loan losses was $1.3 million lower for the third quarter 2021 as compared to the same quarter 2020. Provision for loan loss has stabilized during the third quarter of 2021. There is still some uncertainty related to COVID-19 and its effects on the ability of individuals, businesses and other entities to meet their financial obligation; therefore, it is prudent to incorporate the impact of COVID-19 in the evaluation of the adequacy of Allowance for Loan and Lease Losses (ALLL). The restaurant and hospitality sectors have been hit especially hard. Risk in the Consumer and 1-4 Family Portfolio has increased but the full impact still remains unknown. Increases to the Bank’s ALLL for the third quarter of 2021, centered around current customers and businesses that are particularly vulnerable and qualitative factors were adjusted accordingly. Management continues to monitor asset quality, making adjustments to the provision as necessary. Loan charge-offs were $24 thousand higher in third quarter 2021 than the same quarter 2020. Recoveries were $13 thousand higher in third quarter 2021 as compared to third quarter 2020. Combined net charge-offs were $11 thousand higher in third quarter 2021 than the same time period 2020.</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Past due loans, which include no deferrals related to COVID-19, increased $1.3 million at September 30, 2021 as compared to September 30, 2020. Approximately 75% of the change is attributed to the increase of past due balances in the consumer real estate and commercial and industrial portfolios.</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59" w:name="page60"/>
    <w:bookmarkEnd w:id="59"/>
    <w:p>
      <w:pPr>
        <w:jc w:val="both"/>
        <w:ind w:left="760"/>
        <w:spacing w:after="0" w:line="263"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September 30, 2021, 2020, and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640"/>
              <w:spacing w:after="0"/>
              <w:rPr>
                <w:sz w:val="20"/>
                <w:szCs w:val="20"/>
                <w:color w:val="auto"/>
              </w:rPr>
            </w:pPr>
            <w:r>
              <w:rPr>
                <w:rFonts w:ascii="Arial" w:cs="Arial" w:eastAsia="Arial" w:hAnsi="Arial"/>
                <w:sz w:val="18"/>
                <w:szCs w:val="18"/>
                <w:color w:val="auto"/>
                <w:w w:val="89"/>
              </w:rPr>
              <w:t>Three Months Ended</w:t>
            </w:r>
          </w:p>
        </w:tc>
        <w:tc>
          <w:tcPr>
            <w:tcW w:w="120" w:type="dxa"/>
            <w:vAlign w:val="bottom"/>
          </w:tcPr>
          <w:p>
            <w:pPr>
              <w:spacing w:after="0"/>
              <w:rPr>
                <w:sz w:val="18"/>
                <w:szCs w:val="18"/>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color w:val="auto"/>
                <w:w w:val="92"/>
              </w:rPr>
              <w:t>Three Months Ended</w:t>
            </w:r>
          </w:p>
        </w:tc>
        <w:tc>
          <w:tcPr>
            <w:tcW w:w="320" w:type="dxa"/>
            <w:vAlign w:val="bottom"/>
          </w:tcPr>
          <w:p>
            <w:pPr>
              <w:spacing w:after="0"/>
              <w:rPr>
                <w:sz w:val="18"/>
                <w:szCs w:val="18"/>
                <w:color w:val="auto"/>
              </w:rPr>
            </w:pPr>
          </w:p>
        </w:tc>
        <w:tc>
          <w:tcPr>
            <w:tcW w:w="1880" w:type="dxa"/>
            <w:vAlign w:val="bottom"/>
            <w:gridSpan w:val="2"/>
          </w:tcPr>
          <w:p>
            <w:pPr>
              <w:jc w:val="right"/>
              <w:ind w:right="190"/>
              <w:spacing w:after="0"/>
              <w:rPr>
                <w:sz w:val="20"/>
                <w:szCs w:val="20"/>
                <w:color w:val="auto"/>
              </w:rPr>
            </w:pPr>
            <w:r>
              <w:rPr>
                <w:rFonts w:ascii="Arial" w:cs="Arial" w:eastAsia="Arial" w:hAnsi="Arial"/>
                <w:sz w:val="18"/>
                <w:szCs w:val="18"/>
                <w:color w:val="auto"/>
                <w:w w:val="93"/>
              </w:rPr>
              <w:t>Three Months Ended</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8"/>
                <w:szCs w:val="18"/>
                <w:color w:val="auto"/>
                <w:w w:val="89"/>
              </w:rPr>
              <w:t>September 30, 2021</w:t>
            </w: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3"/>
              </w:rPr>
              <w:t>September 30, 2020</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8"/>
              </w:rPr>
              <w:t>September 30, 2019</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1,495,562</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1,363,862</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1,158,696</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1,490,988</w:t>
            </w:r>
          </w:p>
        </w:tc>
        <w:tc>
          <w:tcPr>
            <w:tcW w:w="3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1,359,156</w:t>
            </w:r>
          </w:p>
        </w:tc>
        <w:tc>
          <w:tcPr>
            <w:tcW w:w="3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1,126,173</w:t>
            </w: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Allowance for Loan Losses - July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15,087</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9,933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Charged off:</w:t>
            </w:r>
          </w:p>
        </w:tc>
        <w:tc>
          <w:tcPr>
            <w:tcW w:w="1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000"/>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spacing w:after="0"/>
              <w:rPr>
                <w:sz w:val="19"/>
                <w:szCs w:val="19"/>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Agriculture Real Estate</w:t>
            </w:r>
          </w:p>
        </w:tc>
        <w:tc>
          <w:tcPr>
            <w:tcW w:w="12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100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9"/>
                <w:szCs w:val="19"/>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Pr>
          <w:p>
            <w:pPr>
              <w:ind w:left="100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103</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 Recoveries:</w:t>
            </w:r>
          </w:p>
        </w:tc>
        <w:tc>
          <w:tcPr>
            <w:tcW w:w="12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000"/>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spacing w:after="0"/>
              <w:rPr>
                <w:sz w:val="19"/>
                <w:szCs w:val="19"/>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Agriculture Real Estate</w:t>
            </w:r>
          </w:p>
        </w:tc>
        <w:tc>
          <w:tcPr>
            <w:tcW w:w="12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Pr>
          <w:p>
            <w:pPr>
              <w:ind w:left="100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9"/>
                <w:szCs w:val="19"/>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600" w:type="dxa"/>
            <w:vAlign w:val="bottom"/>
          </w:tcPr>
          <w:p>
            <w:pPr>
              <w:ind w:left="100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Consumer</w:t>
            </w:r>
          </w:p>
        </w:tc>
        <w:tc>
          <w:tcPr>
            <w:tcW w:w="12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Charge Offs</w:t>
            </w:r>
          </w:p>
        </w:tc>
        <w:tc>
          <w:tcPr>
            <w:tcW w:w="12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4600" w:type="dxa"/>
            <w:vAlign w:val="bottom"/>
          </w:tcPr>
          <w:p>
            <w:pPr>
              <w:ind w:left="1000"/>
              <w:spacing w:after="0"/>
              <w:rPr>
                <w:sz w:val="20"/>
                <w:szCs w:val="20"/>
                <w:color w:val="auto"/>
              </w:rPr>
            </w:pPr>
            <w:r>
              <w:rPr>
                <w:rFonts w:ascii="Arial" w:cs="Arial" w:eastAsia="Arial" w:hAnsi="Arial"/>
                <w:sz w:val="18"/>
                <w:szCs w:val="18"/>
                <w:color w:val="auto"/>
              </w:rPr>
              <w:t>Provision for loan loss</w:t>
            </w:r>
          </w:p>
        </w:tc>
        <w:tc>
          <w:tcPr>
            <w:tcW w:w="120" w:type="dxa"/>
            <w:vAlign w:val="bottom"/>
          </w:tcPr>
          <w:p>
            <w:pPr>
              <w:spacing w:after="0"/>
              <w:rPr>
                <w:sz w:val="19"/>
                <w:szCs w:val="19"/>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659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1,987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Acquisition provision for loan loss</w:t>
            </w:r>
          </w:p>
        </w:tc>
        <w:tc>
          <w:tcPr>
            <w:tcW w:w="12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Allowance for Loan &amp; Lease Losses - September 30,</w:t>
            </w:r>
          </w:p>
        </w:tc>
        <w:tc>
          <w:tcPr>
            <w:tcW w:w="120" w:type="dxa"/>
            <w:vAlign w:val="bottom"/>
          </w:tcPr>
          <w:p>
            <w:pPr>
              <w:spacing w:after="0"/>
              <w:rPr>
                <w:sz w:val="19"/>
                <w:szCs w:val="19"/>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15,698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jc w:val="right"/>
              <w:ind w:right="90"/>
              <w:spacing w:after="0"/>
              <w:rPr>
                <w:sz w:val="20"/>
                <w:szCs w:val="20"/>
                <w:color w:val="auto"/>
              </w:rPr>
            </w:pPr>
            <w:r>
              <w:rPr>
                <w:rFonts w:ascii="Arial" w:cs="Arial" w:eastAsia="Arial" w:hAnsi="Arial"/>
                <w:sz w:val="18"/>
                <w:szCs w:val="18"/>
                <w:color w:val="auto"/>
              </w:rPr>
              <w:t>11,883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15"/>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&amp; Letters of Credit - September 30,</w:t>
            </w:r>
          </w:p>
        </w:tc>
        <w:tc>
          <w:tcPr>
            <w:tcW w:w="120" w:type="dxa"/>
            <w:vAlign w:val="bottom"/>
            <w:tcBorders>
              <w:bottom w:val="single" w:sz="8" w:color="auto"/>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1,039</w:t>
            </w:r>
          </w:p>
        </w:tc>
        <w:tc>
          <w:tcPr>
            <w:tcW w:w="3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633</w:t>
            </w:r>
          </w:p>
        </w:tc>
        <w:tc>
          <w:tcPr>
            <w:tcW w:w="3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63"/>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Allowance for Credit Losses - September 30,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16,737</w:t>
            </w:r>
          </w:p>
        </w:tc>
        <w:tc>
          <w:tcPr>
            <w:tcW w:w="3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12,516</w:t>
            </w:r>
          </w:p>
        </w:tc>
        <w:tc>
          <w:tcPr>
            <w:tcW w:w="3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196"/>
        </w:trPr>
        <w:tc>
          <w:tcPr>
            <w:tcW w:w="4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1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Loans outstanding</w:t>
            </w:r>
          </w:p>
        </w:tc>
        <w:tc>
          <w:tcPr>
            <w:tcW w:w="120" w:type="dxa"/>
            <w:vAlign w:val="bottom"/>
            <w:tcBorders>
              <w:bottom w:val="single" w:sz="8" w:color="auto"/>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Nonperforming Loans*</w:t>
            </w: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151.01%</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20" w:hanging="370"/>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90 days past due not on nonaccrual.</w:t>
      </w:r>
    </w:p>
    <w:p>
      <w:pPr>
        <w:spacing w:after="0" w:line="198"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of a loan, whether partial loan balance or full loan balance. The Bank is also following the guidelines established under the CARES Act.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3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Loans classified as nonaccrual were lower as of September 30, 2021 at $6.2 million as compared to $7.9 million as of September 30, 2020. The consumer real estate portfolio decreased $1.1 million while the commercial real estate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jc w:val="both"/>
        <w:ind w:left="180"/>
        <w:spacing w:after="0" w:line="277" w:lineRule="auto"/>
        <w:rPr>
          <w:sz w:val="20"/>
          <w:szCs w:val="20"/>
          <w:color w:val="auto"/>
        </w:rPr>
      </w:pPr>
      <w:r>
        <w:rPr>
          <w:rFonts w:ascii="Arial" w:cs="Arial" w:eastAsia="Arial" w:hAnsi="Arial"/>
          <w:sz w:val="18"/>
          <w:szCs w:val="18"/>
          <w:color w:val="auto"/>
        </w:rPr>
        <w:t>commercial and industrial portfolios decreased a combined $852 thousand. The agricultural real estate and agricultural portfolios increased a combined $393 thousand as compared to September 30, 2020.</w:t>
      </w:r>
    </w:p>
    <w:p>
      <w:pPr>
        <w:spacing w:after="0" w:line="143"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46"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52"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following table presents the balances for allowance for loan losses by loan type for nine months ended September 30, 2021 and September 30,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(In Thousands)</w:t>
            </w:r>
          </w:p>
        </w:tc>
        <w:tc>
          <w:tcPr>
            <w:tcW w:w="1460" w:type="dxa"/>
            <w:vAlign w:val="bottom"/>
          </w:tcPr>
          <w:p>
            <w:pPr>
              <w:spacing w:after="0"/>
              <w:rPr>
                <w:sz w:val="19"/>
                <w:szCs w:val="19"/>
                <w:color w:val="auto"/>
              </w:rPr>
            </w:pPr>
          </w:p>
        </w:tc>
      </w:tr>
      <w:tr>
        <w:trPr>
          <w:trHeight w:val="216"/>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September 30,</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September 30,</w:t>
            </w:r>
          </w:p>
        </w:tc>
        <w:tc>
          <w:tcPr>
            <w:tcW w:w="1460" w:type="dxa"/>
            <w:vAlign w:val="bottom"/>
          </w:tcPr>
          <w:p>
            <w:pPr>
              <w:spacing w:after="0"/>
              <w:rPr>
                <w:sz w:val="18"/>
                <w:szCs w:val="18"/>
                <w:color w:val="auto"/>
              </w:rPr>
            </w:pPr>
          </w:p>
        </w:tc>
      </w:tr>
      <w:tr>
        <w:trPr>
          <w:trHeight w:val="230"/>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2021</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2020</w:t>
            </w:r>
          </w:p>
        </w:tc>
        <w:tc>
          <w:tcPr>
            <w:tcW w:w="1460" w:type="dxa"/>
            <w:vAlign w:val="bottom"/>
          </w:tcPr>
          <w:p>
            <w:pPr>
              <w:spacing w:after="0"/>
              <w:rPr>
                <w:sz w:val="20"/>
                <w:szCs w:val="20"/>
                <w:color w:val="auto"/>
              </w:rPr>
            </w:pPr>
          </w:p>
        </w:tc>
      </w:tr>
      <w:tr>
        <w:trPr>
          <w:trHeight w:val="209"/>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 of Loan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 of Loan</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Balance at End of Period Applicable To:</w:t>
            </w:r>
          </w:p>
        </w:tc>
        <w:tc>
          <w:tcPr>
            <w:tcW w:w="18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color w:val="auto"/>
                <w:w w:val="96"/>
              </w:rPr>
              <w:t>Amount</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Category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color w:val="auto"/>
                <w:w w:val="93"/>
              </w:rPr>
              <w:t>Amount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Category</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796</w:t>
            </w:r>
          </w:p>
        </w:tc>
        <w:tc>
          <w:tcPr>
            <w:tcW w:w="16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13.53%</w:t>
            </w:r>
          </w:p>
        </w:tc>
        <w:tc>
          <w:tcPr>
            <w:tcW w:w="180" w:type="dxa"/>
            <w:vAlign w:val="bottom"/>
            <w:tcBorders>
              <w:top w:val="single" w:sz="8" w:color="auto"/>
            </w:tcBorders>
            <w:gridSpan w:val="2"/>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11.97%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46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Agricultural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687</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7.07%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669</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8,365</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48.64%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5,735</w:t>
            </w:r>
          </w:p>
        </w:tc>
        <w:tc>
          <w:tcPr>
            <w:tcW w:w="1460" w:type="dxa"/>
            <w:vAlign w:val="bottom"/>
          </w:tcPr>
          <w:p>
            <w:pPr>
              <w:jc w:val="right"/>
              <w:spacing w:after="0"/>
              <w:rPr>
                <w:sz w:val="20"/>
                <w:szCs w:val="20"/>
                <w:color w:val="auto"/>
              </w:rPr>
            </w:pPr>
            <w:r>
              <w:rPr>
                <w:rFonts w:ascii="Arial" w:cs="Arial" w:eastAsia="Arial" w:hAnsi="Arial"/>
                <w:sz w:val="18"/>
                <w:szCs w:val="18"/>
                <w:color w:val="auto"/>
              </w:rPr>
              <w:t>43.55%</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3,814</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15.07%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3,272</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146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Unallocated</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504</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311</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4540" w:type="dxa"/>
            <w:vAlign w:val="bottom"/>
            <w:gridSpan w:val="2"/>
          </w:tcPr>
          <w:p>
            <w:pPr>
              <w:ind w:left="240"/>
              <w:spacing w:after="0"/>
              <w:rPr>
                <w:sz w:val="20"/>
                <w:szCs w:val="20"/>
                <w:color w:val="auto"/>
              </w:rPr>
            </w:pPr>
            <w:r>
              <w:rPr>
                <w:rFonts w:ascii="Arial" w:cs="Arial" w:eastAsia="Arial" w:hAnsi="Arial"/>
                <w:sz w:val="18"/>
                <w:szCs w:val="18"/>
                <w:color w:val="auto"/>
              </w:rPr>
              <w:t>Allowance for Loan &amp; Lease Losses</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15,698</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11,883</w:t>
            </w:r>
          </w:p>
        </w:tc>
        <w:tc>
          <w:tcPr>
            <w:tcW w:w="1460" w:type="dxa"/>
            <w:vAlign w:val="bottom"/>
          </w:tcPr>
          <w:p>
            <w:pPr>
              <w:spacing w:after="0"/>
              <w:rPr>
                <w:sz w:val="19"/>
                <w:szCs w:val="19"/>
                <w:color w:val="auto"/>
              </w:rPr>
            </w:pPr>
          </w:p>
        </w:tc>
      </w:tr>
      <w:tr>
        <w:trPr>
          <w:trHeight w:val="230"/>
        </w:trPr>
        <w:tc>
          <w:tcPr>
            <w:tcW w:w="4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Off Balance Sheet Commitments</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1,039</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633</w:t>
            </w:r>
          </w:p>
        </w:tc>
        <w:tc>
          <w:tcPr>
            <w:tcW w:w="1460" w:type="dxa"/>
            <w:vAlign w:val="bottom"/>
            <w:shd w:val="clear" w:color="auto" w:fill="CFF0FC"/>
          </w:tcPr>
          <w:p>
            <w:pPr>
              <w:spacing w:after="0"/>
              <w:rPr>
                <w:sz w:val="19"/>
                <w:szCs w:val="19"/>
                <w:color w:val="auto"/>
              </w:rPr>
            </w:pPr>
          </w:p>
        </w:tc>
      </w:tr>
      <w:tr>
        <w:trPr>
          <w:trHeight w:val="223"/>
        </w:trPr>
        <w:tc>
          <w:tcPr>
            <w:tcW w:w="4540" w:type="dxa"/>
            <w:vAlign w:val="bottom"/>
            <w:gridSpan w:val="2"/>
          </w:tcPr>
          <w:p>
            <w:pPr>
              <w:ind w:left="480"/>
              <w:spacing w:after="0"/>
              <w:rPr>
                <w:sz w:val="20"/>
                <w:szCs w:val="20"/>
                <w:color w:val="auto"/>
              </w:rPr>
            </w:pPr>
            <w:r>
              <w:rPr>
                <w:rFonts w:ascii="Arial" w:cs="Arial" w:eastAsia="Arial" w:hAnsi="Arial"/>
                <w:sz w:val="18"/>
                <w:szCs w:val="18"/>
                <w:color w:val="auto"/>
              </w:rPr>
              <w:t>Total Allowance for Credit Losses</w:t>
            </w: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16,737</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12,516</w:t>
            </w:r>
          </w:p>
        </w:tc>
        <w:tc>
          <w:tcPr>
            <w:tcW w:w="14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Noninterest Income</w:t>
      </w:r>
    </w:p>
    <w:p>
      <w:pPr>
        <w:spacing w:after="0" w:line="202"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Noninterest income was down $641 thousand for the third quarter 2021 over the same time frame in 2020. The Company has seen a decrease in its mortgage production volume and the gain on the sale of these loans was $715 thousand lower for the third quarter 2021 over the same period in 2020. Loan originations on loans held for sale for the third quarter 2021 were $21.7 million with proceeds from sale at $26.8 million for 2021 compared to 2020’s third quarter activity of $63.5 million in originations and $68.9 million in sales. Loan originations driven by the refinance activity associated with the reduction in interest rates has slowed. The mortgages sold were both 1-4 family and agricultural real estate loans originated for sale.</w:t>
      </w:r>
    </w:p>
    <w:p>
      <w:pPr>
        <w:spacing w:after="0" w:line="152" w:lineRule="exact"/>
        <w:rPr>
          <w:sz w:val="20"/>
          <w:szCs w:val="20"/>
          <w:color w:val="auto"/>
        </w:rPr>
      </w:pPr>
    </w:p>
    <w:p>
      <w:pPr>
        <w:jc w:val="both"/>
        <w:ind w:left="180"/>
        <w:spacing w:after="0" w:line="279" w:lineRule="auto"/>
        <w:rPr>
          <w:sz w:val="20"/>
          <w:szCs w:val="20"/>
          <w:color w:val="auto"/>
        </w:rPr>
      </w:pPr>
      <w:r>
        <w:rPr>
          <w:rFonts w:ascii="Arial" w:cs="Arial" w:eastAsia="Arial" w:hAnsi="Arial"/>
          <w:sz w:val="17"/>
          <w:szCs w:val="17"/>
          <w:color w:val="auto"/>
        </w:rPr>
        <w:t>Combined service fees increased by $74 thousand as compared to third quarter 2020. Debit card income increased by $156 thousand and bank owned life insurance cash surrender value increased $76 thousand. Also contributing to the increase was service charge income and overdraft and returned check charges which increased $41 and $90 thousand respectively compared to third quarter 2020. Service fee income for 1-4 family and agricultural real estate loans increased by $33 thousand while servicing rights income decreased $346 thousand.</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44" w:right="339" w:bottom="1440" w:gutter="0" w:footer="0" w:header="0"/>
        </w:sectPr>
      </w:pPr>
    </w:p>
    <w:bookmarkStart w:id="61" w:name="page62"/>
    <w:bookmarkEnd w:id="61"/>
    <w:p>
      <w:pPr>
        <w:jc w:val="both"/>
        <w:spacing w:after="0" w:line="290" w:lineRule="auto"/>
        <w:rPr>
          <w:sz w:val="20"/>
          <w:szCs w:val="20"/>
          <w:color w:val="auto"/>
        </w:rPr>
      </w:pPr>
      <w:r>
        <w:rPr>
          <w:rFonts w:ascii="Arial" w:cs="Arial" w:eastAsia="Arial" w:hAnsi="Arial"/>
          <w:sz w:val="16"/>
          <w:szCs w:val="16"/>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third quarter of 2021 and 2020, mortgage servicing rights caused a net $22 and $287 thousand in income, respectively. The first nine months of 2021 and 2020, mortgage servicing rights caused a net $165 and $398 thousand of income, respectively. The lower capitalized additions for 2021 are attributed to a lower loan origination level of 1-4 families. A low interest rate environment has helped to generate the mortgage refinance activity. For loans of 15 years and less, the value was 1.160% in the third quarter 2021 versus 0.975% in third quarter 2020. For loans over 15 years, the value was 1.355% versus a lower 1.109% for the same periods respectively. The carrying value is greater than the market value of $3.5 million which created the need to establish a $388 thousand valuation allowance during 2021.</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6"/>
          </w:tcPr>
          <w:p>
            <w:pPr>
              <w:jc w:val="right"/>
              <w:ind w:right="800"/>
              <w:spacing w:after="0"/>
              <w:rPr>
                <w:sz w:val="20"/>
                <w:szCs w:val="20"/>
                <w:color w:val="auto"/>
              </w:rPr>
            </w:pPr>
            <w:r>
              <w:rPr>
                <w:rFonts w:ascii="Arial" w:cs="Arial" w:eastAsia="Arial" w:hAnsi="Arial"/>
                <w:sz w:val="18"/>
                <w:szCs w:val="18"/>
                <w:color w:val="auto"/>
              </w:rPr>
              <w:t>Nine Months</w:t>
            </w:r>
          </w:p>
        </w:tc>
      </w:tr>
      <w:tr>
        <w:trPr>
          <w:trHeight w:val="230"/>
        </w:trPr>
        <w:tc>
          <w:tcPr>
            <w:tcW w:w="3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6"/>
          </w:tcPr>
          <w:p>
            <w:pPr>
              <w:jc w:val="right"/>
              <w:ind w:right="76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8"/>
                <w:szCs w:val="18"/>
                <w:color w:val="auto"/>
              </w:rPr>
              <w:t>(In Thousands)</w:t>
            </w:r>
          </w:p>
        </w:tc>
      </w:tr>
      <w:tr>
        <w:trPr>
          <w:trHeight w:val="223"/>
        </w:trPr>
        <w:tc>
          <w:tcPr>
            <w:tcW w:w="368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80" w:type="dxa"/>
            <w:vAlign w:val="bottom"/>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Capitalized Additions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1,182</w:t>
            </w:r>
          </w:p>
        </w:tc>
        <w:tc>
          <w:tcPr>
            <w:tcW w:w="8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(784)</w:t>
            </w: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Ending Balance, September 30,</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8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w w:val="99"/>
              </w:rPr>
              <w:t>Mortgage Servicing Rights net, September 30,</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8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third quarter 2021, noninterest expenses were $2.0 million higher than for the same quarter in 2020. Salaries, wages, and employee benefits (includes normal merit increases, restricted stock expense, incentive payout and all employee benefits) increased $395 thousand in total. This was comprised of increased salaries of $340 thousand and increased benefits of $55 thousand with $153 thousand acquisition related. Consulting fees increased $51 thousand over third quarter 2020 with $79 thousand related to the acquisition of Ossian and Perpetual. FDIC assessment expenses were up $102 thousand due to the increased assessment base. During the third quarter 2021, the Bank also recognized a loss of $189 thousand which is included in the Net (Gain) Loss on Sale of Other Assets Owned line of the consolidated statement of income for the sale of buildings. Data processing increased $1.1 million over third quarter 2020 with $893 thousand acquisition related. Other general and administrative expenses increased $165 thousand as compared to third quarter 2020 with $267 thousand acquisition related while the remainder was primarily attributable to the Company’s overall growth for the year.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 expense was $337 thousand higher for the third quarter 2021 compared to the same quarter in 2020. Effective tax rates were 21.53% and 22.59% for third quarter 2021 and 2020 respectively. The lower effective income tax rate for third quarter 2021 accounted for a decrease of $80 thousand of income tax expense. Increased earnings equaled an increase in income tax expense of $417 thousand.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overall, net income in the third quarter of 2021 was up $1.5 million as compared to the same quarter last year. Third quarter 2021 included a decrease of $1.3 million of loan loss provision as compared to third quarter 2020. The Company has done an exceptional job of growing loans while keeping past dues low. The Company remains strong, stable, and well capitalized and has the capacity to continue to cover the increased costs of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4" w:right="339" w:bottom="1440" w:gutter="0" w:footer="0" w:header="0"/>
        </w:sectPr>
      </w:pPr>
    </w:p>
    <w:bookmarkStart w:id="62" w:name="page63"/>
    <w:bookmarkEnd w:id="62"/>
    <w:p>
      <w:pPr>
        <w:ind w:left="180"/>
        <w:spacing w:after="0"/>
        <w:rPr>
          <w:sz w:val="20"/>
          <w:szCs w:val="20"/>
          <w:color w:val="auto"/>
        </w:rPr>
      </w:pPr>
      <w:r>
        <w:rPr>
          <w:rFonts w:ascii="Arial" w:cs="Arial" w:eastAsia="Arial" w:hAnsi="Arial"/>
          <w:sz w:val="18"/>
          <w:szCs w:val="18"/>
          <w:b w:val="1"/>
          <w:bCs w:val="1"/>
          <w:u w:val="single" w:color="auto"/>
          <w:color w:val="auto"/>
        </w:rPr>
        <w:t>Comparison of Results of Interest Earnings and Expenses for nine month periods ended September 30, 2021 and 2020</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Interest Income</w:t>
      </w:r>
    </w:p>
    <w:p>
      <w:pPr>
        <w:spacing w:after="0" w:line="256" w:lineRule="exact"/>
        <w:rPr>
          <w:sz w:val="20"/>
          <w:szCs w:val="20"/>
          <w:color w:val="auto"/>
        </w:rPr>
      </w:pPr>
    </w:p>
    <w:p>
      <w:pPr>
        <w:jc w:val="both"/>
        <w:ind w:left="180"/>
        <w:spacing w:after="0" w:line="296" w:lineRule="auto"/>
        <w:rPr>
          <w:sz w:val="20"/>
          <w:szCs w:val="20"/>
          <w:color w:val="auto"/>
        </w:rPr>
      </w:pPr>
      <w:r>
        <w:rPr>
          <w:rFonts w:ascii="Arial" w:cs="Arial" w:eastAsia="Arial" w:hAnsi="Arial"/>
          <w:sz w:val="16"/>
          <w:szCs w:val="16"/>
          <w:color w:val="auto"/>
        </w:rPr>
        <w:t>Higher loan balances of $107.6 million led to an improvement in the interest income for the first nine months of 2021 as compared to the first nine months of 2020. PPP average loan balances decreased approximately $12.6 million year over year. Interest income in total rose 4.6% or $2.4 million with interest income from loans accounting for 99.7% of the increase. Contributing to the overall increase was also a decrease in securities income of $27 thousand and an increase from Fed Funds sold and interest-bearing deposits of $33 thousand over 2020. The asset yield decreased by 60 basis points to 3.70% for the first nine months of 2021 compared to the first nine months of 2020’s 4.30%.</w:t>
      </w:r>
    </w:p>
    <w:p>
      <w:pPr>
        <w:spacing w:after="0" w:line="121" w:lineRule="exact"/>
        <w:rPr>
          <w:sz w:val="20"/>
          <w:szCs w:val="20"/>
          <w:color w:val="auto"/>
        </w:rPr>
      </w:pPr>
    </w:p>
    <w:p>
      <w:pPr>
        <w:jc w:val="both"/>
        <w:ind w:left="180" w:hanging="3"/>
        <w:spacing w:after="0" w:line="263" w:lineRule="auto"/>
        <w:tabs>
          <w:tab w:leader="none" w:pos="5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loan interest income recognized was $291.4 thousand for the first nine months of 2021 with net fee income of $3.9 million compared to $389.6 thousand of loan interest income and $735.1 thousand of net fee income for 2020. The growth factor contribution is shown in the charts which follow.</w:t>
      </w:r>
    </w:p>
    <w:p>
      <w:pPr>
        <w:spacing w:after="0" w:line="157"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average interest earning asset base was $350.3 million higher in the first nine months 2021 than the first nine months of 2020, an increase of approximately 21.7%.</w:t>
      </w:r>
    </w:p>
    <w:p>
      <w:pPr>
        <w:spacing w:after="0" w:line="130"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21% tax rate in the charts to follow.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left="270"/>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8"/>
          </w:tcPr>
          <w:p>
            <w:pPr>
              <w:jc w:val="center"/>
              <w:ind w:right="70"/>
              <w:spacing w:after="0"/>
              <w:rPr>
                <w:sz w:val="20"/>
                <w:szCs w:val="20"/>
                <w:color w:val="auto"/>
              </w:rPr>
            </w:pPr>
            <w:r>
              <w:rPr>
                <w:rFonts w:ascii="Arial" w:cs="Arial" w:eastAsia="Arial" w:hAnsi="Arial"/>
                <w:sz w:val="18"/>
                <w:szCs w:val="18"/>
                <w:color w:val="auto"/>
                <w:w w:val="88"/>
              </w:rPr>
              <w:t>Year to Date Ended 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5"/>
          </w:tcPr>
          <w:p>
            <w:pPr>
              <w:jc w:val="center"/>
              <w:ind w:left="290"/>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11"/>
          </w:tcPr>
          <w:p>
            <w:pPr>
              <w:jc w:val="right"/>
              <w:ind w:right="840"/>
              <w:spacing w:after="0"/>
              <w:rPr>
                <w:sz w:val="20"/>
                <w:szCs w:val="20"/>
                <w:color w:val="auto"/>
              </w:rPr>
            </w:pPr>
            <w:r>
              <w:rPr>
                <w:rFonts w:ascii="Arial" w:cs="Arial" w:eastAsia="Arial" w:hAnsi="Arial"/>
                <w:sz w:val="18"/>
                <w:szCs w:val="18"/>
                <w:color w:val="auto"/>
              </w:rPr>
              <w:t>Annualized Yield/Rate</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5"/>
          </w:tcPr>
          <w:p>
            <w:pPr>
              <w:jc w:val="right"/>
              <w:ind w:right="320"/>
              <w:spacing w:after="0"/>
              <w:rPr>
                <w:sz w:val="20"/>
                <w:szCs w:val="20"/>
                <w:color w:val="auto"/>
              </w:rPr>
            </w:pPr>
            <w:r>
              <w:rPr>
                <w:rFonts w:ascii="Arial" w:cs="Arial" w:eastAsia="Arial" w:hAnsi="Arial"/>
                <w:sz w:val="18"/>
                <w:szCs w:val="18"/>
                <w:color w:val="auto"/>
                <w:w w:val="98"/>
              </w:rPr>
              <w:t>September 30,</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w w:val="99"/>
              </w:rPr>
              <w:t>September 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Interest Earning Assets:</w:t>
            </w:r>
          </w:p>
        </w:tc>
        <w:tc>
          <w:tcPr>
            <w:tcW w:w="4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8"/>
                <w:szCs w:val="18"/>
                <w:color w:val="auto"/>
                <w:w w:val="90"/>
              </w:rPr>
              <w:t>Average Balance</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Interest/Dividends</w:t>
            </w:r>
          </w:p>
        </w:tc>
        <w:tc>
          <w:tcPr>
            <w:tcW w:w="1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Loans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1,413,625</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0"/>
              </w:rPr>
              <w:t>50,637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7"/>
              </w:rPr>
              <w:t>4.78%</w:t>
            </w:r>
          </w:p>
        </w:tc>
        <w:tc>
          <w:tcPr>
            <w:tcW w:w="1620" w:type="dxa"/>
            <w:vAlign w:val="bottom"/>
            <w:gridSpan w:val="6"/>
            <w:shd w:val="clear" w:color="auto" w:fill="CFF0FC"/>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Taxable investment securities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363,284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1.21%</w:t>
            </w:r>
          </w:p>
        </w:tc>
        <w:tc>
          <w:tcPr>
            <w:tcW w:w="1620" w:type="dxa"/>
            <w:vAlign w:val="bottom"/>
            <w:gridSpan w:val="6"/>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3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18,387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7"/>
              </w:rPr>
              <w:t>2.31%</w:t>
            </w:r>
          </w:p>
        </w:tc>
        <w:tc>
          <w:tcPr>
            <w:tcW w:w="1620" w:type="dxa"/>
            <w:vAlign w:val="bottom"/>
            <w:gridSpan w:val="6"/>
            <w:shd w:val="clear" w:color="auto" w:fill="CFF0FC"/>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Fed funds sold &amp; other</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171,015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0.19%</w:t>
            </w:r>
          </w:p>
        </w:tc>
        <w:tc>
          <w:tcPr>
            <w:tcW w:w="1620" w:type="dxa"/>
            <w:vAlign w:val="bottom"/>
            <w:gridSpan w:val="6"/>
          </w:tcPr>
          <w:p>
            <w:pPr>
              <w:jc w:val="right"/>
              <w:ind w:right="4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344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6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gridSpan w:val="3"/>
            <w:vMerge w:val="continue"/>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1,966,311</w:t>
            </w:r>
          </w:p>
        </w:tc>
        <w:tc>
          <w:tcPr>
            <w:tcW w:w="8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0"/>
              </w:rPr>
              <w:t>54,417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7"/>
              </w:rPr>
              <w:t>3.70%</w:t>
            </w:r>
          </w:p>
        </w:tc>
        <w:tc>
          <w:tcPr>
            <w:tcW w:w="120" w:type="dxa"/>
            <w:vAlign w:val="bottom"/>
            <w:vMerge w:val="continue"/>
            <w:shd w:val="clear" w:color="auto" w:fill="CFF0FC"/>
          </w:tcPr>
          <w:p>
            <w:pPr>
              <w:spacing w:after="0"/>
              <w:rPr>
                <w:sz w:val="19"/>
                <w:szCs w:val="19"/>
                <w:color w:val="auto"/>
              </w:rPr>
            </w:pPr>
          </w:p>
        </w:tc>
        <w:tc>
          <w:tcPr>
            <w:tcW w:w="150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56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80" w:type="dxa"/>
            <w:vAlign w:val="bottom"/>
            <w:gridSpan w:val="24"/>
          </w:tcPr>
          <w:p>
            <w:pPr>
              <w:jc w:val="right"/>
              <w:ind w:right="1280"/>
              <w:spacing w:after="0"/>
              <w:rPr>
                <w:sz w:val="20"/>
                <w:szCs w:val="20"/>
                <w:color w:val="auto"/>
              </w:rPr>
            </w:pPr>
            <w:r>
              <w:rPr>
                <w:rFonts w:ascii="Arial" w:cs="Arial" w:eastAsia="Arial" w:hAnsi="Arial"/>
                <w:sz w:val="18"/>
                <w:szCs w:val="18"/>
                <w:color w:val="auto"/>
                <w:w w:val="88"/>
              </w:rPr>
              <w:t>Change in Interest Income Year to Date September 30, 2021 Compared to September 30, 2020</w:t>
            </w:r>
          </w:p>
        </w:tc>
        <w:tc>
          <w:tcPr>
            <w:tcW w:w="0" w:type="dxa"/>
            <w:vAlign w:val="bottom"/>
          </w:tcPr>
          <w:p>
            <w:pPr>
              <w:spacing w:after="0"/>
              <w:rPr>
                <w:sz w:val="1"/>
                <w:szCs w:val="1"/>
                <w:color w:val="auto"/>
              </w:rPr>
            </w:pPr>
          </w:p>
        </w:tc>
      </w:tr>
      <w:tr>
        <w:trPr>
          <w:trHeight w:val="493"/>
        </w:trPr>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Change Due</w:t>
            </w:r>
          </w:p>
        </w:tc>
        <w:tc>
          <w:tcPr>
            <w:tcW w:w="140" w:type="dxa"/>
            <w:vAlign w:val="bottom"/>
          </w:tcPr>
          <w:p>
            <w:pPr>
              <w:spacing w:after="0"/>
              <w:rPr>
                <w:sz w:val="18"/>
                <w:szCs w:val="18"/>
                <w:color w:val="auto"/>
              </w:rPr>
            </w:pPr>
          </w:p>
        </w:tc>
        <w:tc>
          <w:tcPr>
            <w:tcW w:w="1380" w:type="dxa"/>
            <w:vAlign w:val="bottom"/>
            <w:gridSpan w:val="5"/>
          </w:tcPr>
          <w:p>
            <w:pPr>
              <w:jc w:val="right"/>
              <w:ind w:right="260"/>
              <w:spacing w:after="0"/>
              <w:rPr>
                <w:sz w:val="20"/>
                <w:szCs w:val="20"/>
                <w:color w:val="auto"/>
              </w:rPr>
            </w:pPr>
            <w:r>
              <w:rPr>
                <w:rFonts w:ascii="Arial" w:cs="Arial" w:eastAsia="Arial" w:hAnsi="Arial"/>
                <w:sz w:val="18"/>
                <w:szCs w:val="18"/>
                <w:color w:val="auto"/>
              </w:rPr>
              <w:t>Change Due</w:t>
            </w:r>
          </w:p>
        </w:tc>
        <w:tc>
          <w:tcPr>
            <w:tcW w:w="6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ind w:left="560"/>
              <w:spacing w:after="0"/>
              <w:rPr>
                <w:sz w:val="20"/>
                <w:szCs w:val="20"/>
                <w:color w:val="auto"/>
              </w:rPr>
            </w:pPr>
            <w:r>
              <w:rPr>
                <w:rFonts w:ascii="Arial" w:cs="Arial" w:eastAsia="Arial" w:hAnsi="Arial"/>
                <w:sz w:val="18"/>
                <w:szCs w:val="18"/>
                <w:color w:val="auto"/>
              </w:rPr>
              <w:t>Interest Earning Assets: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gridSpan w:val="4"/>
          </w:tcPr>
          <w:p>
            <w:pPr>
              <w:jc w:val="right"/>
              <w:ind w:right="130"/>
              <w:spacing w:after="0"/>
              <w:rPr>
                <w:sz w:val="20"/>
                <w:szCs w:val="20"/>
                <w:color w:val="auto"/>
              </w:rPr>
            </w:pPr>
            <w:r>
              <w:rPr>
                <w:rFonts w:ascii="Arial" w:cs="Arial" w:eastAsia="Arial" w:hAnsi="Arial"/>
                <w:sz w:val="18"/>
                <w:szCs w:val="18"/>
                <w:color w:val="auto"/>
              </w:rPr>
              <w:t>Total Change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4"/>
          </w:tcPr>
          <w:p>
            <w:pPr>
              <w:jc w:val="center"/>
              <w:ind w:right="420"/>
              <w:spacing w:after="0"/>
              <w:rPr>
                <w:sz w:val="20"/>
                <w:szCs w:val="20"/>
                <w:color w:val="auto"/>
              </w:rPr>
            </w:pPr>
            <w:r>
              <w:rPr>
                <w:rFonts w:ascii="Arial" w:cs="Arial" w:eastAsia="Arial" w:hAnsi="Arial"/>
                <w:sz w:val="18"/>
                <w:szCs w:val="18"/>
                <w:color w:val="auto"/>
                <w:w w:val="91"/>
              </w:rPr>
              <w:t>to Volume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6"/>
          </w:tcPr>
          <w:p>
            <w:pPr>
              <w:jc w:val="right"/>
              <w:ind w:right="1080"/>
              <w:spacing w:after="0"/>
              <w:rPr>
                <w:sz w:val="20"/>
                <w:szCs w:val="20"/>
                <w:color w:val="auto"/>
              </w:rPr>
            </w:pPr>
            <w:r>
              <w:rPr>
                <w:rFonts w:ascii="Arial" w:cs="Arial" w:eastAsia="Arial" w:hAnsi="Arial"/>
                <w:sz w:val="18"/>
                <w:szCs w:val="18"/>
                <w:color w:val="auto"/>
                <w:w w:val="89"/>
              </w:rPr>
              <w:t>to Rate</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4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2,381</w:t>
            </w: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3,980</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gridSpan w:val="2"/>
            <w:shd w:val="clear" w:color="auto" w:fill="CFF0FC"/>
          </w:tcPr>
          <w:p>
            <w:pPr>
              <w:jc w:val="right"/>
              <w:ind w:right="78"/>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2,390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(2,324)</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Fed funds sold &amp; other</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(229)</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2,387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6,509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(4,122)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Interest expense was lower for the first nine months of 2021 compared to the first nine months of 2020. At $5.0 million, the first nine months of 2021 was down $3.4 million as compared to the same time period 2020 or 40.9%.</w:t>
      </w:r>
    </w:p>
    <w:p>
      <w:pPr>
        <w:spacing w:after="0" w:line="143" w:lineRule="exact"/>
        <w:rPr>
          <w:sz w:val="20"/>
          <w:szCs w:val="20"/>
          <w:color w:val="auto"/>
        </w:rPr>
      </w:pPr>
    </w:p>
    <w:p>
      <w:pPr>
        <w:jc w:val="both"/>
        <w:ind w:left="180"/>
        <w:spacing w:after="0" w:line="296" w:lineRule="auto"/>
        <w:rPr>
          <w:sz w:val="20"/>
          <w:szCs w:val="20"/>
          <w:color w:val="auto"/>
        </w:rPr>
      </w:pPr>
      <w:r>
        <w:rPr>
          <w:rFonts w:ascii="Arial" w:cs="Arial" w:eastAsia="Arial" w:hAnsi="Arial"/>
          <w:sz w:val="16"/>
          <w:szCs w:val="16"/>
          <w:color w:val="auto"/>
        </w:rPr>
        <w:t>The average balance of interest-bearing liabilities was higher by $236.9 million in 2021 than the first nine months of 2020. Interest bearing deposits increased $236.6 million. The remainder is comprised of an increase in subordinated notes of $8.0 million offset by a decrease in Fed Funds purchased and securities sold under agreement to repurchase of $3.2 million and other borrowed money of $4.5 million. Refer to Note 8 for additional information on subordinated notes. The higher balance coupled with the slight variation of the balance sheet mix and lower interest rates, resulted in a 48 basis points decrease in the cost of funds at 0.47% for the first nine months of 2021 as compared to 2020’s 0.95%.</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change chart below shows the decreased cost was driven more by rate than volume.</w:t>
      </w:r>
    </w:p>
    <w:p>
      <w:pPr>
        <w:spacing w:after="0" w:line="200" w:lineRule="exact"/>
        <w:rPr>
          <w:sz w:val="20"/>
          <w:szCs w:val="20"/>
          <w:color w:val="auto"/>
        </w:rPr>
      </w:pPr>
    </w:p>
    <w:p>
      <w:pPr>
        <w:spacing w:after="0" w:line="2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8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ind w:left="23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6"/>
          </w:tcPr>
          <w:p>
            <w:pPr>
              <w:jc w:val="center"/>
              <w:ind w:left="230"/>
              <w:spacing w:after="0"/>
              <w:rPr>
                <w:sz w:val="20"/>
                <w:szCs w:val="20"/>
                <w:color w:val="auto"/>
              </w:rPr>
            </w:pPr>
            <w:r>
              <w:rPr>
                <w:rFonts w:ascii="Arial" w:cs="Arial" w:eastAsia="Arial" w:hAnsi="Arial"/>
                <w:sz w:val="18"/>
                <w:szCs w:val="18"/>
                <w:color w:val="auto"/>
                <w:w w:val="88"/>
              </w:rPr>
              <w:t>Year to Date Ended September 30, 2021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gridSpan w:val="9"/>
          </w:tcPr>
          <w:p>
            <w:pPr>
              <w:jc w:val="right"/>
              <w:ind w:right="980"/>
              <w:spacing w:after="0"/>
              <w:rPr>
                <w:sz w:val="20"/>
                <w:szCs w:val="20"/>
                <w:color w:val="auto"/>
              </w:rPr>
            </w:pPr>
            <w:r>
              <w:rPr>
                <w:rFonts w:ascii="Arial" w:cs="Arial" w:eastAsia="Arial" w:hAnsi="Arial"/>
                <w:sz w:val="18"/>
                <w:szCs w:val="18"/>
                <w:color w:val="auto"/>
                <w:w w:val="97"/>
              </w:rPr>
              <w:t>Annualized Yield/Rate</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Interest Bearing Liabilities:</w:t>
            </w: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Average Balance</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3"/>
          </w:tcPr>
          <w:p>
            <w:pPr>
              <w:ind w:left="640"/>
              <w:spacing w:after="0"/>
              <w:rPr>
                <w:sz w:val="20"/>
                <w:szCs w:val="20"/>
                <w:color w:val="auto"/>
              </w:rPr>
            </w:pPr>
            <w:r>
              <w:rPr>
                <w:rFonts w:ascii="Arial" w:cs="Arial" w:eastAsia="Arial" w:hAnsi="Arial"/>
                <w:sz w:val="18"/>
                <w:szCs w:val="18"/>
                <w:color w:val="auto"/>
              </w:rPr>
              <w:t>Interest</w:t>
            </w: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8"/>
              </w:rPr>
              <w:t>September 30, 2021</w:t>
            </w:r>
          </w:p>
        </w:tc>
        <w:tc>
          <w:tcPr>
            <w:tcW w:w="180" w:type="dxa"/>
            <w:vAlign w:val="bottom"/>
            <w:tcBorders>
              <w:top w:val="single" w:sz="8" w:color="auto"/>
              <w:bottom w:val="single" w:sz="8" w:color="CFF0FC"/>
            </w:tcBorders>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7"/>
              </w:rPr>
              <w:t>September 30, 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1,106,674</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93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0.20%</w:t>
            </w:r>
          </w:p>
        </w:tc>
        <w:tc>
          <w:tcPr>
            <w:tcW w:w="17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9"/>
        </w:trPr>
        <w:tc>
          <w:tcPr>
            <w:tcW w:w="3640" w:type="dxa"/>
            <w:vAlign w:val="bottom"/>
            <w:gridSpan w:val="3"/>
          </w:tcPr>
          <w:p>
            <w:pPr>
              <w:spacing w:after="0"/>
              <w:rPr>
                <w:sz w:val="20"/>
                <w:szCs w:val="20"/>
                <w:color w:val="auto"/>
              </w:rPr>
            </w:pPr>
            <w:r>
              <w:rPr>
                <w:rFonts w:ascii="Arial" w:cs="Arial" w:eastAsia="Arial" w:hAnsi="Arial"/>
                <w:sz w:val="18"/>
                <w:szCs w:val="18"/>
                <w:color w:val="auto"/>
              </w:rPr>
              <w:t>Other time deposits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248,426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2,137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1.15%</w:t>
            </w:r>
          </w:p>
        </w:tc>
        <w:tc>
          <w:tcPr>
            <w:tcW w:w="1760" w:type="dxa"/>
            <w:vAlign w:val="bottom"/>
            <w:gridSpan w:val="5"/>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36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200" w:type="dxa"/>
            <w:vAlign w:val="bottom"/>
            <w:shd w:val="clear" w:color="auto" w:fill="CFF0FC"/>
          </w:tcPr>
          <w:p>
            <w:pPr>
              <w:spacing w:after="0"/>
              <w:rPr>
                <w:sz w:val="19"/>
                <w:szCs w:val="19"/>
                <w:color w:val="auto"/>
              </w:rPr>
            </w:pPr>
          </w:p>
        </w:tc>
        <w:tc>
          <w:tcPr>
            <w:tcW w:w="1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17,859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3.17%</w:t>
            </w:r>
          </w:p>
        </w:tc>
        <w:tc>
          <w:tcPr>
            <w:tcW w:w="17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9"/>
        </w:trPr>
        <w:tc>
          <w:tcPr>
            <w:tcW w:w="3640" w:type="dxa"/>
            <w:vAlign w:val="bottom"/>
            <w:gridSpan w:val="3"/>
          </w:tcPr>
          <w:p>
            <w:pPr>
              <w:spacing w:after="0"/>
              <w:rPr>
                <w:sz w:val="20"/>
                <w:szCs w:val="20"/>
                <w:color w:val="auto"/>
              </w:rPr>
            </w:pPr>
            <w:r>
              <w:rPr>
                <w:rFonts w:ascii="Arial" w:cs="Arial" w:eastAsia="Arial" w:hAnsi="Arial"/>
                <w:sz w:val="18"/>
                <w:szCs w:val="18"/>
                <w:color w:val="auto"/>
              </w:rPr>
              <w:t>Fed funds purchased &amp; securities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Borders>
              <w:right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sold under agreement to repurchase</w:t>
            </w:r>
          </w:p>
        </w:tc>
        <w:tc>
          <w:tcPr>
            <w:tcW w:w="200" w:type="dxa"/>
            <w:vAlign w:val="bottom"/>
            <w:shd w:val="clear" w:color="auto" w:fill="CFF0FC"/>
          </w:tcPr>
          <w:p>
            <w:pPr>
              <w:spacing w:after="0"/>
              <w:rPr>
                <w:sz w:val="19"/>
                <w:szCs w:val="19"/>
                <w:color w:val="auto"/>
              </w:rPr>
            </w:pPr>
          </w:p>
        </w:tc>
        <w:tc>
          <w:tcPr>
            <w:tcW w:w="1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29,973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2.20%</w:t>
            </w:r>
          </w:p>
        </w:tc>
        <w:tc>
          <w:tcPr>
            <w:tcW w:w="17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3640" w:type="dxa"/>
            <w:vAlign w:val="bottom"/>
            <w:gridSpan w:val="3"/>
          </w:tcPr>
          <w:p>
            <w:pPr>
              <w:spacing w:after="0"/>
              <w:rPr>
                <w:sz w:val="20"/>
                <w:szCs w:val="20"/>
                <w:color w:val="auto"/>
              </w:rPr>
            </w:pPr>
            <w:r>
              <w:rPr>
                <w:rFonts w:ascii="Arial" w:cs="Arial" w:eastAsia="Arial" w:hAnsi="Arial"/>
                <w:sz w:val="18"/>
                <w:szCs w:val="18"/>
                <w:color w:val="auto"/>
              </w:rPr>
              <w:t>Subordinated notes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3.31%</w:t>
            </w:r>
          </w:p>
        </w:tc>
        <w:tc>
          <w:tcPr>
            <w:tcW w:w="1760" w:type="dxa"/>
            <w:vAlign w:val="bottom"/>
            <w:gridSpan w:val="5"/>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3640" w:type="dxa"/>
            <w:vAlign w:val="bottom"/>
            <w:tcBorders>
              <w:right w:val="single" w:sz="8" w:color="CFF0FC"/>
            </w:tcBorders>
            <w:gridSpan w:val="3"/>
            <w:vMerge w:val="restart"/>
            <w:shd w:val="clear" w:color="auto" w:fill="CFF0FC"/>
          </w:tcPr>
          <w:p>
            <w:pPr>
              <w:spacing w:after="0"/>
              <w:rPr>
                <w:sz w:val="20"/>
                <w:szCs w:val="20"/>
                <w:color w:val="auto"/>
              </w:rPr>
            </w:pPr>
            <w:r>
              <w:rPr>
                <w:rFonts w:ascii="Arial" w:cs="Arial" w:eastAsia="Arial" w:hAnsi="Arial"/>
                <w:sz w:val="18"/>
                <w:szCs w:val="18"/>
                <w:color w:val="auto"/>
              </w:rPr>
              <w:t>Total Interest Bearing Liabilities</w:t>
            </w:r>
          </w:p>
        </w:tc>
        <w:tc>
          <w:tcPr>
            <w:tcW w:w="20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tcBorders>
              <w:right w:val="single" w:sz="8" w:color="CFF0FC"/>
            </w:tcBorders>
            <w:gridSpan w:val="3"/>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1,410,955</w:t>
            </w:r>
          </w:p>
        </w:tc>
        <w:tc>
          <w:tcPr>
            <w:tcW w:w="12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jc w:val="right"/>
              <w:ind w:right="93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4,954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0.47%</w:t>
            </w:r>
          </w:p>
        </w:tc>
        <w:tc>
          <w:tcPr>
            <w:tcW w:w="120" w:type="dxa"/>
            <w:vAlign w:val="bottom"/>
            <w:vMerge w:val="continue"/>
            <w:shd w:val="clear" w:color="auto" w:fill="CFF0FC"/>
          </w:tcPr>
          <w:p>
            <w:pPr>
              <w:spacing w:after="0"/>
              <w:rPr>
                <w:sz w:val="19"/>
                <w:szCs w:val="19"/>
                <w:color w:val="auto"/>
              </w:rPr>
            </w:pPr>
          </w:p>
        </w:tc>
        <w:tc>
          <w:tcPr>
            <w:tcW w:w="16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11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920" w:type="dxa"/>
            <w:vAlign w:val="bottom"/>
            <w:gridSpan w:val="18"/>
          </w:tcPr>
          <w:p>
            <w:pPr>
              <w:jc w:val="right"/>
              <w:ind w:right="40"/>
              <w:spacing w:after="0"/>
              <w:rPr>
                <w:sz w:val="20"/>
                <w:szCs w:val="20"/>
                <w:color w:val="auto"/>
              </w:rPr>
            </w:pPr>
            <w:r>
              <w:rPr>
                <w:rFonts w:ascii="Arial" w:cs="Arial" w:eastAsia="Arial" w:hAnsi="Arial"/>
                <w:sz w:val="18"/>
                <w:szCs w:val="18"/>
                <w:color w:val="auto"/>
                <w:w w:val="88"/>
              </w:rPr>
              <w:t>Change in Interest Expense Year to Date September 30, 2021 Compared to September 30, 2020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gridSpan w:val="5"/>
          </w:tcPr>
          <w:p>
            <w:pPr>
              <w:jc w:val="center"/>
              <w:ind w:right="180"/>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Change Due</w:t>
            </w:r>
          </w:p>
        </w:tc>
        <w:tc>
          <w:tcPr>
            <w:tcW w:w="140" w:type="dxa"/>
            <w:vAlign w:val="bottom"/>
          </w:tcPr>
          <w:p>
            <w:pPr>
              <w:spacing w:after="0"/>
              <w:rPr>
                <w:sz w:val="18"/>
                <w:szCs w:val="18"/>
                <w:color w:val="auto"/>
              </w:rPr>
            </w:pPr>
          </w:p>
        </w:tc>
        <w:tc>
          <w:tcPr>
            <w:tcW w:w="1380" w:type="dxa"/>
            <w:vAlign w:val="bottom"/>
            <w:gridSpan w:val="5"/>
          </w:tcPr>
          <w:p>
            <w:pPr>
              <w:jc w:val="right"/>
              <w:ind w:right="170"/>
              <w:spacing w:after="0"/>
              <w:rPr>
                <w:sz w:val="20"/>
                <w:szCs w:val="20"/>
                <w:color w:val="auto"/>
              </w:rPr>
            </w:pPr>
            <w:r>
              <w:rPr>
                <w:rFonts w:ascii="Arial" w:cs="Arial" w:eastAsia="Arial" w:hAnsi="Arial"/>
                <w:sz w:val="18"/>
                <w:szCs w:val="18"/>
                <w:color w:val="auto"/>
              </w:rPr>
              <w:t>Change Due</w:t>
            </w:r>
          </w:p>
        </w:tc>
        <w:tc>
          <w:tcPr>
            <w:tcW w:w="12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gridSpan w:val="3"/>
          </w:tcPr>
          <w:p>
            <w:pPr>
              <w:ind w:left="1140"/>
              <w:spacing w:after="0"/>
              <w:rPr>
                <w:sz w:val="20"/>
                <w:szCs w:val="20"/>
                <w:color w:val="auto"/>
              </w:rPr>
            </w:pPr>
            <w:r>
              <w:rPr>
                <w:rFonts w:ascii="Arial" w:cs="Arial" w:eastAsia="Arial" w:hAnsi="Arial"/>
                <w:sz w:val="18"/>
                <w:szCs w:val="18"/>
                <w:color w:val="auto"/>
              </w:rPr>
              <w:t>Interest Bearing Liabilities:</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4"/>
          </w:tcPr>
          <w:p>
            <w:pPr>
              <w:ind w:left="40"/>
              <w:spacing w:after="0"/>
              <w:rPr>
                <w:sz w:val="20"/>
                <w:szCs w:val="20"/>
                <w:color w:val="auto"/>
              </w:rPr>
            </w:pPr>
            <w:r>
              <w:rPr>
                <w:rFonts w:ascii="Arial" w:cs="Arial" w:eastAsia="Arial" w:hAnsi="Arial"/>
                <w:sz w:val="18"/>
                <w:szCs w:val="18"/>
                <w:color w:val="auto"/>
              </w:rPr>
              <w:t>Total Change</w:t>
            </w:r>
          </w:p>
        </w:tc>
        <w:tc>
          <w:tcPr>
            <w:tcW w:w="100" w:type="dxa"/>
            <w:vAlign w:val="bottom"/>
          </w:tcPr>
          <w:p>
            <w:pPr>
              <w:spacing w:after="0"/>
              <w:rPr>
                <w:sz w:val="20"/>
                <w:szCs w:val="20"/>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8"/>
                <w:szCs w:val="18"/>
                <w:color w:val="auto"/>
                <w:w w:val="91"/>
              </w:rPr>
              <w:t>to Volume</w:t>
            </w:r>
          </w:p>
        </w:tc>
        <w:tc>
          <w:tcPr>
            <w:tcW w:w="140" w:type="dxa"/>
            <w:vAlign w:val="bottom"/>
          </w:tcPr>
          <w:p>
            <w:pPr>
              <w:spacing w:after="0"/>
              <w:rPr>
                <w:sz w:val="20"/>
                <w:szCs w:val="20"/>
                <w:color w:val="auto"/>
              </w:rPr>
            </w:pPr>
          </w:p>
        </w:tc>
        <w:tc>
          <w:tcPr>
            <w:tcW w:w="2580" w:type="dxa"/>
            <w:vAlign w:val="bottom"/>
            <w:gridSpan w:val="8"/>
          </w:tcPr>
          <w:p>
            <w:pPr>
              <w:jc w:val="right"/>
              <w:ind w:right="1640"/>
              <w:spacing w:after="0"/>
              <w:rPr>
                <w:sz w:val="20"/>
                <w:szCs w:val="20"/>
                <w:color w:val="auto"/>
              </w:rPr>
            </w:pPr>
            <w:r>
              <w:rPr>
                <w:rFonts w:ascii="Arial" w:cs="Arial" w:eastAsia="Arial" w:hAnsi="Arial"/>
                <w:sz w:val="18"/>
                <w:szCs w:val="18"/>
                <w:color w:val="auto"/>
              </w:rPr>
              <w:t>to Rate</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500" w:type="dxa"/>
            <w:vAlign w:val="bottom"/>
            <w:tcBorders>
              <w:top w:val="single" w:sz="8" w:color="CFF0FC"/>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2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476"/>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(2,516)</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Other time deposits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(1,645)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5"/>
          </w:tcPr>
          <w:p>
            <w:pPr>
              <w:jc w:val="right"/>
              <w:ind w:right="40"/>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(1,359)</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5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200" w:type="dxa"/>
            <w:vAlign w:val="bottom"/>
            <w:shd w:val="clear" w:color="auto" w:fill="CFF0FC"/>
          </w:tcPr>
          <w:p>
            <w:pPr>
              <w:spacing w:after="0"/>
              <w:rPr>
                <w:sz w:val="19"/>
                <w:szCs w:val="19"/>
                <w:color w:val="auto"/>
              </w:rPr>
            </w:pPr>
          </w:p>
        </w:tc>
        <w:tc>
          <w:tcPr>
            <w:tcW w:w="16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(177)</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w w:val="92"/>
              </w:rPr>
              <w:t>Fed funds purchased &amp; securities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70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2"/>
              </w:rPr>
              <w:t>sold under agreement to repurchase</w:t>
            </w:r>
          </w:p>
        </w:tc>
        <w:tc>
          <w:tcPr>
            <w:tcW w:w="16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Subordinated notes</w:t>
            </w:r>
          </w:p>
        </w:tc>
        <w:tc>
          <w:tcPr>
            <w:tcW w:w="20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199</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500" w:type="dxa"/>
            <w:vAlign w:val="bottom"/>
            <w:tcBorders>
              <w:bottom w:val="single" w:sz="8" w:color="CFF0FC"/>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7"/>
              </w:rPr>
              <w:t>Total Interest Bearing Liabilities</w:t>
            </w:r>
          </w:p>
        </w:tc>
        <w:tc>
          <w:tcPr>
            <w:tcW w:w="20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(3,424)</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76"/>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(4,106)</w:t>
            </w:r>
          </w:p>
        </w:tc>
        <w:tc>
          <w:tcPr>
            <w:tcW w:w="80" w:type="dxa"/>
            <w:vAlign w:val="bottom"/>
            <w:tcBorders>
              <w:bottom w:val="single" w:sz="8" w:color="CFF0FC"/>
            </w:tcBorders>
            <w:shd w:val="clear" w:color="auto" w:fill="CFF0FC"/>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Net Interest Income</w:t>
      </w:r>
    </w:p>
    <w:p>
      <w:pPr>
        <w:spacing w:after="0" w:line="189"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Overall, net interest spread figures for the first nine months of 2021 were down from 2020 by 12 basis points and down 28 basis points from 2019. Net interest margin for the first nine months of 2021 was lower than the same periods of 2020 and 2019. As the chart below illustrates, lower yields on loan and investment income were only partially offset by lower interest expense resulting in total net interest margin down 25 basis points since the first nine months of 2020 and under the first nine months of 2019 by 52 basis points.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3.70%</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4.30%</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Interest Expense/cost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0.47%</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0.95%</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3.23%</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3.35%</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Interest Margin</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3.36%</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3.61%</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Net interest income was up $5.8 million in the first nine months of 2021 over the same time frame in 2020 due to the increase in interest income and lower interest expense as previously mentioned. As the new loans added in 2020 and 2021 generate more income, management expects the benefits of the Company’s strategy of repositioning the balance sheet to continue to widen this margin as measured in dollars. In terms of net interest margin rate, the Bank recognizes competition for deposits may again increase and put pressure on the margin which may lead to a tightening.</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Comparison of Results of Noninterest Earnings and Expenses for nine month periods ended September 30, 2021 and 2020</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Provision Expense</w:t>
      </w:r>
    </w:p>
    <w:p>
      <w:pPr>
        <w:spacing w:after="0" w:line="20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Total provision for loan losses was $2.0 million lower for the first nine months 2021 than for the first nine months 2020 attributable primarily to the lessened uncertainties associated with COVID-19 and its effects on the ability of individuals, businesses and other entities to meet their financial obligations. Therefore, it is prudent to incorporate the impact of COVID-19 in the evaluation of the adequacy of Allowance for Loan and Lease Losses (ALLL). The restaurant and hospitality sectors have been hit especially hard. Risk in the Consumer and 1-4 Family Portfolio has increased but the full impact remains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4" w:name="page65"/>
    <w:bookmarkEnd w:id="64"/>
    <w:p>
      <w:pPr>
        <w:jc w:val="both"/>
        <w:ind w:left="760"/>
        <w:spacing w:after="0" w:line="293" w:lineRule="auto"/>
        <w:rPr>
          <w:sz w:val="20"/>
          <w:szCs w:val="20"/>
          <w:color w:val="auto"/>
        </w:rPr>
      </w:pPr>
      <w:r>
        <w:rPr>
          <w:rFonts w:ascii="Arial" w:cs="Arial" w:eastAsia="Arial" w:hAnsi="Arial"/>
          <w:sz w:val="16"/>
          <w:szCs w:val="16"/>
          <w:color w:val="auto"/>
        </w:rPr>
        <w:t>unknown. Increases to the Bank’s ALLL for the first nine months of 2021, centered around current customers and businesses that are particularly vulnerable and qualitative factors were adjusted accordingly. Management continues to monitor asset quality, making adjustments to the provision as necessary. Loan charge-offs were $674 thousand higher in the first nine months of 2021 compared to the same period 2020. Recoveries were $31 thousand higher in the first nine months of 2021 as compared to first nine months of 2020. Combined net charge-offs were $643 thousand higher in the nine months ended September 2021 as compared to the same time period 2020. Management continues to evaluate the potential financial implications resulting from COVID-19 and adjusts ALLL qualitative factors as necessary.</w:t>
      </w:r>
    </w:p>
    <w:p>
      <w:pPr>
        <w:spacing w:after="0" w:line="13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nine months ended September 30, 2021, 2020, and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auto"/>
              </w:rPr>
              <w:t>Nine Months Ended</w:t>
            </w:r>
          </w:p>
        </w:tc>
        <w:tc>
          <w:tcPr>
            <w:tcW w:w="140" w:type="dxa"/>
            <w:vAlign w:val="bottom"/>
          </w:tcPr>
          <w:p>
            <w:pPr>
              <w:spacing w:after="0"/>
              <w:rPr>
                <w:sz w:val="18"/>
                <w:szCs w:val="18"/>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Nine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w w:val="92"/>
              </w:rPr>
              <w:t>Nine Months Ended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4"/>
          </w:tcPr>
          <w:p>
            <w:pPr>
              <w:ind w:left="60"/>
              <w:spacing w:after="0"/>
              <w:rPr>
                <w:sz w:val="20"/>
                <w:szCs w:val="20"/>
                <w:color w:val="auto"/>
              </w:rPr>
            </w:pPr>
            <w:r>
              <w:rPr>
                <w:rFonts w:ascii="Arial" w:cs="Arial" w:eastAsia="Arial" w:hAnsi="Arial"/>
                <w:sz w:val="18"/>
                <w:szCs w:val="18"/>
                <w:color w:val="auto"/>
              </w:rPr>
              <w:t>September 30, 2021</w:t>
            </w:r>
          </w:p>
        </w:tc>
        <w:tc>
          <w:tcPr>
            <w:tcW w:w="140" w:type="dxa"/>
            <w:vAlign w:val="bottom"/>
          </w:tcPr>
          <w:p>
            <w:pPr>
              <w:spacing w:after="0"/>
              <w:rPr>
                <w:sz w:val="20"/>
                <w:szCs w:val="20"/>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September 30, 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September 30, 2019</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1,495,562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1,363,862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1,158,696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FF0FC"/>
            </w:tcBorders>
            <w:vMerge w:val="continue"/>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1,413,625</w:t>
            </w:r>
          </w:p>
        </w:tc>
        <w:tc>
          <w:tcPr>
            <w:tcW w:w="1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1,305,998</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1,113,892</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Allowance for Loan Losses - January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13,672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7,228</w:t>
            </w:r>
          </w:p>
        </w:tc>
        <w:tc>
          <w:tcPr>
            <w:tcW w:w="1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Charged off:</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000"/>
              <w:spacing w:after="0"/>
              <w:rPr>
                <w:sz w:val="20"/>
                <w:szCs w:val="20"/>
                <w:color w:val="auto"/>
              </w:rPr>
            </w:pPr>
            <w:r>
              <w:rPr>
                <w:rFonts w:ascii="Arial" w:cs="Arial" w:eastAsia="Arial" w:hAnsi="Arial"/>
                <w:sz w:val="18"/>
                <w:szCs w:val="18"/>
                <w:color w:val="auto"/>
              </w:rPr>
              <w:t>Consumer Real Estate</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Agriculture Real Estate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000"/>
              <w:spacing w:after="0"/>
              <w:rPr>
                <w:sz w:val="20"/>
                <w:szCs w:val="20"/>
                <w:color w:val="auto"/>
              </w:rPr>
            </w:pPr>
            <w:r>
              <w:rPr>
                <w:rFonts w:ascii="Arial" w:cs="Arial" w:eastAsia="Arial" w:hAnsi="Arial"/>
                <w:sz w:val="18"/>
                <w:szCs w:val="18"/>
                <w:color w:val="auto"/>
              </w:rPr>
              <w:t>Agricultural</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00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 Recoveries: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000"/>
              <w:spacing w:after="0"/>
              <w:rPr>
                <w:sz w:val="20"/>
                <w:szCs w:val="20"/>
                <w:color w:val="auto"/>
              </w:rPr>
            </w:pPr>
            <w:r>
              <w:rPr>
                <w:rFonts w:ascii="Arial" w:cs="Arial" w:eastAsia="Arial" w:hAnsi="Arial"/>
                <w:sz w:val="18"/>
                <w:szCs w:val="18"/>
                <w:color w:val="auto"/>
              </w:rPr>
              <w:t>Consumer Real Estate</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Agriculture Real Estate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000"/>
              <w:spacing w:after="0"/>
              <w:rPr>
                <w:sz w:val="20"/>
                <w:szCs w:val="20"/>
                <w:color w:val="auto"/>
              </w:rPr>
            </w:pPr>
            <w:r>
              <w:rPr>
                <w:rFonts w:ascii="Arial" w:cs="Arial" w:eastAsia="Arial" w:hAnsi="Arial"/>
                <w:sz w:val="18"/>
                <w:szCs w:val="18"/>
                <w:color w:val="auto"/>
              </w:rPr>
              <w:t>Agricultural</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00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Charge Offs</w:t>
            </w: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000"/>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4,986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Acquisition provision for loan loss</w:t>
            </w: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Allowance for Loan &amp; Lease Losses - September 30,</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15,698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11,883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&amp; Letters of Credit - September 30,</w:t>
            </w:r>
          </w:p>
        </w:tc>
        <w:tc>
          <w:tcPr>
            <w:tcW w:w="14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Allowance for Credit Losses - September 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16,737</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12,516</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outstanding</w:t>
            </w:r>
          </w:p>
        </w:tc>
        <w:tc>
          <w:tcPr>
            <w:tcW w:w="14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Nonperforming Loans*</w:t>
            </w:r>
          </w:p>
        </w:tc>
        <w:tc>
          <w:tcPr>
            <w:tcW w:w="140" w:type="dxa"/>
            <w:vAlign w:val="bottom"/>
          </w:tcPr>
          <w:p>
            <w:pPr>
              <w:spacing w:after="0"/>
              <w:rPr>
                <w:sz w:val="20"/>
                <w:szCs w:val="20"/>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251.26%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151.01%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173.25%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20" w:hanging="370"/>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90 days past due not on nonaccrual.</w:t>
      </w:r>
    </w:p>
    <w:p>
      <w:pPr>
        <w:spacing w:after="0" w:line="252"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In comparing past due balances of loans 30+ days, September 30, 2021 balances were $1.6 million as compared to September 30, 2020 balances of $324 thousand. Net charge-offs were higher at $974 thousand for the first nine months of 2021 compared to the first nine months of 2020’s $331 thousand.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Noninterest Income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Noninterest income for the first nine months of 2021 increased over the first nine months of 2020 by $1.9 million. Gain on sale of loans showed a $695 thousand increase over the first nine months of 2020 with the surge in refinance activity due to interest rate reductions. Combined service fees increased by $1.2 million with increased debit card income of $778 thousand which included a Mastercard growth credit of $151 thousand, servicing fee income on 1-4 family and agricultural real estate loans of $176 thousand and bank owned life insurance cash surrender value increases of $209 thousand. Service charge income increased by $146 thousand while overdraft and returned check income decreased by $46 thousand. Servicing rights income and release fees decreased compared to 2020 by $91 thousand and $93 thousand, respectively. The Company did sell some of its available-for-sale securities in first nine months of both years and recognized a gain of $293 thousand in 2021 and $270 thousand in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the first nine months of 2021, noninterest expenses were $6.7 million higher than in the first nine months of 2020. 2021 included $2.7 million of third party acquisition related costs incurred with the Ossian and Perpetual transactions. The nine months of 2021 included an increase of $1.0 million in salaries and wages in addition to an increase of $1.1 million in employee benefits. The addition of the acquired offices, normal merit increases, a one time expense for 2020 employer pension match and increased employer taxes have impacted 2021. The increases were offset by decreased restricted stock expense and medical costs. 2021 included acquisition costs of $694 thousand in the employee benefits line of the Company’s consolidated statement of income.</w:t>
      </w:r>
    </w:p>
    <w:p>
      <w:pPr>
        <w:spacing w:after="0" w:line="1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Data processing fees, which included a credit for product upgrades in the amount of $100 thousand, were $1.1 million higher than last year with $939 thousand attributed to the acquisitions. A seven year contract extension was signed in the third quarter of 2016 which has helped reduce the expense while adding new products and services to better align with our customers’ expectations in the coming years. Consulting fees increased $312 thousand with $416 thousand acquisition related. The increase in FDIC assessments for 2021 was due to Small Bank Credits being applied in 2020 and an increase in the assessment base. 2021 included a loss on the sale of buildings in the amount of $406 thousand.</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were up $1.5 million over the first nine months of 2020. Acquisition costs of $604 thousand were included in this line for 2021. One of the largest increases was for provision for unfunded loans for $244 thousand which was partially related to the decreased balances on lines of credit due to PPP. Loan and collection expense increased $259 thousand while legal fees increased $420 thousand over 2020 with $402 thousand related to the acquisitions. Audit, accounting and exam fees increased $149 thousand compared to 2020 with $44 thousand attributed to the acquisitions.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Income tax expense was $583 thousand higher for the first nine months of 2021 compared to the first nine months of 2020. Effective tax rates were 20.20% and 20.43% for the first nine months of 2021 and 2020 respectively. The slightly lower effective tax rate for the first nine months of 2021 equaled a decrease in income tax expense of $45 thousand with an increase of $628 thousand driven from increased earnings.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Overall, net income through the first nine months of 2021 was up $2.5 million as compared to the first nine months of 2020. Decreased interest expense of $3.4 million, decreased loan loss provision of $2.0 million and increased loan interest income of $2.4 million were the largest contributors to the increased net income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FORWARD LOOKING STATEMENTS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including, but not limited to, the ongoing impact of the COVID-19 pandemic.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2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shocks presented below assume an immediate change of rate in the percentages and directions shown covering a twelve month period:</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9"/>
              </w:rPr>
              <w:t>Interest Rate Shock</w:t>
            </w:r>
          </w:p>
        </w:tc>
        <w:tc>
          <w:tcPr>
            <w:tcW w:w="10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6"/>
          </w:tcPr>
          <w:p>
            <w:pPr>
              <w:jc w:val="center"/>
              <w:ind w:right="940"/>
              <w:spacing w:after="0"/>
              <w:rPr>
                <w:sz w:val="20"/>
                <w:szCs w:val="20"/>
                <w:color w:val="auto"/>
              </w:rPr>
            </w:pPr>
            <w:r>
              <w:rPr>
                <w:rFonts w:ascii="Arial" w:cs="Arial" w:eastAsia="Arial" w:hAnsi="Arial"/>
                <w:sz w:val="18"/>
                <w:szCs w:val="18"/>
                <w:color w:val="auto"/>
                <w:w w:val="88"/>
              </w:rPr>
              <w:t>Interest Rate Shock</w:t>
            </w: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4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92"/>
              </w:rPr>
              <w:t>on Net Interest Margin</w:t>
            </w:r>
          </w:p>
        </w:tc>
        <w:tc>
          <w:tcPr>
            <w:tcW w:w="9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gridSpan w:val="7"/>
          </w:tcPr>
          <w:p>
            <w:pPr>
              <w:jc w:val="center"/>
              <w:ind w:right="820"/>
              <w:spacing w:after="0" w:line="196" w:lineRule="exact"/>
              <w:rPr>
                <w:sz w:val="20"/>
                <w:szCs w:val="20"/>
                <w:color w:val="auto"/>
              </w:rPr>
            </w:pPr>
            <w:r>
              <w:rPr>
                <w:rFonts w:ascii="Arial" w:cs="Arial" w:eastAsia="Arial" w:hAnsi="Arial"/>
                <w:sz w:val="18"/>
                <w:szCs w:val="18"/>
                <w:color w:val="auto"/>
                <w:w w:val="90"/>
              </w:rPr>
              <w:t>on Net Interest Income</w:t>
            </w:r>
          </w:p>
        </w:tc>
      </w:tr>
      <w:tr>
        <w:trPr>
          <w:trHeight w:val="20"/>
        </w:trPr>
        <w:tc>
          <w:tcPr>
            <w:tcW w:w="68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49"/>
        </w:trPr>
        <w:tc>
          <w:tcPr>
            <w:tcW w:w="162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Net Interest</w:t>
            </w:r>
          </w:p>
        </w:tc>
        <w:tc>
          <w:tcPr>
            <w:tcW w:w="1620" w:type="dxa"/>
            <w:vAlign w:val="bottom"/>
            <w:gridSpan w:val="4"/>
          </w:tcPr>
          <w:p>
            <w:pPr>
              <w:jc w:val="center"/>
              <w:ind w:right="260"/>
              <w:spacing w:after="0"/>
              <w:rPr>
                <w:sz w:val="20"/>
                <w:szCs w:val="20"/>
                <w:color w:val="auto"/>
              </w:rPr>
            </w:pPr>
            <w:r>
              <w:rPr>
                <w:rFonts w:ascii="Arial" w:cs="Arial" w:eastAsia="Arial" w:hAnsi="Arial"/>
                <w:sz w:val="18"/>
                <w:szCs w:val="18"/>
                <w:color w:val="auto"/>
                <w:w w:val="88"/>
              </w:rPr>
              <w:t>% Change to</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Rate</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1640" w:type="dxa"/>
            <w:vAlign w:val="bottom"/>
            <w:gridSpan w:val="4"/>
          </w:tcPr>
          <w:p>
            <w:pPr>
              <w:jc w:val="center"/>
              <w:ind w:right="280"/>
              <w:spacing w:after="0"/>
              <w:rPr>
                <w:sz w:val="20"/>
                <w:szCs w:val="20"/>
                <w:color w:val="auto"/>
              </w:rPr>
            </w:pPr>
            <w:r>
              <w:rPr>
                <w:rFonts w:ascii="Arial" w:cs="Arial" w:eastAsia="Arial" w:hAnsi="Arial"/>
                <w:sz w:val="18"/>
                <w:szCs w:val="18"/>
                <w:color w:val="auto"/>
                <w:w w:val="93"/>
              </w:rPr>
              <w:t>Cumulative</w:t>
            </w:r>
          </w:p>
        </w:tc>
        <w:tc>
          <w:tcPr>
            <w:tcW w:w="152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 Change to</w:t>
            </w:r>
          </w:p>
        </w:tc>
      </w:tr>
      <w:tr>
        <w:trPr>
          <w:trHeight w:val="230"/>
        </w:trPr>
        <w:tc>
          <w:tcPr>
            <w:tcW w:w="162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Margin (Ratio)</w:t>
            </w:r>
          </w:p>
        </w:tc>
        <w:tc>
          <w:tcPr>
            <w:tcW w:w="162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Flat Rate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Direction</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Changes by</w:t>
            </w:r>
          </w:p>
        </w:tc>
        <w:tc>
          <w:tcPr>
            <w:tcW w:w="164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Total ($000)</w:t>
            </w:r>
          </w:p>
        </w:tc>
        <w:tc>
          <w:tcPr>
            <w:tcW w:w="152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Flat Rate</w:t>
            </w:r>
          </w:p>
        </w:tc>
      </w:tr>
      <w:tr>
        <w:trPr>
          <w:trHeight w:val="223"/>
        </w:trPr>
        <w:tc>
          <w:tcPr>
            <w:tcW w:w="1400" w:type="dxa"/>
            <w:vAlign w:val="bottom"/>
            <w:tcBorders>
              <w:top w:val="single" w:sz="8" w:color="auto"/>
            </w:tcBorders>
            <w:gridSpan w:val="3"/>
            <w:shd w:val="clear" w:color="auto" w:fill="CFF0FC"/>
          </w:tcPr>
          <w:p>
            <w:pPr>
              <w:jc w:val="center"/>
              <w:spacing w:after="0"/>
              <w:rPr>
                <w:sz w:val="20"/>
                <w:szCs w:val="20"/>
                <w:color w:val="auto"/>
              </w:rPr>
            </w:pPr>
            <w:r>
              <w:rPr>
                <w:rFonts w:ascii="Arial" w:cs="Arial" w:eastAsia="Arial" w:hAnsi="Arial"/>
                <w:sz w:val="18"/>
                <w:szCs w:val="18"/>
                <w:color w:val="auto"/>
                <w:w w:val="90"/>
              </w:rPr>
              <w:t>3.97%</w:t>
            </w: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14.64%</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Rising</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80,136</w:t>
            </w: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14.70%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0"/>
              </w:rPr>
              <w:t>3.86%</w:t>
            </w:r>
          </w:p>
        </w:tc>
        <w:tc>
          <w:tcPr>
            <w:tcW w:w="220" w:type="dxa"/>
            <w:vAlign w:val="bottom"/>
          </w:tcPr>
          <w:p>
            <w:pPr>
              <w:spacing w:after="0"/>
              <w:rPr>
                <w:sz w:val="19"/>
                <w:szCs w:val="19"/>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11.66%</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Rising</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77,741</w:t>
            </w:r>
          </w:p>
        </w:tc>
        <w:tc>
          <w:tcPr>
            <w:tcW w:w="240" w:type="dxa"/>
            <w:vAlign w:val="bottom"/>
          </w:tcPr>
          <w:p>
            <w:pPr>
              <w:spacing w:after="0"/>
              <w:rPr>
                <w:sz w:val="19"/>
                <w:szCs w:val="19"/>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11.27%</w:t>
            </w:r>
          </w:p>
        </w:tc>
        <w:tc>
          <w:tcPr>
            <w:tcW w:w="100" w:type="dxa"/>
            <w:vAlign w:val="bottom"/>
          </w:tcPr>
          <w:p>
            <w:pPr>
              <w:spacing w:after="0"/>
              <w:rPr>
                <w:sz w:val="19"/>
                <w:szCs w:val="19"/>
                <w:color w:val="auto"/>
              </w:rPr>
            </w:pPr>
          </w:p>
        </w:tc>
      </w:tr>
      <w:tr>
        <w:trPr>
          <w:trHeight w:val="230"/>
        </w:trPr>
        <w:tc>
          <w:tcPr>
            <w:tcW w:w="14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3.71%</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0"/>
              </w:rPr>
              <w:t>7.34%</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5"/>
              </w:rPr>
              <w:t>Rising</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74,643</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0"/>
              </w:rPr>
              <w:t>6.83%</w:t>
            </w:r>
          </w:p>
        </w:tc>
        <w:tc>
          <w:tcPr>
            <w:tcW w:w="100" w:type="dxa"/>
            <w:vAlign w:val="bottom"/>
            <w:shd w:val="clear" w:color="auto" w:fill="CFF0FC"/>
          </w:tcPr>
          <w:p>
            <w:pPr>
              <w:spacing w:after="0"/>
              <w:rPr>
                <w:sz w:val="19"/>
                <w:szCs w:val="19"/>
                <w:color w:val="auto"/>
              </w:rPr>
            </w:pPr>
          </w:p>
        </w:tc>
      </w:tr>
      <w:tr>
        <w:trPr>
          <w:trHeight w:val="229"/>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0"/>
              </w:rPr>
              <w:t>3.46%</w:t>
            </w:r>
          </w:p>
        </w:tc>
        <w:tc>
          <w:tcPr>
            <w:tcW w:w="220" w:type="dxa"/>
            <w:vAlign w:val="bottom"/>
          </w:tcPr>
          <w:p>
            <w:pPr>
              <w:spacing w:after="0"/>
              <w:rPr>
                <w:sz w:val="19"/>
                <w:szCs w:val="19"/>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0.00%</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Flat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69,868</w:t>
            </w:r>
          </w:p>
        </w:tc>
        <w:tc>
          <w:tcPr>
            <w:tcW w:w="240" w:type="dxa"/>
            <w:vAlign w:val="bottom"/>
          </w:tcPr>
          <w:p>
            <w:pPr>
              <w:spacing w:after="0"/>
              <w:rPr>
                <w:sz w:val="19"/>
                <w:szCs w:val="19"/>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0.00%</w:t>
            </w:r>
          </w:p>
        </w:tc>
        <w:tc>
          <w:tcPr>
            <w:tcW w:w="100" w:type="dxa"/>
            <w:vAlign w:val="bottom"/>
          </w:tcPr>
          <w:p>
            <w:pPr>
              <w:spacing w:after="0"/>
              <w:rPr>
                <w:sz w:val="19"/>
                <w:szCs w:val="19"/>
                <w:color w:val="auto"/>
              </w:rPr>
            </w:pPr>
          </w:p>
        </w:tc>
      </w:tr>
      <w:tr>
        <w:trPr>
          <w:trHeight w:val="230"/>
        </w:trPr>
        <w:tc>
          <w:tcPr>
            <w:tcW w:w="14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3.22%</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1"/>
              </w:rPr>
              <w:t>-6.98%</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8"/>
              </w:rPr>
              <w:t>Falling</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65,529</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1"/>
              </w:rPr>
              <w:t>-6.21%</w:t>
            </w:r>
          </w:p>
        </w:tc>
        <w:tc>
          <w:tcPr>
            <w:tcW w:w="100" w:type="dxa"/>
            <w:vAlign w:val="bottom"/>
            <w:shd w:val="clear" w:color="auto" w:fill="CFF0FC"/>
          </w:tcPr>
          <w:p>
            <w:pPr>
              <w:spacing w:after="0"/>
              <w:rPr>
                <w:sz w:val="19"/>
                <w:szCs w:val="19"/>
                <w:color w:val="auto"/>
              </w:rPr>
            </w:pPr>
          </w:p>
        </w:tc>
      </w:tr>
      <w:tr>
        <w:trPr>
          <w:trHeight w:val="229"/>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0"/>
              </w:rPr>
              <w:t>3.01%</w:t>
            </w:r>
          </w:p>
        </w:tc>
        <w:tc>
          <w:tcPr>
            <w:tcW w:w="220" w:type="dxa"/>
            <w:vAlign w:val="bottom"/>
          </w:tcPr>
          <w:p>
            <w:pPr>
              <w:spacing w:after="0"/>
              <w:rPr>
                <w:sz w:val="19"/>
                <w:szCs w:val="19"/>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-12.89%</w:t>
            </w:r>
          </w:p>
        </w:tc>
        <w:tc>
          <w:tcPr>
            <w:tcW w:w="2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Falling</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-2.00%</w:t>
            </w:r>
          </w:p>
        </w:tc>
        <w:tc>
          <w:tcPr>
            <w:tcW w:w="220" w:type="dxa"/>
            <w:vAlign w:val="bottom"/>
          </w:tcPr>
          <w:p>
            <w:pPr>
              <w:spacing w:after="0"/>
              <w:rPr>
                <w:sz w:val="19"/>
                <w:szCs w:val="19"/>
                <w:color w:val="auto"/>
              </w:rPr>
            </w:pP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61,874</w:t>
            </w:r>
          </w:p>
        </w:tc>
        <w:tc>
          <w:tcPr>
            <w:tcW w:w="240" w:type="dxa"/>
            <w:vAlign w:val="bottom"/>
          </w:tcPr>
          <w:p>
            <w:pPr>
              <w:spacing w:after="0"/>
              <w:rPr>
                <w:sz w:val="19"/>
                <w:szCs w:val="19"/>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-11.44%</w:t>
            </w:r>
          </w:p>
        </w:tc>
        <w:tc>
          <w:tcPr>
            <w:tcW w:w="100" w:type="dxa"/>
            <w:vAlign w:val="bottom"/>
          </w:tcPr>
          <w:p>
            <w:pPr>
              <w:spacing w:after="0"/>
              <w:rPr>
                <w:sz w:val="19"/>
                <w:szCs w:val="19"/>
                <w:color w:val="auto"/>
              </w:rPr>
            </w:pPr>
          </w:p>
        </w:tc>
      </w:tr>
      <w:tr>
        <w:trPr>
          <w:trHeight w:val="230"/>
        </w:trPr>
        <w:tc>
          <w:tcPr>
            <w:tcW w:w="14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0"/>
              </w:rPr>
              <w:t>2.79%</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2"/>
              </w:rPr>
              <w:t>-19.39%</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8"/>
              </w:rPr>
              <w:t>Falling</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-3.00%</w:t>
            </w:r>
          </w:p>
        </w:tc>
        <w:tc>
          <w:tcPr>
            <w:tcW w:w="2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57,873</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92"/>
              </w:rPr>
              <w:t>-17.17%</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w:t>
      </w:r>
    </w:p>
    <w:p>
      <w:pPr>
        <w:spacing w:after="0" w:line="117"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auto"/>
        </w:rPr>
        <w:t>The shock chart currently shows a widening in net interest margin over the next twelve months in a rising rate environment and a tightening in a falling rate environment. With the rate decreases in the first quarter of 2020, the model predicts an expansion of net interest income at any level in a rising rate environment. The rising rate scenarios are predicted to expand the net interest margin and produce higher levels of net interest income. Cost of funds are at 0.45% for the quarter and 0.47% for the year so the lowest shock of 100 basis points is where the Bank can take partial advantage and reprice some funds to match the level of shock. Once the shocks are falling over 100 basis points, the cost of funds cannot lower to match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212529"/>
        </w:rPr>
        <w:t xml:space="preserve">There have been no material changes in the Company’s risk factors from those disclosed in the Company’s Annual Report on Form 10-K for the year </w:t>
      </w:r>
      <w:r>
        <w:rPr>
          <w:rFonts w:ascii="Arial" w:cs="Arial" w:eastAsia="Arial" w:hAnsi="Arial"/>
          <w:sz w:val="18"/>
          <w:szCs w:val="18"/>
          <w:color w:val="000000"/>
        </w:rPr>
        <w:t>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Treasury stock repurchased the quarter ended September 30, 2021.</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(d) Maximum</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93"/>
              </w:rPr>
              <w:t>(c) Total Number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Number</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88"/>
              </w:rPr>
              <w:t>of Shares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of Shares that may</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10"/>
              <w:spacing w:after="0"/>
              <w:rPr>
                <w:sz w:val="20"/>
                <w:szCs w:val="20"/>
                <w:color w:val="auto"/>
              </w:rPr>
            </w:pPr>
            <w:r>
              <w:rPr>
                <w:rFonts w:ascii="Arial" w:cs="Arial" w:eastAsia="Arial" w:hAnsi="Arial"/>
                <w:sz w:val="18"/>
                <w:szCs w:val="18"/>
                <w:color w:val="auto"/>
                <w:w w:val="85"/>
              </w:rPr>
              <w:t>Purchased as Part</w:t>
            </w: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yet be</w:t>
            </w:r>
          </w:p>
        </w:tc>
      </w:tr>
      <w:tr>
        <w:trPr>
          <w:trHeight w:val="216"/>
        </w:trPr>
        <w:tc>
          <w:tcPr>
            <w:tcW w:w="2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97"/>
              </w:rPr>
              <w:t>of Publicly</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r>
      <w:tr>
        <w:trPr>
          <w:trHeight w:val="216"/>
        </w:trPr>
        <w:tc>
          <w:tcPr>
            <w:tcW w:w="2440" w:type="dxa"/>
            <w:vAlign w:val="bottom"/>
          </w:tcPr>
          <w:p>
            <w:pPr>
              <w:spacing w:after="0"/>
              <w:rPr>
                <w:sz w:val="18"/>
                <w:szCs w:val="18"/>
                <w:color w:val="auto"/>
              </w:rPr>
            </w:pP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(a) Total Number of</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w w:val="94"/>
              </w:rPr>
              <w:t>(b) Average Price</w:t>
            </w:r>
          </w:p>
        </w:tc>
        <w:tc>
          <w:tcPr>
            <w:tcW w:w="3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color w:val="auto"/>
                <w:w w:val="90"/>
              </w:rPr>
              <w:t>Announced Plan</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Plans or</w:t>
            </w:r>
          </w:p>
        </w:tc>
      </w:tr>
      <w:tr>
        <w:trPr>
          <w:trHeight w:val="230"/>
        </w:trPr>
        <w:tc>
          <w:tcPr>
            <w:tcW w:w="24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Period</w:t>
            </w:r>
          </w:p>
        </w:tc>
        <w:tc>
          <w:tcPr>
            <w:tcW w:w="2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 Purchased</w:t>
            </w: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Paid per Share</w:t>
            </w: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 xml:space="preserve">or Programs </w:t>
            </w:r>
            <w:r>
              <w:rPr>
                <w:rFonts w:ascii="Arial" w:cs="Arial" w:eastAsia="Arial" w:hAnsi="Arial"/>
                <w:sz w:val="15"/>
                <w:szCs w:val="15"/>
                <w:color w:val="auto"/>
                <w:w w:val="89"/>
              </w:rPr>
              <w: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r>
      <w:tr>
        <w:trPr>
          <w:trHeight w:val="223"/>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7/1/2021 to 7/31/2021</w:t>
            </w:r>
          </w:p>
        </w:tc>
        <w:tc>
          <w:tcPr>
            <w:tcW w:w="25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491,500</w:t>
            </w:r>
          </w:p>
        </w:tc>
      </w:tr>
      <w:tr>
        <w:trPr>
          <w:trHeight w:val="230"/>
        </w:trPr>
        <w:tc>
          <w:tcPr>
            <w:tcW w:w="2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8/1/2021 to 8/31/2021</w:t>
            </w:r>
          </w:p>
        </w:tc>
        <w:tc>
          <w:tcPr>
            <w:tcW w:w="2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xml:space="preserve">4,732 </w:t>
            </w:r>
            <w:r>
              <w:rPr>
                <w:rFonts w:ascii="Arial" w:cs="Arial" w:eastAsia="Arial" w:hAnsi="Arial"/>
                <w:sz w:val="15"/>
                <w:szCs w:val="15"/>
                <w:color w:val="auto"/>
              </w:rPr>
              <w:t>(2)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w:t>
            </w:r>
          </w:p>
        </w:tc>
        <w:tc>
          <w:tcPr>
            <w:tcW w:w="30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(2)</w:t>
            </w:r>
          </w:p>
        </w:tc>
        <w:tc>
          <w:tcPr>
            <w:tcW w:w="1620" w:type="dxa"/>
            <w:vAlign w:val="bottom"/>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491,500</w:t>
            </w:r>
          </w:p>
        </w:tc>
      </w:tr>
      <w:tr>
        <w:trPr>
          <w:trHeight w:val="230"/>
        </w:trPr>
        <w:tc>
          <w:tcPr>
            <w:tcW w:w="2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2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9/1/2021 to 9/30/2021</w:t>
            </w:r>
          </w:p>
        </w:tc>
        <w:tc>
          <w:tcPr>
            <w:tcW w:w="252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491,500</w:t>
            </w:r>
          </w:p>
        </w:tc>
      </w:tr>
      <w:tr>
        <w:trPr>
          <w:trHeight w:val="223"/>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4,732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491,500</w:t>
            </w:r>
          </w:p>
        </w:tc>
      </w:tr>
    </w:tbl>
    <w:p>
      <w:pPr>
        <w:spacing w:after="0" w:line="229" w:lineRule="exact"/>
        <w:rPr>
          <w:sz w:val="20"/>
          <w:szCs w:val="20"/>
          <w:color w:val="auto"/>
        </w:rPr>
      </w:pPr>
    </w:p>
    <w:p>
      <w:pPr>
        <w:jc w:val="both"/>
        <w:ind w:left="1120" w:hanging="370"/>
        <w:spacing w:after="0" w:line="255"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15, 2021. On that date, the Board of Directors authorized the repurchase of 500,000 common shares between January 15, 2021 and December 31, 2021.</w:t>
      </w:r>
    </w:p>
    <w:p>
      <w:pPr>
        <w:spacing w:after="0" w:line="2" w:lineRule="exact"/>
        <w:rPr>
          <w:rFonts w:ascii="Arial" w:cs="Arial" w:eastAsia="Arial" w:hAnsi="Arial"/>
          <w:sz w:val="18"/>
          <w:szCs w:val="18"/>
          <w:color w:val="auto"/>
        </w:rPr>
      </w:pPr>
    </w:p>
    <w:p>
      <w:pPr>
        <w:ind w:left="1120" w:hanging="370"/>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Shares which were returned to account for tax payable on vested stock awards are outside of the Company’s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jc w:val="center"/>
        <w:ind w:right="86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2.1</w:t>
            </w:r>
          </w:p>
        </w:tc>
        <w:tc>
          <w:tcPr>
            <w:tcW w:w="10100" w:type="dxa"/>
            <w:vAlign w:val="bottom"/>
            <w:tcBorders>
              <w:bottom w:val="single" w:sz="8" w:color="0000EE"/>
            </w:tcBorders>
            <w:gridSpan w:val="12"/>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Agreement and Plan of Reorganization and Merger between Farmers &amp; Merchants Bancorp, Inc. and Ossian Financial Services, Inc. dated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December 21, 2020 (incorporated by reference to Exhibit 2.1 to Registrant’s Current Report on Form 8-K filed with the Commission on</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December 21, 2020).</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101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Agreement and Plan of Reorganization and Merger between Farmers &amp; Merchants Bancorp, Inc. and Perpetual Federal Savings Bank dated</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May 4, 2021 (incorporated by reference to Exhibit 2.1 to Registrant’s Current Report on Form 8-K filed with the Commission on May 4,</w:t>
              </w:r>
            </w:hyperlink>
          </w:p>
        </w:tc>
      </w:tr>
      <w:tr>
        <w:trPr>
          <w:trHeight w:val="196"/>
        </w:trPr>
        <w:tc>
          <w:tcPr>
            <w:tcW w:w="1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01">
              <w:r>
                <w:rPr>
                  <w:rFonts w:ascii="Arial" w:cs="Arial" w:eastAsia="Arial" w:hAnsi="Arial"/>
                  <w:sz w:val="18"/>
                  <w:szCs w:val="18"/>
                  <w:color w:val="0000EE"/>
                  <w:w w:val="86"/>
                </w:rPr>
                <w:t>2021).</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1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Amended Articles of Incorporation of the Registrant (incorporated by reference to Exhibit 3.1 to Registrant’s Quarterly Report on Form 10-</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Q filed with the Commission on October 25, 2017).</w:t>
              </w:r>
            </w:hyperlink>
          </w:p>
        </w:tc>
      </w:tr>
      <w:tr>
        <w:trPr>
          <w:trHeight w:val="20"/>
        </w:trPr>
        <w:tc>
          <w:tcPr>
            <w:tcW w:w="114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01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Amended and Restated Code of Regulations of the Registrant (incorporated by reference to Exhibit 3.2 to Registrant's Quarterly Report on</w:t>
              </w:r>
            </w:hyperlink>
          </w:p>
        </w:tc>
      </w:tr>
      <w:tr>
        <w:trPr>
          <w:trHeight w:val="196"/>
        </w:trPr>
        <w:tc>
          <w:tcPr>
            <w:tcW w:w="1140" w:type="dxa"/>
            <w:vAlign w:val="bottom"/>
          </w:tcPr>
          <w:p>
            <w:pPr>
              <w:spacing w:after="0"/>
              <w:rPr>
                <w:sz w:val="17"/>
                <w:szCs w:val="17"/>
                <w:color w:val="auto"/>
              </w:rPr>
            </w:pPr>
          </w:p>
        </w:tc>
        <w:tc>
          <w:tcPr>
            <w:tcW w:w="41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Form 10-Q filed with the Commission on July 26, 2017).</w:t>
              </w:r>
            </w:hyperlink>
          </w:p>
        </w:tc>
        <w:tc>
          <w:tcPr>
            <w:tcW w:w="5980" w:type="dxa"/>
            <w:vAlign w:val="bottom"/>
            <w:gridSpan w:val="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4</w:t>
            </w:r>
            <w:r>
              <w:rPr>
                <w:rFonts w:ascii="Courier New" w:cs="Courier New" w:eastAsia="Courier New" w:hAnsi="Courier New"/>
                <w:sz w:val="18"/>
                <w:szCs w:val="18"/>
                <w:color w:val="auto"/>
              </w:rPr>
              <w:t>.1</w:t>
            </w:r>
          </w:p>
        </w:tc>
        <w:tc>
          <w:tcPr>
            <w:tcW w:w="10100" w:type="dxa"/>
            <w:vAlign w:val="bottom"/>
            <w:gridSpan w:val="12"/>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Description of Registrant’s Common Stock (incorporated by reference to Exhibit 4.1 to Registrant's Annual Report on Form 10-K filed with</w:t>
              </w:r>
            </w:hyperlink>
          </w:p>
        </w:tc>
      </w:tr>
      <w:tr>
        <w:trPr>
          <w:trHeight w:val="196"/>
        </w:trPr>
        <w:tc>
          <w:tcPr>
            <w:tcW w:w="11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the Commission on February 26, 2020).</w:t>
              </w:r>
            </w:hyperlink>
          </w:p>
        </w:tc>
        <w:tc>
          <w:tcPr>
            <w:tcW w:w="72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Courier New" w:cs="Courier New" w:eastAsia="Courier New" w:hAnsi="Courier New"/>
                <w:sz w:val="18"/>
                <w:szCs w:val="18"/>
                <w:color w:val="auto"/>
              </w:rPr>
              <w:t>10.1</w:t>
            </w:r>
          </w:p>
        </w:tc>
        <w:tc>
          <w:tcPr>
            <w:tcW w:w="101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05">
              <w:r>
                <w:rPr>
                  <w:rFonts w:ascii="Arial" w:cs="Arial" w:eastAsia="Arial" w:hAnsi="Arial"/>
                  <w:sz w:val="18"/>
                  <w:szCs w:val="18"/>
                  <w:color w:val="0000EE"/>
                  <w:w w:val="94"/>
                </w:rPr>
                <w:t>Employment Agreement between Farmers &amp; Merchants State Bank and Lars B. Eller dated as of September 1, 2021 (incorporated by</w:t>
              </w:r>
            </w:hyperlink>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reference to Exhibit 10.1 to Registrant’s Current Report on Form 8-K filed with the Commission on August 18, 2021).</w:t>
              </w:r>
            </w:hyperlink>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6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Rule 13-a-14(a) Certification - CEO</w:t>
              </w:r>
            </w:hyperlink>
          </w:p>
        </w:tc>
        <w:tc>
          <w:tcPr>
            <w:tcW w:w="5900" w:type="dxa"/>
            <w:vAlign w:val="bottom"/>
            <w:tcBorders>
              <w:top w:val="single" w:sz="8" w:color="0000EE"/>
            </w:tcBorders>
            <w:gridSpan w:val="4"/>
          </w:tcPr>
          <w:p>
            <w:pPr>
              <w:spacing w:after="0"/>
              <w:rPr>
                <w:sz w:val="17"/>
                <w:szCs w:val="17"/>
                <w:color w:val="auto"/>
              </w:rPr>
            </w:pPr>
          </w:p>
        </w:tc>
        <w:tc>
          <w:tcPr>
            <w:tcW w:w="1580" w:type="dxa"/>
            <w:vAlign w:val="bottom"/>
            <w:gridSpan w:val="2"/>
          </w:tcPr>
          <w:p>
            <w:pPr>
              <w:spacing w:after="0"/>
              <w:rPr>
                <w:sz w:val="17"/>
                <w:szCs w:val="17"/>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gridSpan w:val="1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Rule 13-a-14(a) Certification - CFO</w:t>
              </w:r>
            </w:hyperlink>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24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Section 1350 Certification - CEO</w:t>
              </w:r>
            </w:hyperlink>
          </w:p>
        </w:tc>
        <w:tc>
          <w:tcPr>
            <w:tcW w:w="180" w:type="dxa"/>
            <w:vAlign w:val="bottom"/>
            <w:tcBorders>
              <w:top w:val="single" w:sz="8" w:color="0000EE"/>
            </w:tcBorders>
          </w:tcPr>
          <w:p>
            <w:pPr>
              <w:spacing w:after="0"/>
              <w:rPr>
                <w:sz w:val="19"/>
                <w:szCs w:val="19"/>
                <w:color w:val="auto"/>
              </w:rPr>
            </w:pPr>
          </w:p>
        </w:tc>
        <w:tc>
          <w:tcPr>
            <w:tcW w:w="7500" w:type="dxa"/>
            <w:vAlign w:val="bottom"/>
            <w:gridSpan w:val="7"/>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gridSpan w:val="1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Section 1350 Certification - CFO</w:t>
              </w:r>
            </w:hyperlink>
          </w:p>
        </w:tc>
      </w:tr>
      <w:tr>
        <w:trPr>
          <w:trHeight w:val="20"/>
        </w:trPr>
        <w:tc>
          <w:tcPr>
            <w:tcW w:w="114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7700" w:type="dxa"/>
            <w:vAlign w:val="bottom"/>
            <w:gridSpan w:val="9"/>
          </w:tcPr>
          <w:p>
            <w:pPr>
              <w:spacing w:after="0" w:line="20" w:lineRule="exact"/>
              <w:rPr>
                <w:sz w:val="1"/>
                <w:szCs w:val="1"/>
                <w:color w:val="auto"/>
              </w:rPr>
            </w:pPr>
          </w:p>
        </w:tc>
      </w:tr>
      <w:tr>
        <w:trPr>
          <w:trHeight w:val="49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2"/>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0100" w:type="dxa"/>
            <w:vAlign w:val="bottom"/>
            <w:gridSpan w:val="12"/>
          </w:tcPr>
          <w:p>
            <w:pPr>
              <w:spacing w:after="0"/>
              <w:rPr>
                <w:sz w:val="20"/>
                <w:szCs w:val="20"/>
                <w:color w:val="auto"/>
              </w:rPr>
            </w:pPr>
            <w:r>
              <w:rPr>
                <w:rFonts w:ascii="Arial" w:cs="Arial" w:eastAsia="Arial" w:hAnsi="Arial"/>
                <w:sz w:val="18"/>
                <w:szCs w:val="18"/>
                <w:color w:val="auto"/>
              </w:rPr>
              <w:t xml:space="preserve">within the Inline XBRL document. </w:t>
            </w:r>
            <w:r>
              <w:rPr>
                <w:rFonts w:ascii="Arial" w:cs="Arial" w:eastAsia="Arial" w:hAnsi="Arial"/>
                <w:sz w:val="15"/>
                <w:szCs w:val="15"/>
                <w:color w:val="auto"/>
              </w:rPr>
              <w:t>(1)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2"/>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2"/>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2"/>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2"/>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5"/>
                <w:szCs w:val="15"/>
                <w:color w:val="auto"/>
              </w:rPr>
              <w:t>(1)</w:t>
            </w:r>
          </w:p>
        </w:tc>
      </w:tr>
      <w:tr>
        <w:trPr>
          <w:trHeight w:val="243"/>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2"/>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5"/>
                <w:szCs w:val="15"/>
                <w:color w:val="auto"/>
              </w:rPr>
              <w:t>(1)</w:t>
            </w:r>
          </w:p>
        </w:tc>
      </w:tr>
    </w:tbl>
    <w:p>
      <w:pPr>
        <w:spacing w:after="0" w:line="13" w:lineRule="exact"/>
        <w:rPr>
          <w:sz w:val="20"/>
          <w:szCs w:val="20"/>
          <w:color w:val="auto"/>
        </w:rPr>
      </w:pPr>
    </w:p>
    <w:p>
      <w:pPr>
        <w:ind w:left="1140" w:hanging="1132"/>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2021, has been formatted in Inline XBRL.</w:t>
      </w: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63" w:lineRule="auto"/>
        <w:tabs>
          <w:tab w:leader="none" w:pos="230" w:val="left"/>
        </w:tabs>
        <w:numPr>
          <w:ilvl w:val="0"/>
          <w:numId w:val="31"/>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Farmers &amp; Merchants Bancorp, Inc.,</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Pr>
          <w:p>
            <w:pPr>
              <w:ind w:left="180"/>
              <w:spacing w:after="0"/>
              <w:rPr>
                <w:sz w:val="20"/>
                <w:szCs w:val="20"/>
                <w:color w:val="auto"/>
              </w:rPr>
            </w:pPr>
            <w:r>
              <w:rPr>
                <w:rFonts w:ascii="Arial" w:cs="Arial" w:eastAsia="Arial" w:hAnsi="Arial"/>
                <w:sz w:val="18"/>
                <w:szCs w:val="18"/>
                <w:color w:val="auto"/>
              </w:rPr>
              <w:t>October 26, 2021</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Lars B. Eller</w:t>
            </w:r>
          </w:p>
        </w:tc>
      </w:tr>
      <w:tr>
        <w:trPr>
          <w:trHeight w:val="222"/>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Lars B. Eller</w:t>
            </w: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Pr>
          <w:p>
            <w:pPr>
              <w:ind w:left="180"/>
              <w:spacing w:after="0"/>
              <w:rPr>
                <w:sz w:val="20"/>
                <w:szCs w:val="20"/>
                <w:color w:val="auto"/>
              </w:rPr>
            </w:pPr>
            <w:r>
              <w:rPr>
                <w:rFonts w:ascii="Arial" w:cs="Arial" w:eastAsia="Arial" w:hAnsi="Arial"/>
                <w:sz w:val="18"/>
                <w:szCs w:val="18"/>
                <w:color w:val="auto"/>
              </w:rPr>
              <w:t>October 26, 2021</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Barbara J. Britenriker</w:t>
            </w:r>
          </w:p>
        </w:tc>
      </w:tr>
      <w:tr>
        <w:trPr>
          <w:trHeight w:val="222"/>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Barbara J. Britenriker</w:t>
            </w: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Executive Vice-President and</w:t>
            </w:r>
          </w:p>
        </w:tc>
      </w:tr>
      <w:tr>
        <w:trPr>
          <w:trHeight w:val="243"/>
        </w:trPr>
        <w:tc>
          <w:tcPr>
            <w:tcW w:w="58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000" w:type="dxa"/>
            <w:vAlign w:val="bottom"/>
          </w:tcPr>
          <w:p>
            <w:pPr>
              <w:ind w:left="7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58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3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20" w:hanging="440"/>
        <w:spacing w:after="0" w:line="34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October 26,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740" w:right="20" w:hanging="436"/>
        <w:spacing w:after="0" w:line="263" w:lineRule="auto"/>
        <w:tabs>
          <w:tab w:leader="none" w:pos="1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740" w:hanging="436"/>
        <w:spacing w:after="0" w:line="286" w:lineRule="auto"/>
        <w:tabs>
          <w:tab w:leader="none" w:pos="17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hanging="440"/>
        <w:spacing w:after="0" w:line="342"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40" w:right="20" w:hanging="436"/>
        <w:spacing w:after="0" w:line="342" w:lineRule="auto"/>
        <w:tabs>
          <w:tab w:leader="none" w:pos="17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40" w:right="20" w:hanging="436"/>
        <w:spacing w:after="0" w:line="277" w:lineRule="auto"/>
        <w:tabs>
          <w:tab w:leader="none" w:pos="1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October 26,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2021, as filed with the Securities and Exchange Commission ("the report"), I, Lars B. Eller, President and Chief Executive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October 26,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5"/>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Lars B. Eller</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2021,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6260" w:type="dxa"/>
            <w:vAlign w:val="bottom"/>
          </w:tcPr>
          <w:p>
            <w:pPr>
              <w:ind w:left="640"/>
              <w:spacing w:after="0"/>
              <w:rPr>
                <w:sz w:val="20"/>
                <w:szCs w:val="20"/>
                <w:color w:val="auto"/>
              </w:rPr>
            </w:pPr>
            <w:r>
              <w:rPr>
                <w:rFonts w:ascii="Arial" w:cs="Arial" w:eastAsia="Arial" w:hAnsi="Arial"/>
                <w:sz w:val="18"/>
                <w:szCs w:val="18"/>
                <w:color w:val="auto"/>
              </w:rPr>
              <w:t>October 26, 2021</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3"/>
    </w:lvl>
    <w:lvl w:ilvl="1">
      <w:lvlJc w:val="left"/>
      <w:lvlText w:val="%2."/>
      <w:numFmt w:val="lowerLetter"/>
      <w:start w:val="1"/>
    </w:lvl>
  </w:abstractNum>
  <w:abstractNum w:abstractNumId="11">
    <w:nsid w:val="6763845E"/>
    <w:multiLevelType w:val="hybridMultilevel"/>
    <w:lvl w:ilvl="0">
      <w:lvlJc w:val="left"/>
      <w:lvlText w:val="%1"/>
      <w:numFmt w:val="decimal"/>
      <w:start w:val="1"/>
    </w:lvl>
    <w:lvl w:ilvl="1">
      <w:lvlJc w:val="left"/>
      <w:lvlText w:val="%2."/>
      <w:numFmt w:val="lowerLetter"/>
      <w:start w:val="9"/>
    </w:lvl>
  </w:abstractNum>
  <w:abstractNum w:abstractNumId="12">
    <w:nsid w:val="75A2A8D4"/>
    <w:multiLevelType w:val="hybridMultilevel"/>
    <w:lvl w:ilvl="0">
      <w:lvlJc w:val="left"/>
      <w:lvlText w:val="%1."/>
      <w:numFmt w:val="decimal"/>
      <w:start w:val="8"/>
    </w:lvl>
    <w:lvl w:ilvl="1">
      <w:lvlJc w:val="left"/>
      <w:lvlText w:val="%2."/>
      <w:numFmt w:val="lowerLetter"/>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lvl w:ilvl="1">
      <w:lvlJc w:val="left"/>
      <w:lvlText w:val="o"/>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upperLetter"/>
      <w:start w:val="68"/>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04"/>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6" Type="http://schemas.openxmlformats.org/officeDocument/2006/relationships/image" Target="media/image93.png"/><Relationship Id="rId100" Type="http://schemas.openxmlformats.org/officeDocument/2006/relationships/hyperlink" Target="https://www.sec.gov/ix?doc=/Archives/edgar/data/792966/000119312520323301/d29347d8k.htm" TargetMode="External"/><Relationship Id="rId101" Type="http://schemas.openxmlformats.org/officeDocument/2006/relationships/hyperlink" Target="https://www.sec.gov/ix?doc=/Archives/edgar/data/792966/000119312521150029/d174432d8k.htm" TargetMode="External"/><Relationship Id="rId102" Type="http://schemas.openxmlformats.org/officeDocument/2006/relationships/hyperlink" Target="http://www.sec.gov/Archives/edgar/data/792966/000119312517318709/d447990dex31.htm" TargetMode="External"/><Relationship Id="rId103" Type="http://schemas.openxmlformats.org/officeDocument/2006/relationships/hyperlink" Target="http://www.sec.gov/Archives/edgar/data/792966/000119312517235925/d422994dex32.htm" TargetMode="External"/><Relationship Id="rId104" Type="http://schemas.openxmlformats.org/officeDocument/2006/relationships/hyperlink" Target="http://www.sec.gov/Archives/edgar/data/792966/000156459020006695/fmao-ex41_282.htm" TargetMode="External"/><Relationship Id="rId105" Type="http://schemas.openxmlformats.org/officeDocument/2006/relationships/hyperlink" Target="https://www.sec.gov/ix?doc=/Archives/edgar/data/792966/000156459021045036/fmao-8k_202108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2021-10-26T14:46:58Z</dcterms:created>
  <dcterms:modified xsi:type="dcterms:W3CDTF">2021-10-26T14:46:58Z</dcterms:modified>
</cp:coreProperties>
</file>