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217805</wp:posOffset>
            </wp:positionV>
            <wp:extent cx="1521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245110</wp:posOffset>
            </wp:positionV>
            <wp:extent cx="1521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March 31, 2017</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7" w:lineRule="exact"/>
        <w:rPr>
          <w:sz w:val="24"/>
          <w:szCs w:val="24"/>
          <w:color w:val="auto"/>
        </w:rPr>
      </w:pPr>
    </w:p>
    <w:p>
      <w:pPr>
        <w:ind w:left="35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3733165</wp:posOffset>
            </wp:positionH>
            <wp:positionV relativeFrom="paragraph">
              <wp:posOffset>-8255</wp:posOffset>
            </wp:positionV>
            <wp:extent cx="1290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0-14492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239395</wp:posOffset>
            </wp:positionV>
            <wp:extent cx="1521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FARMERS &amp; MERCHANTS BANCORP,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226695</wp:posOffset>
            </wp:positionV>
            <wp:extent cx="1521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260" w:type="dxa"/>
        <w:tblCellMar>
          <w:top w:w="0" w:type="dxa"/>
          <w:left w:w="0" w:type="dxa"/>
          <w:bottom w:w="0" w:type="dxa"/>
          <w:right w:w="0" w:type="dxa"/>
        </w:tblCellMar>
      </w:tblPr>
      <w:tr>
        <w:trPr>
          <w:trHeight w:val="211"/>
        </w:trPr>
        <w:tc>
          <w:tcPr>
            <w:tcW w:w="5040" w:type="dxa"/>
            <w:vAlign w:val="bottom"/>
          </w:tcPr>
          <w:p>
            <w:pPr>
              <w:jc w:val="center"/>
              <w:ind w:right="1701"/>
              <w:spacing w:after="0"/>
              <w:rPr>
                <w:sz w:val="20"/>
                <w:szCs w:val="20"/>
                <w:color w:val="auto"/>
              </w:rPr>
            </w:pPr>
            <w:r>
              <w:rPr>
                <w:rFonts w:ascii="Arial" w:cs="Arial" w:eastAsia="Arial" w:hAnsi="Arial"/>
                <w:sz w:val="18"/>
                <w:szCs w:val="18"/>
                <w:b w:val="1"/>
                <w:bCs w:val="1"/>
                <w:color w:val="auto"/>
              </w:rPr>
              <w:t>OHIO</w:t>
            </w:r>
          </w:p>
        </w:tc>
        <w:tc>
          <w:tcPr>
            <w:tcW w:w="2900" w:type="dxa"/>
            <w:vAlign w:val="bottom"/>
          </w:tcPr>
          <w:p>
            <w:pPr>
              <w:jc w:val="right"/>
              <w:ind w:right="41"/>
              <w:spacing w:after="0"/>
              <w:rPr>
                <w:sz w:val="20"/>
                <w:szCs w:val="20"/>
                <w:color w:val="auto"/>
              </w:rPr>
            </w:pPr>
            <w:r>
              <w:rPr>
                <w:rFonts w:ascii="Arial" w:cs="Arial" w:eastAsia="Arial" w:hAnsi="Arial"/>
                <w:sz w:val="18"/>
                <w:szCs w:val="18"/>
                <w:b w:val="1"/>
                <w:bCs w:val="1"/>
                <w:color w:val="auto"/>
              </w:rPr>
              <w:t>34-1469491</w:t>
            </w:r>
          </w:p>
        </w:tc>
      </w:tr>
      <w:tr>
        <w:trPr>
          <w:trHeight w:val="148"/>
        </w:trPr>
        <w:tc>
          <w:tcPr>
            <w:tcW w:w="5040" w:type="dxa"/>
            <w:vAlign w:val="bottom"/>
          </w:tcPr>
          <w:p>
            <w:pPr>
              <w:jc w:val="center"/>
              <w:ind w:right="1701"/>
              <w:spacing w:after="0" w:line="148" w:lineRule="exact"/>
              <w:rPr>
                <w:sz w:val="20"/>
                <w:szCs w:val="20"/>
                <w:color w:val="auto"/>
              </w:rPr>
            </w:pPr>
            <w:r>
              <w:rPr>
                <w:rFonts w:ascii="Arial" w:cs="Arial" w:eastAsia="Arial" w:hAnsi="Arial"/>
                <w:sz w:val="14"/>
                <w:szCs w:val="14"/>
                <w:b w:val="1"/>
                <w:bCs w:val="1"/>
                <w:color w:val="auto"/>
                <w:w w:val="92"/>
              </w:rPr>
              <w:t>(State or other jurisdiction of</w:t>
            </w:r>
          </w:p>
        </w:tc>
        <w:tc>
          <w:tcPr>
            <w:tcW w:w="2900" w:type="dxa"/>
            <w:vAlign w:val="bottom"/>
          </w:tcPr>
          <w:p>
            <w:pPr>
              <w:jc w:val="center"/>
              <w:ind w:left="1721"/>
              <w:spacing w:after="0" w:line="148"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0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3"/>
              </w:rPr>
              <w:t>incorporation or organization)</w:t>
            </w:r>
          </w:p>
        </w:tc>
        <w:tc>
          <w:tcPr>
            <w:tcW w:w="2900" w:type="dxa"/>
            <w:vAlign w:val="bottom"/>
          </w:tcPr>
          <w:p>
            <w:pPr>
              <w:jc w:val="center"/>
              <w:ind w:left="1701"/>
              <w:spacing w:after="0"/>
              <w:rPr>
                <w:sz w:val="20"/>
                <w:szCs w:val="20"/>
                <w:color w:val="auto"/>
              </w:rPr>
            </w:pPr>
            <w:r>
              <w:rPr>
                <w:rFonts w:ascii="Arial" w:cs="Arial" w:eastAsia="Arial" w:hAnsi="Arial"/>
                <w:sz w:val="14"/>
                <w:szCs w:val="14"/>
                <w:b w:val="1"/>
                <w:bCs w:val="1"/>
                <w:color w:val="auto"/>
                <w:w w:val="94"/>
              </w:rPr>
              <w:t>Identification No.)</w:t>
            </w:r>
          </w:p>
        </w:tc>
      </w:tr>
      <w:tr>
        <w:trPr>
          <w:trHeight w:val="406"/>
        </w:trPr>
        <w:tc>
          <w:tcPr>
            <w:tcW w:w="5040" w:type="dxa"/>
            <w:vAlign w:val="bottom"/>
          </w:tcPr>
          <w:p>
            <w:pPr>
              <w:jc w:val="center"/>
              <w:ind w:right="1701"/>
              <w:spacing w:after="0"/>
              <w:rPr>
                <w:sz w:val="20"/>
                <w:szCs w:val="20"/>
                <w:color w:val="auto"/>
              </w:rPr>
            </w:pPr>
            <w:r>
              <w:rPr>
                <w:rFonts w:ascii="Arial" w:cs="Arial" w:eastAsia="Arial" w:hAnsi="Arial"/>
                <w:sz w:val="18"/>
                <w:szCs w:val="18"/>
                <w:b w:val="1"/>
                <w:bCs w:val="1"/>
                <w:color w:val="auto"/>
                <w:w w:val="90"/>
              </w:rPr>
              <w:t>307 North Defiance Street, Archbold, Ohio</w:t>
            </w:r>
          </w:p>
        </w:tc>
        <w:tc>
          <w:tcPr>
            <w:tcW w:w="2900" w:type="dxa"/>
            <w:vAlign w:val="bottom"/>
          </w:tcPr>
          <w:p>
            <w:pPr>
              <w:jc w:val="right"/>
              <w:ind w:right="241"/>
              <w:spacing w:after="0"/>
              <w:rPr>
                <w:sz w:val="20"/>
                <w:szCs w:val="20"/>
                <w:color w:val="auto"/>
              </w:rPr>
            </w:pPr>
            <w:r>
              <w:rPr>
                <w:rFonts w:ascii="Arial" w:cs="Arial" w:eastAsia="Arial" w:hAnsi="Arial"/>
                <w:sz w:val="18"/>
                <w:szCs w:val="18"/>
                <w:b w:val="1"/>
                <w:bCs w:val="1"/>
                <w:color w:val="auto"/>
              </w:rPr>
              <w:t>43502</w:t>
            </w:r>
          </w:p>
        </w:tc>
      </w:tr>
      <w:tr>
        <w:trPr>
          <w:trHeight w:val="186"/>
        </w:trPr>
        <w:tc>
          <w:tcPr>
            <w:tcW w:w="5040" w:type="dxa"/>
            <w:vAlign w:val="bottom"/>
          </w:tcPr>
          <w:p>
            <w:pPr>
              <w:jc w:val="center"/>
              <w:ind w:right="17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00" w:type="dxa"/>
            <w:vAlign w:val="bottom"/>
          </w:tcPr>
          <w:p>
            <w:pPr>
              <w:jc w:val="center"/>
              <w:ind w:left="1721"/>
              <w:spacing w:after="0"/>
              <w:rPr>
                <w:sz w:val="20"/>
                <w:szCs w:val="20"/>
                <w:color w:val="auto"/>
              </w:rPr>
            </w:pPr>
            <w:r>
              <w:rPr>
                <w:rFonts w:ascii="Arial" w:cs="Arial" w:eastAsia="Arial" w:hAnsi="Arial"/>
                <w:sz w:val="14"/>
                <w:szCs w:val="14"/>
                <w:b w:val="1"/>
                <w:bCs w:val="1"/>
                <w:color w:val="auto"/>
                <w:w w:val="95"/>
              </w:rPr>
              <w:t>(Zip Code)</w:t>
            </w:r>
          </w:p>
        </w:tc>
      </w:tr>
    </w:tbl>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(419) 446-2501</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228600</wp:posOffset>
            </wp:positionV>
            <wp:extent cx="1521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both"/>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1440" w:gutter="0" w:footer="0" w:header="0"/>
        </w:sectPr>
      </w:pPr>
    </w:p>
    <w:bookmarkStart w:id="1" w:name="page2"/>
    <w:bookmarkEnd w:id="1"/>
    <w:p>
      <w:pPr>
        <w:ind w:right="80"/>
        <w:spacing w:after="0" w:line="34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2" w:lineRule="exact"/>
        <w:rPr>
          <w:sz w:val="20"/>
          <w:szCs w:val="20"/>
          <w:color w:val="auto"/>
        </w:rPr>
      </w:pPr>
    </w:p>
    <w:p>
      <w:pPr>
        <w:sectPr>
          <w:pgSz w:w="11900" w:h="16838" w:orient="portrait"/>
          <w:cols w:equalWidth="0" w:num="4">
            <w:col w:w="1620" w:space="420"/>
            <w:col w:w="6120" w:space="720"/>
            <w:col w:w="166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2" w:lineRule="exact"/>
        <w:rPr>
          <w:sz w:val="20"/>
          <w:szCs w:val="20"/>
          <w:color w:val="auto"/>
        </w:rPr>
      </w:pPr>
    </w:p>
    <w:p>
      <w:pPr>
        <w:sectPr>
          <w:pgSz w:w="11900" w:h="16838" w:orient="portrait"/>
          <w:cols w:equalWidth="0" w:num="5">
            <w:col w:w="1520" w:space="520"/>
            <w:col w:w="160" w:space="100"/>
            <w:col w:w="5860" w:space="720"/>
            <w:col w:w="1960" w:space="420"/>
            <w:col w:w="160"/>
          </w:cols>
          <w:pgMar w:left="240" w:top="125" w:right="239" w:bottom="1440" w:gutter="0" w:footer="0" w:header="0"/>
          <w:type w:val="continuous"/>
        </w:sectPr>
      </w:pPr>
    </w:p>
    <w:p>
      <w:pPr>
        <w:spacing w:after="0" w:line="33"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6560" w:space="100"/>
            <w:col w:w="4760"/>
          </w:cols>
          <w:pgMar w:left="240" w:top="125" w:right="239" w:bottom="1440" w:gutter="0" w:footer="0" w:header="0"/>
          <w:type w:val="continuous"/>
        </w:sectPr>
      </w:pPr>
    </w:p>
    <w:p>
      <w:pPr>
        <w:spacing w:after="0" w:line="47" w:lineRule="exact"/>
        <w:rPr>
          <w:sz w:val="20"/>
          <w:szCs w:val="20"/>
          <w:color w:val="auto"/>
        </w:rPr>
      </w:pPr>
    </w:p>
    <w:p>
      <w:pPr>
        <w:ind w:right="18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0"/>
          <w:szCs w:val="20"/>
          <w:color w:val="auto"/>
        </w:rPr>
      </w:pPr>
    </w:p>
    <w:p>
      <w:pPr>
        <w:spacing w:after="0" w:line="207" w:lineRule="exact"/>
        <w:tabs>
          <w:tab w:leader="none" w:pos="8400" w:val="left"/>
          <w:tab w:leader="none" w:pos="9100" w:val="left"/>
        </w:tabs>
        <w:rPr>
          <w:sz w:val="20"/>
          <w:szCs w:val="20"/>
          <w:color w:val="auto"/>
        </w:rPr>
      </w:pPr>
      <w:r>
        <w:rPr>
          <w:rFonts w:ascii="Arial" w:cs="Arial" w:eastAsia="Arial" w:hAnsi="Arial"/>
          <w:sz w:val="17"/>
          <w:szCs w:val="17"/>
          <w:color w:val="auto"/>
        </w:rPr>
        <w:t>Indicated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4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4,620,725</w:t>
            </w:r>
          </w:p>
        </w:tc>
        <w:tc>
          <w:tcPr>
            <w:tcW w:w="2400" w:type="dxa"/>
            <w:vAlign w:val="bottom"/>
          </w:tcPr>
          <w:p>
            <w:pPr>
              <w:spacing w:after="0"/>
              <w:rPr>
                <w:sz w:val="19"/>
                <w:szCs w:val="19"/>
                <w:color w:val="auto"/>
              </w:rPr>
            </w:pPr>
          </w:p>
        </w:tc>
      </w:tr>
      <w:tr>
        <w:trPr>
          <w:trHeight w:val="223"/>
        </w:trPr>
        <w:tc>
          <w:tcPr>
            <w:tcW w:w="18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4300" w:type="dxa"/>
            <w:vAlign w:val="bottom"/>
          </w:tcPr>
          <w:p>
            <w:pPr>
              <w:ind w:left="3480"/>
              <w:spacing w:after="0"/>
              <w:rPr>
                <w:sz w:val="20"/>
                <w:szCs w:val="20"/>
                <w:color w:val="auto"/>
              </w:rPr>
            </w:pPr>
            <w:r>
              <w:rPr>
                <w:rFonts w:ascii="Arial" w:cs="Arial" w:eastAsia="Arial" w:hAnsi="Arial"/>
                <w:sz w:val="18"/>
                <w:szCs w:val="18"/>
                <w:color w:val="auto"/>
                <w:w w:val="82"/>
              </w:rPr>
              <w:t>Outstanding</w:t>
            </w:r>
          </w:p>
        </w:tc>
        <w:tc>
          <w:tcPr>
            <w:tcW w:w="3140" w:type="dxa"/>
            <w:vAlign w:val="bottom"/>
            <w:gridSpan w:val="2"/>
          </w:tcPr>
          <w:p>
            <w:pPr>
              <w:ind w:left="100"/>
              <w:spacing w:after="0"/>
              <w:rPr>
                <w:sz w:val="20"/>
                <w:szCs w:val="20"/>
                <w:color w:val="auto"/>
              </w:rPr>
            </w:pPr>
            <w:r>
              <w:rPr>
                <w:rFonts w:ascii="Arial" w:cs="Arial" w:eastAsia="Arial" w:hAnsi="Arial"/>
                <w:sz w:val="18"/>
                <w:szCs w:val="18"/>
                <w:color w:val="auto"/>
              </w:rPr>
              <w:t>as of April 24, 2017</w:t>
            </w:r>
          </w:p>
        </w:tc>
      </w:tr>
      <w:tr>
        <w:trPr>
          <w:trHeight w:val="214"/>
        </w:trPr>
        <w:tc>
          <w:tcPr>
            <w:tcW w:w="18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r>
        <w:trPr>
          <w:trHeight w:val="47"/>
        </w:trPr>
        <w:tc>
          <w:tcPr>
            <w:tcW w:w="18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40" w:type="dxa"/>
            <w:vAlign w:val="bottom"/>
            <w:gridSpan w:val="3"/>
          </w:tcPr>
          <w:p>
            <w:pPr>
              <w:spacing w:after="0"/>
              <w:rPr>
                <w:sz w:val="20"/>
                <w:szCs w:val="20"/>
                <w:color w:val="auto"/>
              </w:rPr>
            </w:pPr>
            <w:r>
              <w:rPr>
                <w:rFonts w:ascii="Arial" w:cs="Arial" w:eastAsia="Arial" w:hAnsi="Arial"/>
                <w:sz w:val="14"/>
                <w:szCs w:val="14"/>
                <w:color w:val="auto"/>
              </w:rPr>
              <w:t>Form 10-Q Items</w:t>
            </w:r>
          </w:p>
        </w:tc>
        <w:tc>
          <w:tcPr>
            <w:tcW w:w="8080" w:type="dxa"/>
            <w:vAlign w:val="bottom"/>
            <w:gridSpan w:val="22"/>
            <w:vMerge w:val="restart"/>
          </w:tcPr>
          <w:p>
            <w:pPr>
              <w:spacing w:after="0"/>
              <w:rPr>
                <w:sz w:val="20"/>
                <w:szCs w:val="20"/>
                <w:color w:val="auto"/>
              </w:rPr>
            </w:pPr>
            <w:r>
              <w:rPr>
                <w:rFonts w:ascii="Arial" w:cs="Arial" w:eastAsia="Arial" w:hAnsi="Arial"/>
                <w:sz w:val="18"/>
                <w:szCs w:val="18"/>
                <w:color w:val="auto"/>
              </w:rPr>
              <w:t>FINANCIAL INFORMATION</w:t>
            </w:r>
          </w:p>
        </w:tc>
        <w:tc>
          <w:tcPr>
            <w:tcW w:w="2060" w:type="dxa"/>
            <w:vAlign w:val="bottom"/>
          </w:tcPr>
          <w:p>
            <w:pPr>
              <w:ind w:left="17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223"/>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PART I.</w:t>
            </w:r>
          </w:p>
        </w:tc>
        <w:tc>
          <w:tcPr>
            <w:tcW w:w="240" w:type="dxa"/>
            <w:vAlign w:val="bottom"/>
          </w:tcPr>
          <w:p>
            <w:pPr>
              <w:spacing w:after="0"/>
              <w:rPr>
                <w:sz w:val="19"/>
                <w:szCs w:val="19"/>
                <w:color w:val="auto"/>
              </w:rPr>
            </w:pPr>
          </w:p>
        </w:tc>
        <w:tc>
          <w:tcPr>
            <w:tcW w:w="8080" w:type="dxa"/>
            <w:vAlign w:val="bottom"/>
            <w:gridSpan w:val="22"/>
            <w:vMerge w:val="continue"/>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5660" w:type="dxa"/>
            <w:vAlign w:val="bottom"/>
            <w:gridSpan w:val="10"/>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00" w:type="dxa"/>
            <w:vAlign w:val="bottom"/>
            <w:gridSpan w:val="21"/>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March 31, 2017 and December 31, 2016</w:t>
              </w:r>
            </w:hyperlink>
          </w:p>
        </w:tc>
        <w:tc>
          <w:tcPr>
            <w:tcW w:w="2060" w:type="dxa"/>
            <w:vAlign w:val="bottom"/>
          </w:tcPr>
          <w:p>
            <w:pPr>
              <w:jc w:val="center"/>
              <w:ind w:left="1571"/>
              <w:spacing w:after="0" w:line="195"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Income &amp; Comprehensive Income -</w:t>
              </w:r>
            </w:hyperlink>
          </w:p>
        </w:tc>
        <w:tc>
          <w:tcPr>
            <w:tcW w:w="258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0" w:type="dxa"/>
            <w:vAlign w:val="bottom"/>
            <w:tcBorders>
              <w:bottom w:val="single" w:sz="8" w:color="0000EE"/>
            </w:tcBorders>
            <w:gridSpan w:val="18"/>
          </w:tcPr>
          <w:p>
            <w:pPr>
              <w:spacing w:after="0" w:line="195"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Three Months Ended March 31, 2017 and March 31, 2016</w:t>
              </w:r>
            </w:hyperlink>
          </w:p>
        </w:tc>
        <w:tc>
          <w:tcPr>
            <w:tcW w:w="3700" w:type="dxa"/>
            <w:vAlign w:val="bottom"/>
            <w:gridSpan w:val="3"/>
          </w:tcPr>
          <w:p>
            <w:pPr>
              <w:spacing w:after="0"/>
              <w:rPr>
                <w:sz w:val="16"/>
                <w:szCs w:val="16"/>
                <w:color w:val="auto"/>
              </w:rPr>
            </w:pPr>
          </w:p>
        </w:tc>
        <w:tc>
          <w:tcPr>
            <w:tcW w:w="2060" w:type="dxa"/>
            <w:vAlign w:val="bottom"/>
          </w:tcPr>
          <w:p>
            <w:pPr>
              <w:jc w:val="center"/>
              <w:ind w:left="1571"/>
              <w:spacing w:after="0" w:line="19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0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0" w:type="dxa"/>
            <w:vAlign w:val="bottom"/>
            <w:tcBorders>
              <w:bottom w:val="single" w:sz="8" w:color="0000EE"/>
            </w:tcBorders>
            <w:gridSpan w:val="18"/>
          </w:tcPr>
          <w:p>
            <w:pPr>
              <w:spacing w:after="0" w:line="195"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Three Months Ended March 31, 2017 and March 31, 2016</w:t>
              </w:r>
            </w:hyperlink>
          </w:p>
        </w:tc>
        <w:tc>
          <w:tcPr>
            <w:tcW w:w="3700" w:type="dxa"/>
            <w:vAlign w:val="bottom"/>
            <w:gridSpan w:val="3"/>
          </w:tcPr>
          <w:p>
            <w:pPr>
              <w:spacing w:after="0"/>
              <w:rPr>
                <w:sz w:val="16"/>
                <w:szCs w:val="16"/>
                <w:color w:val="auto"/>
              </w:rPr>
            </w:pPr>
          </w:p>
        </w:tc>
        <w:tc>
          <w:tcPr>
            <w:tcW w:w="2060" w:type="dxa"/>
            <w:vAlign w:val="bottom"/>
          </w:tcPr>
          <w:p>
            <w:pPr>
              <w:jc w:val="center"/>
              <w:ind w:left="1571"/>
              <w:spacing w:after="0" w:line="195"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03"/>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060" w:type="dxa"/>
            <w:vAlign w:val="bottom"/>
          </w:tcPr>
          <w:p>
            <w:pPr>
              <w:jc w:val="center"/>
              <w:ind w:left="1571"/>
              <w:spacing w:after="0"/>
              <w:rPr>
                <w:sz w:val="20"/>
                <w:szCs w:val="20"/>
                <w:color w:val="auto"/>
              </w:rPr>
            </w:pPr>
            <w:r>
              <w:rPr>
                <w:rFonts w:ascii="Arial" w:cs="Arial" w:eastAsia="Arial" w:hAnsi="Arial"/>
                <w:sz w:val="18"/>
                <w:szCs w:val="18"/>
                <w:color w:val="auto"/>
                <w:w w:val="88"/>
              </w:rPr>
              <w:t>6-34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91"/>
              </w:rPr>
              <w:t>34-47</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Qualitative and Quantitative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91"/>
              </w:rPr>
              <w:t>47-48</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6300" w:type="dxa"/>
            <w:vAlign w:val="bottom"/>
            <w:gridSpan w:val="15"/>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808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6200" w:type="dxa"/>
            <w:vAlign w:val="bottom"/>
            <w:gridSpan w:val="14"/>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08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3740" w:type="dxa"/>
            <w:vAlign w:val="bottom"/>
            <w:gridSpan w:val="5"/>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08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5760" w:type="dxa"/>
            <w:vAlign w:val="bottom"/>
            <w:gridSpan w:val="13"/>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6320" w:type="dxa"/>
            <w:vAlign w:val="bottom"/>
            <w:gridSpan w:val="16"/>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03"/>
        </w:trPr>
        <w:tc>
          <w:tcPr>
            <w:tcW w:w="80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Signatures</w:t>
              </w:r>
            </w:hyperlink>
          </w:p>
        </w:tc>
        <w:tc>
          <w:tcPr>
            <w:tcW w:w="44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Exhibit 31.</w:t>
            </w:r>
          </w:p>
        </w:tc>
        <w:tc>
          <w:tcPr>
            <w:tcW w:w="24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Certifications Under Section 302</w:t>
              </w:r>
            </w:hyperlink>
          </w:p>
        </w:tc>
        <w:tc>
          <w:tcPr>
            <w:tcW w:w="5680" w:type="dxa"/>
            <w:vAlign w:val="bottom"/>
            <w:gridSpan w:val="11"/>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91"/>
              </w:rPr>
              <w:t>51-52</w:t>
            </w:r>
          </w:p>
        </w:tc>
        <w:tc>
          <w:tcPr>
            <w:tcW w:w="0" w:type="dxa"/>
            <w:vAlign w:val="bottom"/>
          </w:tcPr>
          <w:p>
            <w:pPr>
              <w:spacing w:after="0"/>
              <w:rPr>
                <w:sz w:val="1"/>
                <w:szCs w:val="1"/>
                <w:color w:val="auto"/>
              </w:rPr>
            </w:pPr>
          </w:p>
        </w:tc>
      </w:tr>
      <w:tr>
        <w:trPr>
          <w:trHeight w:val="303"/>
        </w:trPr>
        <w:tc>
          <w:tcPr>
            <w:tcW w:w="1240" w:type="dxa"/>
            <w:vAlign w:val="bottom"/>
            <w:gridSpan w:val="3"/>
          </w:tcPr>
          <w:p>
            <w:pPr>
              <w:spacing w:after="0"/>
              <w:rPr>
                <w:sz w:val="20"/>
                <w:szCs w:val="20"/>
                <w:color w:val="auto"/>
              </w:rPr>
            </w:pPr>
            <w:r>
              <w:rPr>
                <w:rFonts w:ascii="Arial" w:cs="Arial" w:eastAsia="Arial" w:hAnsi="Arial"/>
                <w:sz w:val="18"/>
                <w:szCs w:val="18"/>
                <w:color w:val="auto"/>
              </w:rPr>
              <w:t>Exhibit 32.</w:t>
            </w:r>
          </w:p>
        </w:tc>
        <w:tc>
          <w:tcPr>
            <w:tcW w:w="23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Certifications Under Section 906</w:t>
              </w:r>
            </w:hyperlink>
          </w:p>
        </w:tc>
        <w:tc>
          <w:tcPr>
            <w:tcW w:w="5700" w:type="dxa"/>
            <w:vAlign w:val="bottom"/>
            <w:gridSpan w:val="12"/>
          </w:tcPr>
          <w:p>
            <w:pPr>
              <w:spacing w:after="0"/>
              <w:rPr>
                <w:sz w:val="24"/>
                <w:szCs w:val="24"/>
                <w:color w:val="auto"/>
              </w:rPr>
            </w:pPr>
          </w:p>
        </w:tc>
        <w:tc>
          <w:tcPr>
            <w:tcW w:w="2060" w:type="dxa"/>
            <w:vAlign w:val="bottom"/>
          </w:tcPr>
          <w:p>
            <w:pPr>
              <w:jc w:val="center"/>
              <w:ind w:left="1551"/>
              <w:spacing w:after="0"/>
              <w:rPr>
                <w:sz w:val="20"/>
                <w:szCs w:val="20"/>
                <w:color w:val="auto"/>
              </w:rPr>
            </w:pPr>
            <w:r>
              <w:rPr>
                <w:rFonts w:ascii="Arial" w:cs="Arial" w:eastAsia="Arial" w:hAnsi="Arial"/>
                <w:sz w:val="18"/>
                <w:szCs w:val="18"/>
                <w:color w:val="auto"/>
                <w:w w:val="91"/>
              </w:rPr>
              <w:t>53-54</w:t>
            </w:r>
          </w:p>
        </w:tc>
        <w:tc>
          <w:tcPr>
            <w:tcW w:w="0" w:type="dxa"/>
            <w:vAlign w:val="bottom"/>
          </w:tcPr>
          <w:p>
            <w:pPr>
              <w:spacing w:after="0"/>
              <w:rPr>
                <w:sz w:val="1"/>
                <w:szCs w:val="1"/>
                <w:color w:val="auto"/>
              </w:rPr>
            </w:pPr>
          </w:p>
        </w:tc>
      </w:tr>
      <w:tr>
        <w:trPr>
          <w:trHeight w:val="329"/>
        </w:trPr>
        <w:tc>
          <w:tcPr>
            <w:tcW w:w="12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080" w:type="dxa"/>
            <w:vAlign w:val="bottom"/>
            <w:gridSpan w:val="22"/>
          </w:tcPr>
          <w:p>
            <w:pPr>
              <w:spacing w:after="0"/>
              <w:rPr>
                <w:sz w:val="20"/>
                <w:szCs w:val="20"/>
                <w:color w:val="auto"/>
              </w:rPr>
            </w:pPr>
            <w:r>
              <w:rPr>
                <w:rFonts w:ascii="Arial" w:cs="Arial" w:eastAsia="Arial" w:hAnsi="Arial"/>
                <w:sz w:val="18"/>
                <w:szCs w:val="18"/>
                <w:color w:val="auto"/>
              </w:rPr>
              <w:t>XBRL Instance Document (1)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080" w:type="dxa"/>
            <w:vAlign w:val="bottom"/>
            <w:gridSpan w:val="22"/>
          </w:tcPr>
          <w:p>
            <w:pPr>
              <w:spacing w:after="0"/>
              <w:rPr>
                <w:sz w:val="20"/>
                <w:szCs w:val="20"/>
                <w:color w:val="auto"/>
              </w:rPr>
            </w:pPr>
            <w:r>
              <w:rPr>
                <w:rFonts w:ascii="Arial" w:cs="Arial" w:eastAsia="Arial" w:hAnsi="Arial"/>
                <w:sz w:val="18"/>
                <w:szCs w:val="18"/>
                <w:color w:val="auto"/>
              </w:rPr>
              <w:t>XBRL Taxonomy Extension Scheme Document (1)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08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08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08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 (1)</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08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right="40" w:hanging="452"/>
        <w:spacing w:after="0" w:line="26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7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08"/>
        </w:trPr>
        <w:tc>
          <w:tcPr>
            <w:tcW w:w="8740" w:type="dxa"/>
            <w:vAlign w:val="bottom"/>
            <w:gridSpan w:val="3"/>
          </w:tcPr>
          <w:p>
            <w:pPr>
              <w:spacing w:after="0"/>
              <w:rPr>
                <w:sz w:val="20"/>
                <w:szCs w:val="20"/>
                <w:color w:val="auto"/>
              </w:rPr>
            </w:pPr>
            <w:r>
              <w:rPr>
                <w:rFonts w:ascii="Arial" w:cs="Arial" w:eastAsia="Arial" w:hAnsi="Arial"/>
                <w:sz w:val="18"/>
                <w:szCs w:val="18"/>
                <w:color w:val="auto"/>
              </w:rPr>
              <w:t>FARMERS &amp; MERCHANTS BANCORP, INC. AND SUBSIDIARIES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6"/>
          </w:tcPr>
          <w:p>
            <w:pPr>
              <w:jc w:val="right"/>
              <w:ind w:right="700"/>
              <w:spacing w:after="0"/>
              <w:rPr>
                <w:sz w:val="20"/>
                <w:szCs w:val="20"/>
                <w:color w:val="auto"/>
              </w:rPr>
            </w:pPr>
            <w:r>
              <w:rPr>
                <w:rFonts w:ascii="Arial" w:cs="Arial" w:eastAsia="Arial" w:hAnsi="Arial"/>
                <w:sz w:val="14"/>
                <w:szCs w:val="14"/>
                <w:color w:val="auto"/>
              </w:rPr>
              <w:t>(in thousands of dollars)</w:t>
            </w:r>
          </w:p>
        </w:tc>
      </w:tr>
      <w:tr>
        <w:trPr>
          <w:trHeight w:val="167"/>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March 31, 2017</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2016</w:t>
            </w: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
              <w:spacing w:after="0" w:line="141" w:lineRule="exact"/>
              <w:rPr>
                <w:sz w:val="20"/>
                <w:szCs w:val="20"/>
                <w:color w:val="auto"/>
              </w:rPr>
            </w:pPr>
            <w:r>
              <w:rPr>
                <w:rFonts w:ascii="Arial" w:cs="Arial" w:eastAsia="Arial" w:hAnsi="Arial"/>
                <w:sz w:val="14"/>
                <w:szCs w:val="14"/>
                <w:color w:val="auto"/>
                <w:w w:val="92"/>
              </w:rPr>
              <w:t>(Unaudited)</w:t>
            </w:r>
          </w:p>
        </w:tc>
        <w:tc>
          <w:tcPr>
            <w:tcW w:w="520" w:type="dxa"/>
            <w:vAlign w:val="bottom"/>
            <w:gridSpan w:val="2"/>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38,842</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27,348</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19"/>
                <w:szCs w:val="19"/>
                <w:color w:val="auto"/>
              </w:rPr>
            </w:pPr>
          </w:p>
        </w:tc>
      </w:tr>
      <w:tr>
        <w:trPr>
          <w:trHeight w:val="107"/>
        </w:trPr>
        <w:tc>
          <w:tcPr>
            <w:tcW w:w="20" w:type="dxa"/>
            <w:vAlign w:val="bottom"/>
          </w:tcPr>
          <w:p>
            <w:pPr>
              <w:spacing w:after="0"/>
              <w:rPr>
                <w:sz w:val="9"/>
                <w:szCs w:val="9"/>
                <w:color w:val="auto"/>
              </w:rPr>
            </w:pPr>
          </w:p>
        </w:tc>
        <w:tc>
          <w:tcPr>
            <w:tcW w:w="87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Interest-bearing time deposits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Securities - available-for-sale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206,388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218,527</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securities, at cost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r>
      <w:tr>
        <w:trPr>
          <w:trHeight w:val="215"/>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Loans, net</w:t>
            </w: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764,356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751,310</w:t>
            </w: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Premises and equipment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21,222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21,457</w:t>
            </w:r>
          </w:p>
        </w:tc>
      </w:tr>
      <w:tr>
        <w:trPr>
          <w:trHeight w:val="215"/>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2,209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real estate owned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Bank Owned Life Insurance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14,452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14,376</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w:t>
            </w:r>
          </w:p>
        </w:tc>
      </w:tr>
      <w:tr>
        <w:trPr>
          <w:trHeight w:val="22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89"/>
              </w:rPr>
              <w:t>Total Assets</w:t>
            </w:r>
          </w:p>
        </w:tc>
        <w:tc>
          <w:tcPr>
            <w:tcW w:w="7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1,067,551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178,153</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186,390</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tcPr>
          <w:p>
            <w:pPr>
              <w:ind w:left="520"/>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292,364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230,446</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236,230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226,537</w:t>
            </w:r>
          </w:p>
        </w:tc>
      </w:tr>
      <w:tr>
        <w:trPr>
          <w:trHeight w:val="222"/>
        </w:trPr>
        <w:tc>
          <w:tcPr>
            <w:tcW w:w="20" w:type="dxa"/>
            <w:vAlign w:val="bottom"/>
          </w:tcPr>
          <w:p>
            <w:pPr>
              <w:spacing w:after="0"/>
              <w:rPr>
                <w:sz w:val="19"/>
                <w:szCs w:val="19"/>
                <w:color w:val="auto"/>
              </w:rPr>
            </w:pPr>
          </w:p>
        </w:tc>
        <w:tc>
          <w:tcPr>
            <w:tcW w:w="960" w:type="dxa"/>
            <w:vAlign w:val="bottom"/>
          </w:tcPr>
          <w:p>
            <w:pPr>
              <w:ind w:left="520"/>
              <w:spacing w:after="0"/>
              <w:rPr>
                <w:sz w:val="20"/>
                <w:szCs w:val="20"/>
                <w:color w:val="auto"/>
              </w:rPr>
            </w:pPr>
            <w:r>
              <w:rPr>
                <w:rFonts w:ascii="Arial" w:cs="Arial" w:eastAsia="Arial" w:hAnsi="Arial"/>
                <w:sz w:val="18"/>
                <w:szCs w:val="18"/>
                <w:color w:val="auto"/>
              </w:rPr>
              <w:t>Time</w:t>
            </w:r>
          </w:p>
        </w:tc>
        <w:tc>
          <w:tcPr>
            <w:tcW w:w="7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187,944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198,830</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894,691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842,203</w:t>
            </w:r>
          </w:p>
        </w:tc>
      </w:tr>
      <w:tr>
        <w:trPr>
          <w:trHeight w:val="323"/>
        </w:trPr>
        <w:tc>
          <w:tcPr>
            <w:tcW w:w="20" w:type="dxa"/>
            <w:vAlign w:val="bottom"/>
          </w:tcPr>
          <w:p>
            <w:pPr>
              <w:spacing w:after="0"/>
              <w:rPr>
                <w:sz w:val="24"/>
                <w:szCs w:val="24"/>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27,961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70,324</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Home Loan Bank (FHLB) advances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w:t>
            </w:r>
          </w:p>
        </w:tc>
      </w:tr>
      <w:tr>
        <w:trPr>
          <w:trHeight w:val="229"/>
        </w:trPr>
        <w:tc>
          <w:tcPr>
            <w:tcW w:w="20" w:type="dxa"/>
            <w:vAlign w:val="bottom"/>
          </w:tcPr>
          <w:p>
            <w:pPr>
              <w:spacing w:after="0"/>
              <w:rPr>
                <w:sz w:val="19"/>
                <w:szCs w:val="19"/>
                <w:color w:val="auto"/>
              </w:rPr>
            </w:pP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939,834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930,318</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87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 No par value 10,000,000 shares authorized; issued and outstanding 5,200,000 shares 3/31/17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12/31/16</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Treasury Stock - 579,125 shares 3/31/17, 579,125 shares 12/31/16</w:t>
            </w:r>
          </w:p>
        </w:tc>
        <w:tc>
          <w:tcPr>
            <w:tcW w:w="10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(12,267)</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(12,267)</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129,655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127,869</w:t>
            </w:r>
          </w:p>
        </w:tc>
      </w:tr>
      <w:tr>
        <w:trPr>
          <w:trHeight w:val="222"/>
        </w:trPr>
        <w:tc>
          <w:tcPr>
            <w:tcW w:w="20" w:type="dxa"/>
            <w:vAlign w:val="bottom"/>
          </w:tcPr>
          <w:p>
            <w:pPr>
              <w:spacing w:after="0"/>
              <w:rPr>
                <w:sz w:val="19"/>
                <w:szCs w:val="19"/>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(1,720)</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(1,972)</w:t>
            </w:r>
          </w:p>
        </w:tc>
      </w:tr>
      <w:tr>
        <w:trPr>
          <w:trHeight w:val="215"/>
        </w:trPr>
        <w:tc>
          <w:tcPr>
            <w:tcW w:w="20" w:type="dxa"/>
            <w:vAlign w:val="bottom"/>
          </w:tcPr>
          <w:p>
            <w:pPr>
              <w:spacing w:after="0"/>
              <w:rPr>
                <w:sz w:val="18"/>
                <w:szCs w:val="18"/>
                <w:color w:val="auto"/>
              </w:rPr>
            </w:pPr>
          </w:p>
        </w:tc>
        <w:tc>
          <w:tcPr>
            <w:tcW w:w="8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127,717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125,577</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1,067,551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4" w:lineRule="exact"/>
        <w:rPr>
          <w:sz w:val="20"/>
          <w:szCs w:val="20"/>
          <w:color w:val="auto"/>
        </w:rPr>
      </w:pPr>
    </w:p>
    <w:p>
      <w:pPr>
        <w:ind w:left="5660" w:right="660" w:hanging="5661"/>
        <w:spacing w:after="0" w:line="447" w:lineRule="auto"/>
        <w:rPr>
          <w:sz w:val="20"/>
          <w:szCs w:val="20"/>
          <w:color w:val="auto"/>
        </w:rPr>
      </w:pPr>
      <w:r>
        <w:rPr>
          <w:rFonts w:ascii="Arial" w:cs="Arial" w:eastAsia="Arial" w:hAnsi="Arial"/>
          <w:sz w:val="18"/>
          <w:szCs w:val="18"/>
          <w:color w:val="auto"/>
        </w:rPr>
        <w:t>Note: The December 31, 2016, Condensed Consolidated Balance Sheet has been derived from the audited Consolidated Balance Sheet as of that date. 3</w:t>
      </w:r>
    </w:p>
    <w:p>
      <w:pPr>
        <w:sectPr>
          <w:pgSz w:w="11900" w:h="16838" w:orient="portrait"/>
          <w:cols w:equalWidth="0" w:num="1">
            <w:col w:w="11420"/>
          </w:cols>
          <w:pgMar w:left="240" w:top="45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220"/>
        <w:spacing w:after="0" w:line="259" w:lineRule="auto"/>
        <w:rPr>
          <w:sz w:val="20"/>
          <w:szCs w:val="20"/>
          <w:color w:val="auto"/>
        </w:rPr>
      </w:pPr>
      <w:r>
        <w:rPr>
          <w:rFonts w:ascii="Arial" w:cs="Arial" w:eastAsia="Arial" w:hAnsi="Arial"/>
          <w:sz w:val="18"/>
          <w:szCs w:val="18"/>
          <w:color w:val="auto"/>
        </w:rPr>
        <w:t>CONDENSED CONSOLIDATED STATEMENTS OF INCOME &amp; COMPREHENSIVE INCOME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360" w:type="dxa"/>
            <w:vAlign w:val="bottom"/>
          </w:tcPr>
          <w:p>
            <w:pPr>
              <w:ind w:left="4300"/>
              <w:spacing w:after="0"/>
              <w:rPr>
                <w:sz w:val="20"/>
                <w:szCs w:val="20"/>
                <w:color w:val="auto"/>
              </w:rPr>
            </w:pPr>
            <w:r>
              <w:rPr>
                <w:rFonts w:ascii="Arial" w:cs="Arial" w:eastAsia="Arial" w:hAnsi="Arial"/>
                <w:sz w:val="14"/>
                <w:szCs w:val="14"/>
                <w:color w:val="auto"/>
              </w:rPr>
              <w:t>(in thousands of dollars, except per share data)</w:t>
            </w:r>
          </w:p>
        </w:tc>
        <w:tc>
          <w:tcPr>
            <w:tcW w:w="300" w:type="dxa"/>
            <w:vAlign w:val="bottom"/>
          </w:tcPr>
          <w:p>
            <w:pPr>
              <w:spacing w:after="0"/>
              <w:rPr>
                <w:sz w:val="15"/>
                <w:szCs w:val="15"/>
                <w:color w:val="auto"/>
              </w:rPr>
            </w:pPr>
          </w:p>
        </w:tc>
        <w:tc>
          <w:tcPr>
            <w:tcW w:w="2020" w:type="dxa"/>
            <w:vAlign w:val="bottom"/>
            <w:gridSpan w:val="4"/>
            <w:vMerge w:val="restart"/>
          </w:tcPr>
          <w:p>
            <w:pPr>
              <w:ind w:left="560"/>
              <w:spacing w:after="0"/>
              <w:rPr>
                <w:sz w:val="20"/>
                <w:szCs w:val="20"/>
                <w:color w:val="auto"/>
              </w:rPr>
            </w:pPr>
            <w:r>
              <w:rPr>
                <w:rFonts w:ascii="Arial" w:cs="Arial" w:eastAsia="Arial" w:hAnsi="Arial"/>
                <w:sz w:val="14"/>
                <w:szCs w:val="14"/>
                <w:color w:val="auto"/>
              </w:rPr>
              <w:t>Three Months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March 31, 2017</w:t>
            </w:r>
          </w:p>
        </w:tc>
        <w:tc>
          <w:tcPr>
            <w:tcW w:w="5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March 31,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Interest Income</w:t>
            </w: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8,700</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U.S. Treasury and government agencies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642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Municipalities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315</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1,030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Borrowed funds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expense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 After Provision</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For Loan Losses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8,469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service fees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Other service charges and fees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871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loans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Net gain on sale of available for sale securities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income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2,584</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Wages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922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occupancy expense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Furniture and equipment</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472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processing</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Franchise taxes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sale of other assets owned</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FDIC Assessment</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Other general and administrative</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operating expenses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7,071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Net unrealized gain on available for sale securities</w:t>
            </w:r>
          </w:p>
        </w:tc>
        <w:tc>
          <w:tcPr>
            <w:tcW w:w="3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412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 for gain on sale of available for sale securities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Net unrealized gain on available for sale securities</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ectPr>
          <w:pgSz w:w="11900" w:h="16838" w:orient="portrait"/>
          <w:cols w:equalWidth="0" w:num="1">
            <w:col w:w="11420"/>
          </w:cols>
          <w:pgMar w:left="240" w:top="458"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8"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center"/>
              <w:ind w:right="340"/>
              <w:spacing w:after="0"/>
              <w:rPr>
                <w:sz w:val="20"/>
                <w:szCs w:val="20"/>
                <w:color w:val="auto"/>
              </w:rPr>
            </w:pPr>
            <w:r>
              <w:rPr>
                <w:rFonts w:ascii="Arial" w:cs="Arial" w:eastAsia="Arial" w:hAnsi="Arial"/>
                <w:sz w:val="14"/>
                <w:szCs w:val="14"/>
                <w:color w:val="auto"/>
                <w:w w:val="93"/>
              </w:rPr>
              <w:t>(in thousands of dollars)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4"/>
          </w:tcPr>
          <w:p>
            <w:pPr>
              <w:jc w:val="center"/>
              <w:ind w:left="291"/>
              <w:spacing w:after="0" w:line="148" w:lineRule="exact"/>
              <w:rPr>
                <w:sz w:val="20"/>
                <w:szCs w:val="20"/>
                <w:color w:val="auto"/>
              </w:rPr>
            </w:pPr>
            <w:r>
              <w:rPr>
                <w:rFonts w:ascii="Arial" w:cs="Arial" w:eastAsia="Arial" w:hAnsi="Arial"/>
                <w:sz w:val="14"/>
                <w:szCs w:val="14"/>
                <w:color w:val="auto"/>
                <w:w w:val="93"/>
              </w:rPr>
              <w:t>Three Months Ended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March 31, 2017</w:t>
            </w:r>
          </w:p>
        </w:tc>
        <w:tc>
          <w:tcPr>
            <w:tcW w:w="2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March 31,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2,839</w:t>
            </w:r>
          </w:p>
        </w:tc>
        <w:tc>
          <w:tcPr>
            <w:tcW w:w="3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Accretion and amortization of available for sale securities, net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(14,404)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(12,010)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16,307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 owned</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Gain on sales of securities available for sale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Activity in securities: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Sales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other assets owned</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(22,247)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change in deposits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52,488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26,793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(42,363)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2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39,894</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1,193</w:t>
            </w:r>
          </w:p>
        </w:tc>
        <w:tc>
          <w:tcPr>
            <w:tcW w:w="3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to other real estate owned</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ITEM1</w:t>
      </w:r>
      <w:r>
        <w:rPr>
          <w:sz w:val="20"/>
          <w:szCs w:val="20"/>
          <w:color w:val="auto"/>
        </w:rPr>
        <w:tab/>
      </w:r>
      <w:r>
        <w:rPr>
          <w:rFonts w:ascii="Arial" w:cs="Arial" w:eastAsia="Arial" w:hAnsi="Arial"/>
          <w:sz w:val="18"/>
          <w:szCs w:val="18"/>
          <w:color w:val="auto"/>
        </w:rPr>
        <w:t>NOTES TO CONDENSED CONSOLIDATED UNAUDITED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NOTE 1 BASIS OF PRESENTATION</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months ended March 31, 2017 are not necessarily indicative of the results that are expected for the year ended December 31, 2017. The condensed consolidated balance sheet of the Company as of December 31, 2016,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2016.</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NOTE 2 ASSET PURCHASES</w:t>
      </w:r>
    </w:p>
    <w:p>
      <w:pPr>
        <w:spacing w:after="0" w:line="116"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Company recognized core deposit intangible assets of $1.09 million with the purchase of the Hicksville office on July 9, 2010. These are being amortized over an estimated remaining economic useful life of the deposits of 7 years on a straight line basis.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An office was purchased on December 13, 2013 in Custar, Ohio. Core deposit intangible assets of $1.17 million were recognized and are being amortized over its remaining economic useful life of the deposits of 7 years on a straight line basis.</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The amortization expense for the year ended December 31, 2016 was $323 thousand. Of the $245 thousand to be expensed in 2017, $81 thousand has been expensed for the three months ended March 31, 2017.</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9"/>
              </w:rPr>
              <w:t>Hicksville</w:t>
            </w:r>
          </w:p>
        </w:tc>
        <w:tc>
          <w:tcPr>
            <w:tcW w:w="50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w w:val="82"/>
              </w:rPr>
              <w:t>Custar</w:t>
            </w:r>
          </w:p>
        </w:tc>
        <w:tc>
          <w:tcPr>
            <w:tcW w:w="4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jc w:val="right"/>
              <w:ind w:right="6750"/>
              <w:spacing w:after="0"/>
              <w:rPr>
                <w:sz w:val="20"/>
                <w:szCs w:val="20"/>
                <w:color w:val="auto"/>
              </w:rPr>
            </w:pPr>
            <w:r>
              <w:rPr>
                <w:rFonts w:ascii="Arial" w:cs="Arial" w:eastAsia="Arial" w:hAnsi="Arial"/>
                <w:sz w:val="18"/>
                <w:szCs w:val="18"/>
                <w:color w:val="auto"/>
                <w:w w:val="79"/>
              </w:rPr>
              <w:t>2017</w:t>
            </w: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jc w:val="right"/>
              <w:ind w:right="6750"/>
              <w:spacing w:after="0"/>
              <w:rPr>
                <w:sz w:val="20"/>
                <w:szCs w:val="20"/>
                <w:color w:val="auto"/>
              </w:rPr>
            </w:pPr>
            <w:r>
              <w:rPr>
                <w:rFonts w:ascii="Arial" w:cs="Arial" w:eastAsia="Arial" w:hAnsi="Arial"/>
                <w:sz w:val="18"/>
                <w:szCs w:val="18"/>
                <w:color w:val="auto"/>
                <w:w w:val="79"/>
              </w:rPr>
              <w:t>2018</w:t>
            </w:r>
          </w:p>
        </w:tc>
        <w:tc>
          <w:tcPr>
            <w:tcW w:w="20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167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jc w:val="right"/>
              <w:ind w:right="6750"/>
              <w:spacing w:after="0"/>
              <w:rPr>
                <w:sz w:val="20"/>
                <w:szCs w:val="20"/>
                <w:color w:val="auto"/>
              </w:rPr>
            </w:pPr>
            <w:r>
              <w:rPr>
                <w:rFonts w:ascii="Arial" w:cs="Arial" w:eastAsia="Arial" w:hAnsi="Arial"/>
                <w:sz w:val="18"/>
                <w:szCs w:val="18"/>
                <w:color w:val="auto"/>
                <w:w w:val="79"/>
              </w:rPr>
              <w:t>2019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jc w:val="right"/>
              <w:ind w:right="6750"/>
              <w:spacing w:after="0"/>
              <w:rPr>
                <w:sz w:val="20"/>
                <w:szCs w:val="20"/>
                <w:color w:val="auto"/>
              </w:rPr>
            </w:pPr>
            <w:r>
              <w:rPr>
                <w:rFonts w:ascii="Arial" w:cs="Arial" w:eastAsia="Arial" w:hAnsi="Arial"/>
                <w:sz w:val="18"/>
                <w:szCs w:val="18"/>
                <w:color w:val="auto"/>
                <w:w w:val="79"/>
              </w:rPr>
              <w:t>2020</w:t>
            </w:r>
          </w:p>
        </w:tc>
        <w:tc>
          <w:tcPr>
            <w:tcW w:w="20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161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662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8"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3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March 31, 2017 and December 31, 2016,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right="482"/>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center"/>
              <w:ind w:right="482"/>
              <w:spacing w:after="0" w:line="141" w:lineRule="exact"/>
              <w:rPr>
                <w:sz w:val="20"/>
                <w:szCs w:val="20"/>
                <w:color w:val="auto"/>
              </w:rPr>
            </w:pPr>
            <w:r>
              <w:rPr>
                <w:rFonts w:ascii="Arial" w:cs="Arial" w:eastAsia="Arial" w:hAnsi="Arial"/>
                <w:sz w:val="14"/>
                <w:szCs w:val="14"/>
                <w:color w:val="auto"/>
                <w:w w:val="94"/>
              </w:rPr>
              <w:t>March 31, 2017</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2"/>
              <w:spacing w:after="0" w:line="123"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6440" w:type="dxa"/>
            <w:vAlign w:val="bottom"/>
          </w:tcPr>
          <w:p>
            <w:pPr>
              <w:spacing w:after="0"/>
              <w:rPr>
                <w:sz w:val="12"/>
                <w:szCs w:val="12"/>
                <w:color w:val="auto"/>
              </w:rPr>
            </w:pPr>
          </w:p>
        </w:tc>
        <w:tc>
          <w:tcPr>
            <w:tcW w:w="1120" w:type="dxa"/>
            <w:vAlign w:val="bottom"/>
            <w:gridSpan w:val="4"/>
          </w:tcPr>
          <w:p>
            <w:pPr>
              <w:jc w:val="center"/>
              <w:ind w:right="440"/>
              <w:spacing w:after="0" w:line="148" w:lineRule="exact"/>
              <w:rPr>
                <w:sz w:val="20"/>
                <w:szCs w:val="20"/>
                <w:color w:val="auto"/>
              </w:rPr>
            </w:pPr>
            <w:r>
              <w:rPr>
                <w:rFonts w:ascii="Arial" w:cs="Arial" w:eastAsia="Arial" w:hAnsi="Arial"/>
                <w:sz w:val="14"/>
                <w:szCs w:val="14"/>
                <w:color w:val="auto"/>
                <w:w w:val="95"/>
              </w:rPr>
              <w:t>Amortized</w:t>
            </w:r>
          </w:p>
        </w:tc>
        <w:tc>
          <w:tcPr>
            <w:tcW w:w="860" w:type="dxa"/>
            <w:vAlign w:val="bottom"/>
            <w:gridSpan w:val="3"/>
          </w:tcPr>
          <w:p>
            <w:pPr>
              <w:spacing w:after="0" w:line="148"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1120" w:type="dxa"/>
            <w:vAlign w:val="bottom"/>
            <w:gridSpan w:val="3"/>
          </w:tcPr>
          <w:p>
            <w:pPr>
              <w:jc w:val="center"/>
              <w:ind w:right="422"/>
              <w:spacing w:after="0" w:line="148"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8" w:lineRule="exact"/>
              <w:rPr>
                <w:sz w:val="20"/>
                <w:szCs w:val="20"/>
                <w:color w:val="auto"/>
              </w:rPr>
            </w:pPr>
            <w:r>
              <w:rPr>
                <w:rFonts w:ascii="Arial" w:cs="Arial" w:eastAsia="Arial" w:hAnsi="Arial"/>
                <w:sz w:val="14"/>
                <w:szCs w:val="14"/>
                <w:color w:val="auto"/>
                <w:w w:val="91"/>
              </w:rPr>
              <w:t>Fair</w:t>
            </w:r>
          </w:p>
        </w:tc>
      </w:tr>
      <w:tr>
        <w:trPr>
          <w:trHeight w:val="167"/>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56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22"/>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195"/>
        </w:trPr>
        <w:tc>
          <w:tcPr>
            <w:tcW w:w="64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Available-for-Sale:</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19,872</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2"/>
              <w:spacing w:after="0"/>
              <w:rPr>
                <w:sz w:val="20"/>
                <w:szCs w:val="20"/>
                <w:color w:val="auto"/>
              </w:rPr>
            </w:pPr>
            <w:r>
              <w:rPr>
                <w:rFonts w:ascii="Arial" w:cs="Arial" w:eastAsia="Arial" w:hAnsi="Arial"/>
                <w:sz w:val="18"/>
                <w:szCs w:val="18"/>
                <w:color w:val="auto"/>
              </w:rPr>
              <w:t>(137)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19,735</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84,252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w w:val="98"/>
              </w:rPr>
              <w:t>(1,612)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82,640</w:t>
            </w: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46,728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2"/>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46,043</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58,142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57,970</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208,994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807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(3,413</w:t>
            </w:r>
          </w:p>
        </w:tc>
        <w:tc>
          <w:tcPr>
            <w:tcW w:w="500" w:type="dxa"/>
            <w:vAlign w:val="bottom"/>
          </w:tcPr>
          <w:p>
            <w:pPr>
              <w:jc w:val="right"/>
              <w:ind w:right="36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206,388</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4"/>
        </w:trPr>
        <w:tc>
          <w:tcPr>
            <w:tcW w:w="6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482"/>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1"/>
        </w:trPr>
        <w:tc>
          <w:tcPr>
            <w:tcW w:w="6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jc w:val="center"/>
              <w:ind w:right="482"/>
              <w:spacing w:after="0" w:line="141" w:lineRule="exact"/>
              <w:rPr>
                <w:sz w:val="20"/>
                <w:szCs w:val="20"/>
                <w:color w:val="auto"/>
              </w:rPr>
            </w:pPr>
            <w:r>
              <w:rPr>
                <w:rFonts w:ascii="Arial" w:cs="Arial" w:eastAsia="Arial" w:hAnsi="Arial"/>
                <w:sz w:val="14"/>
                <w:szCs w:val="14"/>
                <w:color w:val="auto"/>
                <w:w w:val="91"/>
              </w:rPr>
              <w:t>December 31, 2016</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2"/>
              <w:spacing w:after="0" w:line="123"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6440" w:type="dxa"/>
            <w:vAlign w:val="bottom"/>
          </w:tcPr>
          <w:p>
            <w:pPr>
              <w:spacing w:after="0"/>
              <w:rPr>
                <w:sz w:val="12"/>
                <w:szCs w:val="12"/>
                <w:color w:val="auto"/>
              </w:rPr>
            </w:pPr>
          </w:p>
        </w:tc>
        <w:tc>
          <w:tcPr>
            <w:tcW w:w="1120" w:type="dxa"/>
            <w:vAlign w:val="bottom"/>
            <w:gridSpan w:val="4"/>
          </w:tcPr>
          <w:p>
            <w:pPr>
              <w:jc w:val="center"/>
              <w:ind w:right="440"/>
              <w:spacing w:after="0" w:line="148" w:lineRule="exact"/>
              <w:rPr>
                <w:sz w:val="20"/>
                <w:szCs w:val="20"/>
                <w:color w:val="auto"/>
              </w:rPr>
            </w:pPr>
            <w:r>
              <w:rPr>
                <w:rFonts w:ascii="Arial" w:cs="Arial" w:eastAsia="Arial" w:hAnsi="Arial"/>
                <w:sz w:val="14"/>
                <w:szCs w:val="14"/>
                <w:color w:val="auto"/>
                <w:w w:val="95"/>
              </w:rPr>
              <w:t>Amortized</w:t>
            </w:r>
          </w:p>
        </w:tc>
        <w:tc>
          <w:tcPr>
            <w:tcW w:w="860" w:type="dxa"/>
            <w:vAlign w:val="bottom"/>
            <w:gridSpan w:val="3"/>
          </w:tcPr>
          <w:p>
            <w:pPr>
              <w:spacing w:after="0" w:line="148"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1120" w:type="dxa"/>
            <w:vAlign w:val="bottom"/>
            <w:gridSpan w:val="3"/>
          </w:tcPr>
          <w:p>
            <w:pPr>
              <w:jc w:val="center"/>
              <w:ind w:right="422"/>
              <w:spacing w:after="0" w:line="148"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8" w:lineRule="exact"/>
              <w:rPr>
                <w:sz w:val="20"/>
                <w:szCs w:val="20"/>
                <w:color w:val="auto"/>
              </w:rPr>
            </w:pPr>
            <w:r>
              <w:rPr>
                <w:rFonts w:ascii="Arial" w:cs="Arial" w:eastAsia="Arial" w:hAnsi="Arial"/>
                <w:sz w:val="14"/>
                <w:szCs w:val="14"/>
                <w:color w:val="auto"/>
                <w:w w:val="91"/>
              </w:rPr>
              <w:t>Fair</w:t>
            </w:r>
          </w:p>
        </w:tc>
      </w:tr>
      <w:tr>
        <w:trPr>
          <w:trHeight w:val="167"/>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56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22"/>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195"/>
        </w:trPr>
        <w:tc>
          <w:tcPr>
            <w:tcW w:w="64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Available-for-Sale:</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24,920</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2"/>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24,775</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84,266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w w:val="98"/>
              </w:rPr>
              <w:t>(1,795)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82,474</w:t>
            </w:r>
          </w:p>
        </w:tc>
      </w:tr>
      <w:tr>
        <w:trPr>
          <w:trHeight w:val="215"/>
        </w:trPr>
        <w:tc>
          <w:tcPr>
            <w:tcW w:w="64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49,155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48,461</w:t>
            </w:r>
          </w:p>
        </w:tc>
      </w:tr>
      <w:tr>
        <w:trPr>
          <w:trHeight w:val="215"/>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63,173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62,817</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221,514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823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(3,810</w:t>
            </w:r>
          </w:p>
        </w:tc>
        <w:tc>
          <w:tcPr>
            <w:tcW w:w="500" w:type="dxa"/>
            <w:vAlign w:val="bottom"/>
          </w:tcPr>
          <w:p>
            <w:pPr>
              <w:jc w:val="right"/>
              <w:ind w:right="36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218,527</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5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downgrade has occurred that lowered the credit rating to below investment grade (below Baa3 by Moody and BBB – by Standard and Poors.)</w:t>
      </w:r>
    </w:p>
    <w:p>
      <w:pPr>
        <w:spacing w:after="0" w:line="140"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29" w:lineRule="exact"/>
        <w:rPr>
          <w:rFonts w:ascii="Arial" w:cs="Arial" w:eastAsia="Arial" w:hAnsi="Arial"/>
          <w:sz w:val="18"/>
          <w:szCs w:val="18"/>
          <w:color w:val="auto"/>
        </w:rPr>
      </w:pPr>
    </w:p>
    <w:p>
      <w:pPr>
        <w:ind w:left="460" w:right="100" w:hanging="452"/>
        <w:spacing w:after="0" w:line="27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6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8"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3 SECURITIES (Continued)</w:t>
      </w:r>
    </w:p>
    <w:p>
      <w:pPr>
        <w:spacing w:after="0" w:line="1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Information pertaining to securities with gross unrealized losses at March 31, 2017 and December 31, 2016, aggregated by investment category and length of time that individual securities have been in a continuous loss position follows: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color w:val="auto"/>
                <w:w w:val="93"/>
              </w:rPr>
              <w:t>(In Thousands)</w:t>
            </w: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left="58"/>
              <w:spacing w:after="0" w:line="141" w:lineRule="exact"/>
              <w:rPr>
                <w:sz w:val="20"/>
                <w:szCs w:val="20"/>
                <w:color w:val="auto"/>
              </w:rPr>
            </w:pPr>
            <w:r>
              <w:rPr>
                <w:rFonts w:ascii="Arial" w:cs="Arial" w:eastAsia="Arial" w:hAnsi="Arial"/>
                <w:sz w:val="14"/>
                <w:szCs w:val="14"/>
                <w:color w:val="auto"/>
                <w:w w:val="94"/>
              </w:rPr>
              <w:t>March 31, 2017</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5"/>
          </w:tcPr>
          <w:p>
            <w:pPr>
              <w:jc w:val="right"/>
              <w:ind w:right="940"/>
              <w:spacing w:after="0" w:line="141" w:lineRule="exact"/>
              <w:rPr>
                <w:sz w:val="20"/>
                <w:szCs w:val="20"/>
                <w:color w:val="auto"/>
              </w:rPr>
            </w:pPr>
            <w:r>
              <w:rPr>
                <w:rFonts w:ascii="Arial" w:cs="Arial" w:eastAsia="Arial" w:hAnsi="Arial"/>
                <w:sz w:val="14"/>
                <w:szCs w:val="14"/>
                <w:color w:val="auto"/>
              </w:rPr>
              <w:t>Less Than Twelve Months</w:t>
            </w:r>
          </w:p>
        </w:tc>
        <w:tc>
          <w:tcPr>
            <w:tcW w:w="240" w:type="dxa"/>
            <w:vAlign w:val="bottom"/>
          </w:tcPr>
          <w:p>
            <w:pPr>
              <w:spacing w:after="0"/>
              <w:rPr>
                <w:sz w:val="12"/>
                <w:szCs w:val="12"/>
                <w:color w:val="auto"/>
              </w:rPr>
            </w:pPr>
          </w:p>
        </w:tc>
        <w:tc>
          <w:tcPr>
            <w:tcW w:w="1860" w:type="dxa"/>
            <w:vAlign w:val="bottom"/>
            <w:gridSpan w:val="4"/>
          </w:tcPr>
          <w:p>
            <w:pPr>
              <w:ind w:left="140"/>
              <w:spacing w:after="0" w:line="141"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6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8"/>
              <w:spacing w:after="0" w:line="123" w:lineRule="exact"/>
              <w:rPr>
                <w:sz w:val="20"/>
                <w:szCs w:val="20"/>
                <w:color w:val="auto"/>
              </w:rPr>
            </w:pPr>
            <w:r>
              <w:rPr>
                <w:rFonts w:ascii="Arial" w:cs="Arial" w:eastAsia="Arial" w:hAnsi="Arial"/>
                <w:sz w:val="14"/>
                <w:szCs w:val="14"/>
                <w:color w:val="auto"/>
                <w:w w:val="99"/>
              </w:rPr>
              <w:t>Fair</w:t>
            </w:r>
          </w:p>
        </w:tc>
        <w:tc>
          <w:tcPr>
            <w:tcW w:w="560" w:type="dxa"/>
            <w:vAlign w:val="bottom"/>
          </w:tcPr>
          <w:p>
            <w:pPr>
              <w:spacing w:after="0"/>
              <w:rPr>
                <w:sz w:val="10"/>
                <w:szCs w:val="10"/>
                <w:color w:val="auto"/>
              </w:rPr>
            </w:pPr>
          </w:p>
        </w:tc>
        <w:tc>
          <w:tcPr>
            <w:tcW w:w="16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Value</w:t>
            </w:r>
          </w:p>
        </w:tc>
        <w:tc>
          <w:tcPr>
            <w:tcW w:w="240" w:type="dxa"/>
            <w:vAlign w:val="bottom"/>
          </w:tcPr>
          <w:p>
            <w:pPr>
              <w:spacing w:after="0"/>
              <w:rPr>
                <w:sz w:val="14"/>
                <w:szCs w:val="14"/>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4"/>
                <w:szCs w:val="14"/>
                <w:color w:val="auto"/>
                <w:w w:val="99"/>
              </w:rPr>
              <w:t>Losses</w:t>
            </w:r>
          </w:p>
        </w:tc>
        <w:tc>
          <w:tcPr>
            <w:tcW w:w="540" w:type="dxa"/>
            <w:vAlign w:val="bottom"/>
            <w:gridSpan w:val="3"/>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82,640</w:t>
            </w:r>
          </w:p>
        </w:tc>
        <w:tc>
          <w:tcPr>
            <w:tcW w:w="2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31,224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3,772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31,657</w:t>
            </w:r>
          </w:p>
        </w:tc>
        <w:tc>
          <w:tcPr>
            <w:tcW w:w="2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w w:val="97"/>
              </w:rPr>
              <w:t>1,003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161,242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4,775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color w:val="auto"/>
                <w:w w:val="93"/>
              </w:rPr>
              <w:t>(In Thousands)</w:t>
            </w: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left="58"/>
              <w:spacing w:after="0" w:line="141" w:lineRule="exact"/>
              <w:rPr>
                <w:sz w:val="20"/>
                <w:szCs w:val="20"/>
                <w:color w:val="auto"/>
              </w:rPr>
            </w:pPr>
            <w:r>
              <w:rPr>
                <w:rFonts w:ascii="Arial" w:cs="Arial" w:eastAsia="Arial" w:hAnsi="Arial"/>
                <w:sz w:val="14"/>
                <w:szCs w:val="14"/>
                <w:color w:val="auto"/>
                <w:w w:val="91"/>
              </w:rPr>
              <w:t>December 31, 2016</w:t>
            </w: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5"/>
          </w:tcPr>
          <w:p>
            <w:pPr>
              <w:jc w:val="right"/>
              <w:ind w:right="940"/>
              <w:spacing w:after="0" w:line="141" w:lineRule="exact"/>
              <w:rPr>
                <w:sz w:val="20"/>
                <w:szCs w:val="20"/>
                <w:color w:val="auto"/>
              </w:rPr>
            </w:pPr>
            <w:r>
              <w:rPr>
                <w:rFonts w:ascii="Arial" w:cs="Arial" w:eastAsia="Arial" w:hAnsi="Arial"/>
                <w:sz w:val="14"/>
                <w:szCs w:val="14"/>
                <w:color w:val="auto"/>
              </w:rPr>
              <w:t>Less Than Twelve Months</w:t>
            </w:r>
          </w:p>
        </w:tc>
        <w:tc>
          <w:tcPr>
            <w:tcW w:w="240" w:type="dxa"/>
            <w:vAlign w:val="bottom"/>
          </w:tcPr>
          <w:p>
            <w:pPr>
              <w:spacing w:after="0"/>
              <w:rPr>
                <w:sz w:val="12"/>
                <w:szCs w:val="12"/>
                <w:color w:val="auto"/>
              </w:rPr>
            </w:pPr>
          </w:p>
        </w:tc>
        <w:tc>
          <w:tcPr>
            <w:tcW w:w="1860" w:type="dxa"/>
            <w:vAlign w:val="bottom"/>
            <w:gridSpan w:val="4"/>
          </w:tcPr>
          <w:p>
            <w:pPr>
              <w:ind w:left="140"/>
              <w:spacing w:after="0" w:line="141"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6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8"/>
              <w:spacing w:after="0" w:line="123" w:lineRule="exact"/>
              <w:rPr>
                <w:sz w:val="20"/>
                <w:szCs w:val="20"/>
                <w:color w:val="auto"/>
              </w:rPr>
            </w:pPr>
            <w:r>
              <w:rPr>
                <w:rFonts w:ascii="Arial" w:cs="Arial" w:eastAsia="Arial" w:hAnsi="Arial"/>
                <w:sz w:val="14"/>
                <w:szCs w:val="14"/>
                <w:color w:val="auto"/>
                <w:w w:val="99"/>
              </w:rPr>
              <w:t>Fair</w:t>
            </w:r>
          </w:p>
        </w:tc>
        <w:tc>
          <w:tcPr>
            <w:tcW w:w="560" w:type="dxa"/>
            <w:vAlign w:val="bottom"/>
          </w:tcPr>
          <w:p>
            <w:pPr>
              <w:spacing w:after="0"/>
              <w:rPr>
                <w:sz w:val="10"/>
                <w:szCs w:val="10"/>
                <w:color w:val="auto"/>
              </w:rPr>
            </w:pPr>
          </w:p>
        </w:tc>
        <w:tc>
          <w:tcPr>
            <w:tcW w:w="16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Value</w:t>
            </w:r>
          </w:p>
        </w:tc>
        <w:tc>
          <w:tcPr>
            <w:tcW w:w="240" w:type="dxa"/>
            <w:vAlign w:val="bottom"/>
          </w:tcPr>
          <w:p>
            <w:pPr>
              <w:spacing w:after="0"/>
              <w:rPr>
                <w:sz w:val="14"/>
                <w:szCs w:val="14"/>
                <w:color w:val="auto"/>
              </w:rPr>
            </w:pPr>
          </w:p>
        </w:tc>
        <w:tc>
          <w:tcPr>
            <w:tcW w:w="1380" w:type="dxa"/>
            <w:vAlign w:val="bottom"/>
            <w:gridSpan w:val="2"/>
          </w:tcPr>
          <w:p>
            <w:pPr>
              <w:jc w:val="right"/>
              <w:ind w:right="920"/>
              <w:spacing w:after="0"/>
              <w:rPr>
                <w:sz w:val="20"/>
                <w:szCs w:val="20"/>
                <w:color w:val="auto"/>
              </w:rPr>
            </w:pPr>
            <w:r>
              <w:rPr>
                <w:rFonts w:ascii="Arial" w:cs="Arial" w:eastAsia="Arial" w:hAnsi="Arial"/>
                <w:sz w:val="14"/>
                <w:szCs w:val="14"/>
                <w:color w:val="auto"/>
                <w:w w:val="99"/>
              </w:rPr>
              <w:t>Losses</w:t>
            </w:r>
          </w:p>
        </w:tc>
        <w:tc>
          <w:tcPr>
            <w:tcW w:w="540" w:type="dxa"/>
            <w:vAlign w:val="bottom"/>
            <w:gridSpan w:val="3"/>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77,471</w:t>
            </w:r>
          </w:p>
        </w:tc>
        <w:tc>
          <w:tcPr>
            <w:tcW w:w="24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36,474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37,540</w:t>
            </w:r>
          </w:p>
        </w:tc>
        <w:tc>
          <w:tcPr>
            <w:tcW w:w="2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99"/>
              </w:rPr>
              <w:t>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167,230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Below are the gross realized gains and losses as of March 31 for each of the years presented.</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6"/>
          </w:tcPr>
          <w:p>
            <w:pPr>
              <w:jc w:val="right"/>
              <w:ind w:right="260"/>
              <w:spacing w:after="0"/>
              <w:rPr>
                <w:sz w:val="20"/>
                <w:szCs w:val="20"/>
                <w:color w:val="auto"/>
              </w:rPr>
            </w:pPr>
            <w:r>
              <w:rPr>
                <w:rFonts w:ascii="Arial" w:cs="Arial" w:eastAsia="Arial" w:hAnsi="Arial"/>
                <w:sz w:val="14"/>
                <w:szCs w:val="14"/>
                <w:color w:val="auto"/>
                <w:w w:val="97"/>
              </w:rPr>
              <w:t>(In Thousands)</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w w:val="96"/>
              </w:rPr>
              <w:t>2017</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4"/>
                <w:szCs w:val="14"/>
                <w:color w:val="auto"/>
                <w:w w:val="96"/>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rPr>
              <w:t>Gross realized losses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net realized gain on sales and related tax expense is a reclassification out of accumulated other comprehensive income. The net realized gain is included in net gain on sale of available-for-sale securities and the related tax expense is included in income tax expense in the condensed consolidated statements of income and comprehensive income.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8"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3 SECURITIES (Continued)</w:t>
      </w:r>
    </w:p>
    <w:p>
      <w:pPr>
        <w:spacing w:after="0" w:line="156" w:lineRule="exact"/>
        <w:rPr>
          <w:sz w:val="20"/>
          <w:szCs w:val="20"/>
          <w:color w:val="auto"/>
        </w:rPr>
      </w:pPr>
    </w:p>
    <w:p>
      <w:pPr>
        <w:ind w:right="580"/>
        <w:spacing w:after="0" w:line="306" w:lineRule="auto"/>
        <w:rPr>
          <w:sz w:val="20"/>
          <w:szCs w:val="20"/>
          <w:color w:val="auto"/>
        </w:rPr>
      </w:pPr>
      <w:r>
        <w:rPr>
          <w:rFonts w:ascii="Arial" w:cs="Arial" w:eastAsia="Arial" w:hAnsi="Arial"/>
          <w:sz w:val="17"/>
          <w:szCs w:val="17"/>
          <w:color w:val="auto"/>
        </w:rPr>
        <w:t>The amortized cost and fair value of debt securities at March 31, 2017, by contractual maturity, are shown below. Expected maturities will differ from contractual maturities because borrowers may have the right to call or prepay obligations with or without call or prepayment penalties.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(In Thousands)</w:t>
            </w:r>
          </w:p>
        </w:tc>
      </w:tr>
      <w:tr>
        <w:trPr>
          <w:trHeight w:val="123"/>
        </w:trPr>
        <w:tc>
          <w:tcPr>
            <w:tcW w:w="686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400"/>
              <w:spacing w:after="0" w:line="123" w:lineRule="exact"/>
              <w:rPr>
                <w:sz w:val="20"/>
                <w:szCs w:val="20"/>
                <w:color w:val="auto"/>
              </w:rPr>
            </w:pPr>
            <w:r>
              <w:rPr>
                <w:rFonts w:ascii="Arial" w:cs="Arial" w:eastAsia="Arial" w:hAnsi="Arial"/>
                <w:sz w:val="14"/>
                <w:szCs w:val="14"/>
                <w:color w:val="auto"/>
                <w:w w:val="98"/>
              </w:rPr>
              <w:t>Amortized</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Cost</w:t>
            </w: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Fair Value</w:t>
            </w: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85,477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85,266</w:t>
            </w:r>
          </w:p>
        </w:tc>
      </w:tr>
      <w:tr>
        <w:trPr>
          <w:trHeight w:val="215"/>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61,298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59,700</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After ten years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40" w:type="dxa"/>
            <w:vAlign w:val="bottom"/>
          </w:tcPr>
          <w:p>
            <w:pPr>
              <w:spacing w:after="0"/>
              <w:rPr>
                <w:sz w:val="19"/>
                <w:szCs w:val="19"/>
                <w:color w:val="auto"/>
              </w:rPr>
            </w:pPr>
          </w:p>
        </w:tc>
      </w:tr>
      <w:tr>
        <w:trPr>
          <w:trHeight w:val="215"/>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162,266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160,345</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46,043</w:t>
            </w:r>
          </w:p>
        </w:tc>
        <w:tc>
          <w:tcPr>
            <w:tcW w:w="40" w:type="dxa"/>
            <w:vAlign w:val="bottom"/>
          </w:tcPr>
          <w:p>
            <w:pPr>
              <w:spacing w:after="0"/>
              <w:rPr>
                <w:sz w:val="19"/>
                <w:szCs w:val="19"/>
                <w:color w:val="auto"/>
              </w:rPr>
            </w:pPr>
          </w:p>
        </w:tc>
      </w:tr>
      <w:tr>
        <w:trPr>
          <w:trHeight w:val="215"/>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208,994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206,388</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Investments with a carrying value of $87.8 million and $129.4 million at March 31, 2017 and December 31, 2016, respectively, were pledged to secure public deposits and securities sold under repurchase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include Federal Home Loan Bank of Cincinnati and Farmer Mac stock as of March 31, 2017 and December 31, 2016.</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8"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as of March 31, 2017 and December 31,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460" w:type="dxa"/>
            <w:vAlign w:val="bottom"/>
            <w:vMerge w:val="restart"/>
          </w:tcPr>
          <w:p>
            <w:pPr>
              <w:spacing w:after="0"/>
              <w:rPr>
                <w:sz w:val="14"/>
                <w:szCs w:val="14"/>
                <w:color w:val="auto"/>
              </w:rPr>
            </w:pPr>
          </w:p>
        </w:tc>
        <w:tc>
          <w:tcPr>
            <w:tcW w:w="400" w:type="dxa"/>
            <w:vAlign w:val="bottom"/>
            <w:vMerge w:val="restart"/>
          </w:tcPr>
          <w:p>
            <w:pPr>
              <w:spacing w:after="0"/>
              <w:rPr>
                <w:sz w:val="20"/>
                <w:szCs w:val="20"/>
                <w:color w:val="auto"/>
              </w:rPr>
            </w:pPr>
            <w:r>
              <w:rPr>
                <w:rFonts w:ascii="Arial" w:cs="Arial" w:eastAsia="Arial" w:hAnsi="Arial"/>
                <w:sz w:val="14"/>
                <w:szCs w:val="14"/>
                <w:color w:val="auto"/>
                <w:w w:val="90"/>
              </w:rPr>
              <w:t>Loans:</w:t>
            </w:r>
          </w:p>
        </w:tc>
        <w:tc>
          <w:tcPr>
            <w:tcW w:w="5340" w:type="dxa"/>
            <w:vAlign w:val="bottom"/>
            <w:vMerge w:val="restart"/>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w w:val="89"/>
              </w:rPr>
              <w:t>(In Thousands)</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5340" w:type="dxa"/>
            <w:vAlign w:val="bottom"/>
            <w:vMerge w:val="continue"/>
          </w:tcPr>
          <w:p>
            <w:pPr>
              <w:spacing w:after="0"/>
              <w:rPr>
                <w:sz w:val="12"/>
                <w:szCs w:val="12"/>
                <w:color w:val="auto"/>
              </w:rPr>
            </w:pPr>
          </w:p>
        </w:tc>
        <w:tc>
          <w:tcPr>
            <w:tcW w:w="1200" w:type="dxa"/>
            <w:vAlign w:val="bottom"/>
            <w:gridSpan w:val="4"/>
          </w:tcPr>
          <w:p>
            <w:pPr>
              <w:spacing w:after="0" w:line="141" w:lineRule="exact"/>
              <w:rPr>
                <w:sz w:val="20"/>
                <w:szCs w:val="20"/>
                <w:color w:val="auto"/>
              </w:rPr>
            </w:pPr>
            <w:r>
              <w:rPr>
                <w:rFonts w:ascii="Arial" w:cs="Arial" w:eastAsia="Arial" w:hAnsi="Arial"/>
                <w:sz w:val="14"/>
                <w:szCs w:val="14"/>
                <w:color w:val="auto"/>
              </w:rPr>
              <w:t>March 31, 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ind w:left="20"/>
              <w:spacing w:after="0" w:line="141" w:lineRule="exact"/>
              <w:rPr>
                <w:sz w:val="20"/>
                <w:szCs w:val="20"/>
                <w:color w:val="auto"/>
              </w:rPr>
            </w:pPr>
            <w:r>
              <w:rPr>
                <w:rFonts w:ascii="Arial" w:cs="Arial" w:eastAsia="Arial" w:hAnsi="Arial"/>
                <w:sz w:val="14"/>
                <w:szCs w:val="14"/>
                <w:color w:val="auto"/>
                <w:w w:val="89"/>
              </w:rPr>
              <w:t>December 31, 2016</w:t>
            </w:r>
          </w:p>
        </w:tc>
        <w:tc>
          <w:tcPr>
            <w:tcW w:w="5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84,465</w:t>
            </w:r>
          </w:p>
        </w:tc>
        <w:tc>
          <w:tcPr>
            <w:tcW w:w="2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00" w:type="dxa"/>
            <w:vAlign w:val="bottom"/>
            <w:vMerge w:val="continue"/>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62,840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rPr>
              <w:t>62,375</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86,950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84,563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382,758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w w:val="92"/>
              </w:rPr>
              <w:t>377,481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115,415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92"/>
              </w:rPr>
              <w:t>109,256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33,840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rPr>
              <w:t>33,179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5,732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771,935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758,820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deferred loan fees and costs</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771,206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758,094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(6,850)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gridSpan w:val="2"/>
          </w:tcPr>
          <w:p>
            <w:pPr>
              <w:ind w:left="360"/>
              <w:spacing w:after="0"/>
              <w:rPr>
                <w:sz w:val="20"/>
                <w:szCs w:val="20"/>
                <w:color w:val="auto"/>
              </w:rPr>
            </w:pPr>
            <w:r>
              <w:rPr>
                <w:rFonts w:ascii="Arial" w:cs="Arial" w:eastAsia="Arial" w:hAnsi="Arial"/>
                <w:sz w:val="18"/>
                <w:szCs w:val="18"/>
                <w:color w:val="auto"/>
              </w:rPr>
              <w:t>Loans -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764,356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751,310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4"/>
            <w:vMerge w:val="restart"/>
          </w:tcPr>
          <w:p>
            <w:pPr>
              <w:spacing w:after="0"/>
              <w:rPr>
                <w:sz w:val="20"/>
                <w:szCs w:val="20"/>
                <w:color w:val="auto"/>
              </w:rPr>
            </w:pPr>
            <w:r>
              <w:rPr>
                <w:rFonts w:ascii="Arial" w:cs="Arial" w:eastAsia="Arial" w:hAnsi="Arial"/>
                <w:sz w:val="18"/>
                <w:szCs w:val="18"/>
                <w:color w:val="auto"/>
              </w:rPr>
              <w:t>The following is a maturity schedule by major category of loans as of March 31, 2017:</w:t>
            </w: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9"/>
          </w:tcPr>
          <w:p>
            <w:pPr>
              <w:ind w:left="2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center"/>
              <w:ind w:right="40"/>
              <w:spacing w:after="0" w:line="123" w:lineRule="exact"/>
              <w:rPr>
                <w:sz w:val="20"/>
                <w:szCs w:val="20"/>
                <w:color w:val="auto"/>
              </w:rPr>
            </w:pPr>
            <w:r>
              <w:rPr>
                <w:rFonts w:ascii="Arial" w:cs="Arial" w:eastAsia="Arial" w:hAnsi="Arial"/>
                <w:sz w:val="14"/>
                <w:szCs w:val="14"/>
                <w:color w:val="auto"/>
                <w:w w:val="96"/>
              </w:rPr>
              <w:t>After One</w:t>
            </w: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8"/>
              <w:spacing w:after="0"/>
              <w:rPr>
                <w:sz w:val="20"/>
                <w:szCs w:val="20"/>
                <w:color w:val="auto"/>
              </w:rPr>
            </w:pPr>
            <w:r>
              <w:rPr>
                <w:rFonts w:ascii="Arial" w:cs="Arial" w:eastAsia="Arial" w:hAnsi="Arial"/>
                <w:sz w:val="14"/>
                <w:szCs w:val="14"/>
                <w:color w:val="auto"/>
              </w:rPr>
              <w:t>Within</w:t>
            </w:r>
          </w:p>
        </w:tc>
        <w:tc>
          <w:tcPr>
            <w:tcW w:w="26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color w:val="auto"/>
                <w:w w:val="96"/>
              </w:rPr>
              <w:t>Year Within</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tcPr>
          <w:p>
            <w:pPr>
              <w:jc w:val="center"/>
              <w:ind w:right="220"/>
              <w:spacing w:after="0"/>
              <w:rPr>
                <w:sz w:val="20"/>
                <w:szCs w:val="20"/>
                <w:color w:val="auto"/>
              </w:rPr>
            </w:pPr>
            <w:r>
              <w:rPr>
                <w:rFonts w:ascii="Arial" w:cs="Arial" w:eastAsia="Arial" w:hAnsi="Arial"/>
                <w:sz w:val="14"/>
                <w:szCs w:val="14"/>
                <w:color w:val="auto"/>
              </w:rPr>
              <w:t>After</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4"/>
                <w:szCs w:val="14"/>
                <w:color w:val="auto"/>
                <w:w w:val="90"/>
              </w:rPr>
              <w:t>One Year</w:t>
            </w:r>
          </w:p>
        </w:tc>
        <w:tc>
          <w:tcPr>
            <w:tcW w:w="26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Five Years</w:t>
            </w:r>
          </w:p>
        </w:tc>
        <w:tc>
          <w:tcPr>
            <w:tcW w:w="440" w:type="dxa"/>
            <w:vAlign w:val="bottom"/>
          </w:tcPr>
          <w:p>
            <w:pPr>
              <w:spacing w:after="0"/>
              <w:rPr>
                <w:sz w:val="14"/>
                <w:szCs w:val="14"/>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color w:val="auto"/>
                <w:w w:val="92"/>
              </w:rPr>
              <w:t>Five Years</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$ 1,766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12,975</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$ 69,724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8"/>
                <w:szCs w:val="18"/>
                <w:color w:val="auto"/>
              </w:rPr>
            </w:pPr>
          </w:p>
        </w:tc>
        <w:tc>
          <w:tcPr>
            <w:tcW w:w="980" w:type="dxa"/>
            <w:vAlign w:val="bottom"/>
            <w:gridSpan w:val="3"/>
          </w:tcPr>
          <w:p>
            <w:pPr>
              <w:jc w:val="right"/>
              <w:ind w:right="148"/>
              <w:spacing w:after="0"/>
              <w:rPr>
                <w:sz w:val="20"/>
                <w:szCs w:val="20"/>
                <w:color w:val="auto"/>
              </w:rPr>
            </w:pPr>
            <w:r>
              <w:rPr>
                <w:rFonts w:ascii="Arial" w:cs="Arial" w:eastAsia="Arial" w:hAnsi="Arial"/>
                <w:sz w:val="18"/>
                <w:szCs w:val="18"/>
                <w:color w:val="auto"/>
              </w:rPr>
              <w:t>286</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4,176</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52,159</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25,435</w:t>
            </w:r>
          </w:p>
        </w:tc>
        <w:tc>
          <w:tcPr>
            <w:tcW w:w="11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980" w:type="dxa"/>
            <w:vAlign w:val="bottom"/>
            <w:gridSpan w:val="3"/>
          </w:tcPr>
          <w:p>
            <w:pPr>
              <w:jc w:val="right"/>
              <w:ind w:right="148"/>
              <w:spacing w:after="0"/>
              <w:rPr>
                <w:sz w:val="20"/>
                <w:szCs w:val="20"/>
                <w:color w:val="auto"/>
              </w:rPr>
            </w:pPr>
            <w:r>
              <w:rPr>
                <w:rFonts w:ascii="Arial" w:cs="Arial" w:eastAsia="Arial" w:hAnsi="Arial"/>
                <w:sz w:val="18"/>
                <w:szCs w:val="18"/>
                <w:color w:val="auto"/>
              </w:rPr>
              <w:t>6,669</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112,032</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264,057</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50,749</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41,073</w:t>
            </w:r>
          </w:p>
        </w:tc>
        <w:tc>
          <w:tcPr>
            <w:tcW w:w="11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23,593</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980" w:type="dxa"/>
            <w:vAlign w:val="bottom"/>
            <w:gridSpan w:val="3"/>
          </w:tcPr>
          <w:p>
            <w:pPr>
              <w:jc w:val="right"/>
              <w:ind w:right="148"/>
              <w:spacing w:after="0"/>
              <w:rPr>
                <w:sz w:val="20"/>
                <w:szCs w:val="20"/>
                <w:color w:val="auto"/>
              </w:rPr>
            </w:pPr>
            <w:r>
              <w:rPr>
                <w:rFonts w:ascii="Arial" w:cs="Arial" w:eastAsia="Arial" w:hAnsi="Arial"/>
                <w:sz w:val="18"/>
                <w:szCs w:val="18"/>
                <w:color w:val="auto"/>
              </w:rPr>
              <w:t>5,372</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20,950</w:t>
            </w:r>
          </w:p>
        </w:tc>
        <w:tc>
          <w:tcPr>
            <w:tcW w:w="1180" w:type="dxa"/>
            <w:vAlign w:val="bottom"/>
            <w:gridSpan w:val="5"/>
          </w:tcPr>
          <w:p>
            <w:pPr>
              <w:jc w:val="right"/>
              <w:ind w:right="4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1,032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March 31, 2017.</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Rate</w:t>
            </w:r>
          </w:p>
        </w:tc>
        <w:tc>
          <w:tcPr>
            <w:tcW w:w="24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Rate</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3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$ 48,151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$ 36,314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480" w:type="dxa"/>
            <w:vAlign w:val="bottom"/>
            <w:gridSpan w:val="3"/>
          </w:tcPr>
          <w:p>
            <w:pPr>
              <w:jc w:val="right"/>
              <w:ind w:right="220"/>
              <w:spacing w:after="0"/>
              <w:rPr>
                <w:sz w:val="20"/>
                <w:szCs w:val="20"/>
                <w:color w:val="auto"/>
              </w:rPr>
            </w:pPr>
            <w:r>
              <w:rPr>
                <w:rFonts w:ascii="Arial" w:cs="Arial" w:eastAsia="Arial" w:hAnsi="Arial"/>
                <w:sz w:val="18"/>
                <w:szCs w:val="18"/>
                <w:color w:val="auto"/>
              </w:rPr>
              <w:t>46,507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16,333</w:t>
            </w:r>
          </w:p>
        </w:tc>
      </w:tr>
      <w:tr>
        <w:trPr>
          <w:trHeight w:val="21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4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38,916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48,034</w:t>
            </w: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480" w:type="dxa"/>
            <w:vAlign w:val="bottom"/>
            <w:gridSpan w:val="3"/>
          </w:tcPr>
          <w:p>
            <w:pPr>
              <w:jc w:val="right"/>
              <w:ind w:right="240"/>
              <w:spacing w:after="0"/>
              <w:rPr>
                <w:sz w:val="20"/>
                <w:szCs w:val="20"/>
                <w:color w:val="auto"/>
              </w:rPr>
            </w:pPr>
            <w:r>
              <w:rPr>
                <w:rFonts w:ascii="Arial" w:cs="Arial" w:eastAsia="Arial" w:hAnsi="Arial"/>
                <w:sz w:val="18"/>
                <w:szCs w:val="18"/>
                <w:color w:val="auto"/>
              </w:rPr>
              <w:t>264,121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118,637</w:t>
            </w:r>
          </w:p>
        </w:tc>
      </w:tr>
      <w:tr>
        <w:trPr>
          <w:trHeight w:val="21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4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47,189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68,226</w:t>
            </w:r>
          </w:p>
        </w:tc>
      </w:tr>
      <w:tr>
        <w:trPr>
          <w:trHeight w:val="215"/>
        </w:trPr>
        <w:tc>
          <w:tcPr>
            <w:tcW w:w="3220" w:type="dxa"/>
            <w:vAlign w:val="bottom"/>
          </w:tcPr>
          <w:p>
            <w:pPr>
              <w:spacing w:after="0"/>
              <w:rPr>
                <w:sz w:val="20"/>
                <w:szCs w:val="20"/>
                <w:color w:val="auto"/>
              </w:rPr>
            </w:pPr>
            <w:r>
              <w:rPr>
                <w:rFonts w:ascii="Arial" w:cs="Arial" w:eastAsia="Arial" w:hAnsi="Arial"/>
                <w:sz w:val="18"/>
                <w:szCs w:val="18"/>
                <w:color w:val="auto"/>
              </w:rPr>
              <w:t>Consumer</w:t>
            </w:r>
          </w:p>
        </w:tc>
        <w:tc>
          <w:tcPr>
            <w:tcW w:w="4480" w:type="dxa"/>
            <w:vAlign w:val="bottom"/>
            <w:gridSpan w:val="3"/>
          </w:tcPr>
          <w:p>
            <w:pPr>
              <w:jc w:val="right"/>
              <w:ind w:right="220"/>
              <w:spacing w:after="0"/>
              <w:rPr>
                <w:sz w:val="20"/>
                <w:szCs w:val="20"/>
                <w:color w:val="auto"/>
              </w:rPr>
            </w:pPr>
            <w:r>
              <w:rPr>
                <w:rFonts w:ascii="Arial" w:cs="Arial" w:eastAsia="Arial" w:hAnsi="Arial"/>
                <w:sz w:val="18"/>
                <w:szCs w:val="18"/>
                <w:color w:val="auto"/>
              </w:rPr>
              <w:t>29,547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4,293</w:t>
            </w:r>
          </w:p>
        </w:tc>
      </w:tr>
      <w:tr>
        <w:trPr>
          <w:trHeight w:val="21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4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5,667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364"/>
        </w:trPr>
        <w:tc>
          <w:tcPr>
            <w:tcW w:w="3220" w:type="dxa"/>
            <w:vAlign w:val="bottom"/>
          </w:tcPr>
          <w:p>
            <w:pPr>
              <w:spacing w:after="0"/>
              <w:rPr>
                <w:sz w:val="24"/>
                <w:szCs w:val="24"/>
                <w:color w:val="auto"/>
              </w:rPr>
            </w:pPr>
          </w:p>
        </w:tc>
        <w:tc>
          <w:tcPr>
            <w:tcW w:w="3560" w:type="dxa"/>
            <w:vAlign w:val="bottom"/>
          </w:tcPr>
          <w:p>
            <w:pPr>
              <w:jc w:val="right"/>
              <w:ind w:right="227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00"/>
          </w:cols>
          <w:pgMar w:left="240" w:top="458" w:right="11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As of March 31, 2017 and December 31, 2016 one to four family residential mortgage loans amounting to $17.8 and $17.9 million, respectively, have been pledged as security for future loans the Bank has received from the Federal Home Loan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listed separately, Industrial Development Bonds are included in the Commercial and Industrial category for the remainder of the tables in this Note 4.</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8"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the contractual aging of the recorded investment (in thousands) in past due loans by portfolio classification of loans as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December 31, 2016, net of deferred loan fees and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8"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8" w:lineRule="exact"/>
              <w:rPr>
                <w:sz w:val="20"/>
                <w:szCs w:val="20"/>
                <w:color w:val="auto"/>
              </w:rPr>
            </w:pPr>
            <w:r>
              <w:rPr>
                <w:rFonts w:ascii="Arial" w:cs="Arial" w:eastAsia="Arial" w:hAnsi="Arial"/>
                <w:sz w:val="14"/>
                <w:szCs w:val="14"/>
                <w:color w:val="auto"/>
                <w:w w:val="99"/>
              </w:rPr>
              <w:t>Investment &gt;</w:t>
            </w:r>
          </w:p>
        </w:tc>
      </w:tr>
      <w:tr>
        <w:trPr>
          <w:trHeight w:val="148"/>
        </w:trPr>
        <w:tc>
          <w:tcPr>
            <w:tcW w:w="456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color w:val="auto"/>
              </w:rPr>
              <w:t>30-59 Days</w:t>
            </w:r>
          </w:p>
        </w:tc>
        <w:tc>
          <w:tcPr>
            <w:tcW w:w="1020" w:type="dxa"/>
            <w:vAlign w:val="bottom"/>
            <w:gridSpan w:val="3"/>
          </w:tcPr>
          <w:p>
            <w:pPr>
              <w:spacing w:after="0" w:line="148" w:lineRule="exact"/>
              <w:rPr>
                <w:sz w:val="20"/>
                <w:szCs w:val="20"/>
                <w:color w:val="auto"/>
              </w:rPr>
            </w:pPr>
            <w:r>
              <w:rPr>
                <w:rFonts w:ascii="Arial" w:cs="Arial" w:eastAsia="Arial" w:hAnsi="Arial"/>
                <w:sz w:val="14"/>
                <w:szCs w:val="14"/>
                <w:color w:val="auto"/>
              </w:rPr>
              <w:t>60-89 Days</w:t>
            </w:r>
          </w:p>
        </w:tc>
        <w:tc>
          <w:tcPr>
            <w:tcW w:w="1100" w:type="dxa"/>
            <w:vAlign w:val="bottom"/>
            <w:gridSpan w:val="3"/>
          </w:tcPr>
          <w:p>
            <w:pPr>
              <w:spacing w:after="0" w:line="148" w:lineRule="exact"/>
              <w:rPr>
                <w:sz w:val="20"/>
                <w:szCs w:val="20"/>
                <w:color w:val="auto"/>
              </w:rPr>
            </w:pPr>
            <w:r>
              <w:rPr>
                <w:rFonts w:ascii="Arial" w:cs="Arial" w:eastAsia="Arial" w:hAnsi="Arial"/>
                <w:sz w:val="14"/>
                <w:szCs w:val="14"/>
                <w:color w:val="auto"/>
              </w:rPr>
              <w:t>Greater Than</w:t>
            </w:r>
          </w:p>
        </w:tc>
        <w:tc>
          <w:tcPr>
            <w:tcW w:w="700" w:type="dxa"/>
            <w:vAlign w:val="bottom"/>
            <w:gridSpan w:val="2"/>
          </w:tcPr>
          <w:p>
            <w:pPr>
              <w:jc w:val="center"/>
              <w:ind w:right="180"/>
              <w:spacing w:after="0" w:line="148" w:lineRule="exact"/>
              <w:rPr>
                <w:sz w:val="20"/>
                <w:szCs w:val="20"/>
                <w:color w:val="auto"/>
              </w:rPr>
            </w:pPr>
            <w:r>
              <w:rPr>
                <w:rFonts w:ascii="Arial" w:cs="Arial" w:eastAsia="Arial" w:hAnsi="Arial"/>
                <w:sz w:val="14"/>
                <w:szCs w:val="14"/>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340"/>
              <w:spacing w:after="0" w:line="148"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8" w:lineRule="exact"/>
              <w:rPr>
                <w:sz w:val="20"/>
                <w:szCs w:val="20"/>
                <w:color w:val="auto"/>
              </w:rPr>
            </w:pPr>
            <w:r>
              <w:rPr>
                <w:rFonts w:ascii="Arial" w:cs="Arial" w:eastAsia="Arial" w:hAnsi="Arial"/>
                <w:sz w:val="14"/>
                <w:szCs w:val="14"/>
                <w:color w:val="auto"/>
                <w:w w:val="99"/>
              </w:rPr>
              <w:t>90 Days and</w:t>
            </w: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March 31, 2017</w:t>
            </w:r>
          </w:p>
        </w:tc>
        <w:tc>
          <w:tcPr>
            <w:tcW w:w="1000" w:type="dxa"/>
            <w:vAlign w:val="bottom"/>
            <w:gridSpan w:val="3"/>
          </w:tcPr>
          <w:p>
            <w:pPr>
              <w:jc w:val="right"/>
              <w:ind w:right="400"/>
              <w:spacing w:after="0"/>
              <w:rPr>
                <w:sz w:val="20"/>
                <w:szCs w:val="20"/>
                <w:color w:val="auto"/>
              </w:rPr>
            </w:pPr>
            <w:r>
              <w:rPr>
                <w:rFonts w:ascii="Arial" w:cs="Arial" w:eastAsia="Arial" w:hAnsi="Arial"/>
                <w:sz w:val="14"/>
                <w:szCs w:val="14"/>
                <w:color w:val="auto"/>
              </w:rPr>
              <w:t>Past Due</w:t>
            </w:r>
          </w:p>
        </w:tc>
        <w:tc>
          <w:tcPr>
            <w:tcW w:w="102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Current</w:t>
            </w:r>
          </w:p>
        </w:tc>
        <w:tc>
          <w:tcPr>
            <w:tcW w:w="16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502</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472</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984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62,803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87,078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1,118</w:t>
            </w:r>
          </w:p>
        </w:tc>
        <w:tc>
          <w:tcPr>
            <w:tcW w:w="3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381,065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382,183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121,183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33,821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33,878</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580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$ 2,460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768,746</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$ 771,206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4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9"/>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8"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8" w:lineRule="exact"/>
              <w:rPr>
                <w:sz w:val="20"/>
                <w:szCs w:val="20"/>
                <w:color w:val="auto"/>
              </w:rPr>
            </w:pPr>
            <w:r>
              <w:rPr>
                <w:rFonts w:ascii="Arial" w:cs="Arial" w:eastAsia="Arial" w:hAnsi="Arial"/>
                <w:sz w:val="14"/>
                <w:szCs w:val="14"/>
                <w:color w:val="auto"/>
                <w:w w:val="99"/>
              </w:rPr>
              <w:t>Investment &gt;</w:t>
            </w:r>
          </w:p>
        </w:tc>
      </w:tr>
      <w:tr>
        <w:trPr>
          <w:trHeight w:val="148"/>
        </w:trPr>
        <w:tc>
          <w:tcPr>
            <w:tcW w:w="456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color w:val="auto"/>
              </w:rPr>
              <w:t>30-59 Days</w:t>
            </w:r>
          </w:p>
        </w:tc>
        <w:tc>
          <w:tcPr>
            <w:tcW w:w="1020" w:type="dxa"/>
            <w:vAlign w:val="bottom"/>
            <w:gridSpan w:val="3"/>
          </w:tcPr>
          <w:p>
            <w:pPr>
              <w:spacing w:after="0" w:line="148" w:lineRule="exact"/>
              <w:rPr>
                <w:sz w:val="20"/>
                <w:szCs w:val="20"/>
                <w:color w:val="auto"/>
              </w:rPr>
            </w:pPr>
            <w:r>
              <w:rPr>
                <w:rFonts w:ascii="Arial" w:cs="Arial" w:eastAsia="Arial" w:hAnsi="Arial"/>
                <w:sz w:val="14"/>
                <w:szCs w:val="14"/>
                <w:color w:val="auto"/>
              </w:rPr>
              <w:t>60-89 Days</w:t>
            </w:r>
          </w:p>
        </w:tc>
        <w:tc>
          <w:tcPr>
            <w:tcW w:w="1100" w:type="dxa"/>
            <w:vAlign w:val="bottom"/>
            <w:gridSpan w:val="3"/>
          </w:tcPr>
          <w:p>
            <w:pPr>
              <w:spacing w:after="0" w:line="148" w:lineRule="exact"/>
              <w:rPr>
                <w:sz w:val="20"/>
                <w:szCs w:val="20"/>
                <w:color w:val="auto"/>
              </w:rPr>
            </w:pPr>
            <w:r>
              <w:rPr>
                <w:rFonts w:ascii="Arial" w:cs="Arial" w:eastAsia="Arial" w:hAnsi="Arial"/>
                <w:sz w:val="14"/>
                <w:szCs w:val="14"/>
                <w:color w:val="auto"/>
              </w:rPr>
              <w:t>Greater Than</w:t>
            </w:r>
          </w:p>
        </w:tc>
        <w:tc>
          <w:tcPr>
            <w:tcW w:w="700" w:type="dxa"/>
            <w:vAlign w:val="bottom"/>
            <w:gridSpan w:val="2"/>
          </w:tcPr>
          <w:p>
            <w:pPr>
              <w:jc w:val="center"/>
              <w:ind w:right="180"/>
              <w:spacing w:after="0" w:line="148" w:lineRule="exact"/>
              <w:rPr>
                <w:sz w:val="20"/>
                <w:szCs w:val="20"/>
                <w:color w:val="auto"/>
              </w:rPr>
            </w:pPr>
            <w:r>
              <w:rPr>
                <w:rFonts w:ascii="Arial" w:cs="Arial" w:eastAsia="Arial" w:hAnsi="Arial"/>
                <w:sz w:val="14"/>
                <w:szCs w:val="14"/>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340"/>
              <w:spacing w:after="0" w:line="148"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8" w:lineRule="exact"/>
              <w:rPr>
                <w:sz w:val="20"/>
                <w:szCs w:val="20"/>
                <w:color w:val="auto"/>
              </w:rPr>
            </w:pPr>
            <w:r>
              <w:rPr>
                <w:rFonts w:ascii="Arial" w:cs="Arial" w:eastAsia="Arial" w:hAnsi="Arial"/>
                <w:sz w:val="14"/>
                <w:szCs w:val="14"/>
                <w:color w:val="auto"/>
                <w:w w:val="99"/>
              </w:rPr>
              <w:t>90 Days and</w:t>
            </w:r>
          </w:p>
        </w:tc>
      </w:tr>
      <w:tr>
        <w:trPr>
          <w:trHeight w:val="167"/>
        </w:trPr>
        <w:tc>
          <w:tcPr>
            <w:tcW w:w="4560" w:type="dxa"/>
            <w:vAlign w:val="bottom"/>
          </w:tcPr>
          <w:p>
            <w:pPr>
              <w:spacing w:after="0"/>
              <w:rPr>
                <w:sz w:val="20"/>
                <w:szCs w:val="20"/>
                <w:color w:val="auto"/>
              </w:rPr>
            </w:pPr>
            <w:r>
              <w:rPr>
                <w:rFonts w:ascii="Arial" w:cs="Arial" w:eastAsia="Arial" w:hAnsi="Arial"/>
                <w:sz w:val="14"/>
                <w:szCs w:val="14"/>
                <w:color w:val="auto"/>
              </w:rPr>
              <w:t>December 31, 2016</w:t>
            </w:r>
          </w:p>
        </w:tc>
        <w:tc>
          <w:tcPr>
            <w:tcW w:w="1000" w:type="dxa"/>
            <w:vAlign w:val="bottom"/>
            <w:gridSpan w:val="3"/>
          </w:tcPr>
          <w:p>
            <w:pPr>
              <w:jc w:val="right"/>
              <w:ind w:right="400"/>
              <w:spacing w:after="0"/>
              <w:rPr>
                <w:sz w:val="20"/>
                <w:szCs w:val="20"/>
                <w:color w:val="auto"/>
              </w:rPr>
            </w:pPr>
            <w:r>
              <w:rPr>
                <w:rFonts w:ascii="Arial" w:cs="Arial" w:eastAsia="Arial" w:hAnsi="Arial"/>
                <w:sz w:val="14"/>
                <w:szCs w:val="14"/>
                <w:color w:val="auto"/>
              </w:rPr>
              <w:t>Past Due</w:t>
            </w:r>
          </w:p>
        </w:tc>
        <w:tc>
          <w:tcPr>
            <w:tcW w:w="102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Current</w:t>
            </w:r>
          </w:p>
        </w:tc>
        <w:tc>
          <w:tcPr>
            <w:tcW w:w="16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1"/>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882</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507</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$ 1,404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132</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62,192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62,336</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376,827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376,887</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115,093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115,093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33,178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33,213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639</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$ 1,744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756,350</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$ 758,094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w:t>
            </w:r>
          </w:p>
        </w:tc>
      </w:tr>
      <w:tr>
        <w:trPr>
          <w:trHeight w:val="20"/>
        </w:trPr>
        <w:tc>
          <w:tcPr>
            <w:tcW w:w="4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March 31, 2017 and December 31, 2016:</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color w:val="auto"/>
                <w:w w:val="91"/>
              </w:rPr>
              <w:t>(In Thousands)</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88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5"/>
              </w:rPr>
              <w:t>March 31</w:t>
            </w:r>
          </w:p>
        </w:tc>
        <w:tc>
          <w:tcPr>
            <w:tcW w:w="30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$ 1,154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1,091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Consumer</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$ 1,430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1,384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2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federal crop insurance.</w:t>
      </w:r>
    </w:p>
    <w:p>
      <w:pPr>
        <w:spacing w:after="0" w:line="187"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70"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8"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risk ratings are described as follows.</w:t>
      </w:r>
    </w:p>
    <w:p>
      <w:pPr>
        <w:spacing w:after="0" w:line="129" w:lineRule="exact"/>
        <w:rPr>
          <w:sz w:val="20"/>
          <w:szCs w:val="20"/>
          <w:color w:val="auto"/>
        </w:rPr>
      </w:pPr>
    </w:p>
    <w:p>
      <w:pPr>
        <w:ind w:left="900" w:hanging="44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29" w:lineRule="exact"/>
        <w:rPr>
          <w:rFonts w:ascii="Arial" w:cs="Arial" w:eastAsia="Arial" w:hAnsi="Arial"/>
          <w:sz w:val="18"/>
          <w:szCs w:val="18"/>
          <w:color w:val="auto"/>
        </w:rPr>
      </w:pPr>
    </w:p>
    <w:p>
      <w:pPr>
        <w:ind w:left="900" w:right="60" w:hanging="448"/>
        <w:spacing w:after="0" w:line="29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70" w:lineRule="exact"/>
        <w:rPr>
          <w:rFonts w:ascii="Arial" w:cs="Arial" w:eastAsia="Arial" w:hAnsi="Arial"/>
          <w:sz w:val="16"/>
          <w:szCs w:val="16"/>
          <w:color w:val="auto"/>
        </w:rPr>
      </w:pPr>
    </w:p>
    <w:p>
      <w:pPr>
        <w:ind w:left="900" w:right="100" w:hanging="448"/>
        <w:spacing w:after="0" w:line="27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6" w:lineRule="exact"/>
        <w:rPr>
          <w:rFonts w:ascii="Arial" w:cs="Arial" w:eastAsia="Arial" w:hAnsi="Arial"/>
          <w:sz w:val="17"/>
          <w:szCs w:val="17"/>
          <w:color w:val="auto"/>
        </w:rPr>
      </w:pPr>
    </w:p>
    <w:p>
      <w:pPr>
        <w:ind w:left="900" w:right="180" w:hanging="448"/>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Loans may be graded 3 when there is no recent information on which to base a current risk evaluation and the following conditions apply:</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29" w:lineRule="exact"/>
        <w:rPr>
          <w:sz w:val="20"/>
          <w:szCs w:val="20"/>
          <w:color w:val="auto"/>
        </w:rPr>
      </w:pPr>
    </w:p>
    <w:p>
      <w:pPr>
        <w:ind w:left="1480" w:hanging="571"/>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29" w:lineRule="exact"/>
        <w:rPr>
          <w:rFonts w:ascii="Arial" w:cs="Arial" w:eastAsia="Arial" w:hAnsi="Arial"/>
          <w:sz w:val="18"/>
          <w:szCs w:val="18"/>
          <w:color w:val="auto"/>
        </w:rPr>
      </w:pPr>
    </w:p>
    <w:p>
      <w:pPr>
        <w:ind w:left="1480" w:hanging="571"/>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29" w:lineRule="exact"/>
        <w:rPr>
          <w:rFonts w:ascii="Arial" w:cs="Arial" w:eastAsia="Arial" w:hAnsi="Arial"/>
          <w:sz w:val="18"/>
          <w:szCs w:val="18"/>
          <w:color w:val="auto"/>
        </w:rPr>
      </w:pPr>
    </w:p>
    <w:p>
      <w:pPr>
        <w:ind w:left="1480" w:right="100" w:hanging="571"/>
        <w:spacing w:after="0" w:line="285" w:lineRule="auto"/>
        <w:tabs>
          <w:tab w:leader="none" w:pos="1480" w:val="left"/>
        </w:tabs>
        <w:numPr>
          <w:ilvl w:val="1"/>
          <w:numId w:val="6"/>
        </w:numPr>
        <w:rPr>
          <w:rFonts w:ascii="Arial" w:cs="Arial" w:eastAsia="Arial" w:hAnsi="Arial"/>
          <w:sz w:val="17"/>
          <w:szCs w:val="17"/>
          <w:color w:val="auto"/>
        </w:rPr>
      </w:pPr>
      <w:r>
        <w:rPr>
          <w:rFonts w:ascii="Arial" w:cs="Arial" w:eastAsia="Arial" w:hAnsi="Arial"/>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70" w:lineRule="exact"/>
        <w:rPr>
          <w:rFonts w:ascii="Arial" w:cs="Arial" w:eastAsia="Arial" w:hAnsi="Arial"/>
          <w:sz w:val="17"/>
          <w:szCs w:val="17"/>
          <w:color w:val="auto"/>
        </w:rPr>
      </w:pPr>
    </w:p>
    <w:p>
      <w:pPr>
        <w:ind w:left="900" w:right="60" w:hanging="448"/>
        <w:spacing w:after="0" w:line="25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92" w:lineRule="exact"/>
        <w:rPr>
          <w:rFonts w:ascii="Arial" w:cs="Arial" w:eastAsia="Arial" w:hAnsi="Arial"/>
          <w:sz w:val="18"/>
          <w:szCs w:val="18"/>
          <w:color w:val="auto"/>
        </w:rPr>
      </w:pPr>
    </w:p>
    <w:p>
      <w:pPr>
        <w:ind w:left="900" w:hanging="448"/>
        <w:spacing w:after="0" w:line="27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6" w:lineRule="exact"/>
        <w:rPr>
          <w:rFonts w:ascii="Arial" w:cs="Arial" w:eastAsia="Arial" w:hAnsi="Arial"/>
          <w:sz w:val="17"/>
          <w:szCs w:val="17"/>
          <w:color w:val="auto"/>
        </w:rPr>
      </w:pPr>
    </w:p>
    <w:p>
      <w:pPr>
        <w:ind w:left="900" w:hanging="448"/>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29" w:lineRule="exact"/>
        <w:rPr>
          <w:rFonts w:ascii="Arial" w:cs="Arial" w:eastAsia="Arial" w:hAnsi="Arial"/>
          <w:sz w:val="18"/>
          <w:szCs w:val="18"/>
          <w:color w:val="auto"/>
        </w:rPr>
      </w:pPr>
    </w:p>
    <w:p>
      <w:pPr>
        <w:ind w:left="1480" w:right="620" w:hanging="571"/>
        <w:spacing w:after="0" w:line="340"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30" w:lineRule="exact"/>
        <w:rPr>
          <w:rFonts w:ascii="Arial" w:cs="Arial" w:eastAsia="Arial" w:hAnsi="Arial"/>
          <w:sz w:val="16"/>
          <w:szCs w:val="16"/>
          <w:color w:val="auto"/>
        </w:rPr>
      </w:pPr>
    </w:p>
    <w:p>
      <w:pPr>
        <w:ind w:left="1480" w:hanging="571"/>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8"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ind w:left="1480" w:right="480" w:hanging="571"/>
        <w:spacing w:after="0" w:line="276"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480" w:hanging="571"/>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29" w:lineRule="exact"/>
        <w:rPr>
          <w:rFonts w:ascii="Arial" w:cs="Arial" w:eastAsia="Arial" w:hAnsi="Arial"/>
          <w:sz w:val="18"/>
          <w:szCs w:val="18"/>
          <w:color w:val="auto"/>
        </w:rPr>
      </w:pPr>
    </w:p>
    <w:p>
      <w:pPr>
        <w:ind w:left="1480" w:hanging="571"/>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29" w:lineRule="exact"/>
        <w:rPr>
          <w:rFonts w:ascii="Arial" w:cs="Arial" w:eastAsia="Arial" w:hAnsi="Arial"/>
          <w:sz w:val="18"/>
          <w:szCs w:val="18"/>
          <w:color w:val="auto"/>
        </w:rPr>
      </w:pPr>
    </w:p>
    <w:p>
      <w:pPr>
        <w:ind w:left="1480" w:hanging="571"/>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spacing w:after="0" w:line="129" w:lineRule="exact"/>
        <w:rPr>
          <w:rFonts w:ascii="Arial" w:cs="Arial" w:eastAsia="Arial" w:hAnsi="Arial"/>
          <w:sz w:val="18"/>
          <w:szCs w:val="18"/>
          <w:color w:val="auto"/>
        </w:rPr>
      </w:pPr>
    </w:p>
    <w:p>
      <w:pPr>
        <w:ind w:left="1480" w:hanging="571"/>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29" w:lineRule="exact"/>
        <w:rPr>
          <w:rFonts w:ascii="Arial" w:cs="Arial" w:eastAsia="Arial" w:hAnsi="Arial"/>
          <w:sz w:val="18"/>
          <w:szCs w:val="18"/>
          <w:color w:val="auto"/>
        </w:rPr>
      </w:pPr>
    </w:p>
    <w:p>
      <w:pPr>
        <w:ind w:left="1480" w:hanging="571"/>
        <w:spacing w:after="0" w:line="276"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480" w:hanging="571"/>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29" w:lineRule="exact"/>
        <w:rPr>
          <w:rFonts w:ascii="Arial" w:cs="Arial" w:eastAsia="Arial" w:hAnsi="Arial"/>
          <w:sz w:val="18"/>
          <w:szCs w:val="18"/>
          <w:color w:val="auto"/>
        </w:rPr>
      </w:pPr>
    </w:p>
    <w:p>
      <w:pPr>
        <w:ind w:left="1480" w:hanging="571"/>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29" w:lineRule="exact"/>
        <w:rPr>
          <w:rFonts w:ascii="Arial" w:cs="Arial" w:eastAsia="Arial" w:hAnsi="Arial"/>
          <w:sz w:val="18"/>
          <w:szCs w:val="18"/>
          <w:color w:val="auto"/>
        </w:rPr>
      </w:pPr>
    </w:p>
    <w:p>
      <w:pPr>
        <w:ind w:left="900" w:hanging="448"/>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29" w:lineRule="exact"/>
        <w:rPr>
          <w:rFonts w:ascii="Arial" w:cs="Arial" w:eastAsia="Arial" w:hAnsi="Arial"/>
          <w:sz w:val="18"/>
          <w:szCs w:val="18"/>
          <w:color w:val="auto"/>
        </w:rPr>
      </w:pPr>
    </w:p>
    <w:p>
      <w:pPr>
        <w:ind w:left="1480" w:right="660" w:hanging="571"/>
        <w:spacing w:after="0" w:line="276"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480" w:hanging="571"/>
        <w:spacing w:after="0"/>
        <w:tabs>
          <w:tab w:leader="none" w:pos="14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primary source of repayment is gone, and there is considerable doubt as to the quality of the secondary source of repayment.</w:t>
      </w:r>
    </w:p>
    <w:p>
      <w:pPr>
        <w:spacing w:after="0" w:line="140" w:lineRule="exact"/>
        <w:rPr>
          <w:rFonts w:ascii="Arial" w:cs="Arial" w:eastAsia="Arial" w:hAnsi="Arial"/>
          <w:sz w:val="17"/>
          <w:szCs w:val="17"/>
          <w:color w:val="auto"/>
        </w:rPr>
      </w:pPr>
    </w:p>
    <w:p>
      <w:pPr>
        <w:ind w:left="1480" w:right="440" w:hanging="571"/>
        <w:spacing w:after="0" w:line="340"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30" w:lineRule="exact"/>
        <w:rPr>
          <w:rFonts w:ascii="Arial" w:cs="Arial" w:eastAsia="Arial" w:hAnsi="Arial"/>
          <w:sz w:val="16"/>
          <w:szCs w:val="16"/>
          <w:color w:val="auto"/>
        </w:rPr>
      </w:pPr>
    </w:p>
    <w:p>
      <w:pPr>
        <w:ind w:left="900" w:hanging="448"/>
        <w:spacing w:after="0" w:line="26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8"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risk category of loans by portfolio class, net of deferred fees and costs, based on the most recent analysis performed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December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Industrial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gridSpan w:val="3"/>
          </w:tcPr>
          <w:p>
            <w:pPr>
              <w:spacing w:after="0" w:line="148"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1160" w:type="dxa"/>
            <w:vAlign w:val="bottom"/>
            <w:gridSpan w:val="3"/>
          </w:tcPr>
          <w:p>
            <w:pPr>
              <w:jc w:val="right"/>
              <w:ind w:right="400"/>
              <w:spacing w:after="0" w:line="148" w:lineRule="exact"/>
              <w:rPr>
                <w:sz w:val="20"/>
                <w:szCs w:val="20"/>
                <w:color w:val="auto"/>
              </w:rPr>
            </w:pPr>
            <w:r>
              <w:rPr>
                <w:rFonts w:ascii="Arial" w:cs="Arial" w:eastAsia="Arial" w:hAnsi="Arial"/>
                <w:sz w:val="14"/>
                <w:szCs w:val="14"/>
                <w:color w:val="auto"/>
                <w:w w:val="99"/>
              </w:rPr>
              <w:t>Commercial</w:t>
            </w:r>
          </w:p>
        </w:tc>
        <w:tc>
          <w:tcPr>
            <w:tcW w:w="840" w:type="dxa"/>
            <w:vAlign w:val="bottom"/>
            <w:gridSpan w:val="3"/>
          </w:tcPr>
          <w:p>
            <w:pPr>
              <w:ind w:left="20"/>
              <w:spacing w:after="0" w:line="148" w:lineRule="exact"/>
              <w:rPr>
                <w:sz w:val="20"/>
                <w:szCs w:val="20"/>
                <w:color w:val="auto"/>
              </w:rPr>
            </w:pPr>
            <w:r>
              <w:rPr>
                <w:rFonts w:ascii="Arial" w:cs="Arial" w:eastAsia="Arial" w:hAnsi="Arial"/>
                <w:sz w:val="14"/>
                <w:szCs w:val="14"/>
                <w:color w:val="auto"/>
                <w:w w:val="96"/>
              </w:rPr>
              <w:t>Development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8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March 31, 2017</w:t>
            </w:r>
          </w:p>
        </w:tc>
        <w:tc>
          <w:tcPr>
            <w:tcW w:w="2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1-2</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3,719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4,064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877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15,901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2,609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4</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41,594</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48,278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340,854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85,740</w:t>
            </w: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3,058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6</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8</w:t>
            </w: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62,803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87,078</w:t>
            </w: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$ 382,183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115,516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5,667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Industrial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gridSpan w:val="3"/>
          </w:tcPr>
          <w:p>
            <w:pPr>
              <w:spacing w:after="0" w:line="148"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1160" w:type="dxa"/>
            <w:vAlign w:val="bottom"/>
            <w:gridSpan w:val="3"/>
          </w:tcPr>
          <w:p>
            <w:pPr>
              <w:jc w:val="right"/>
              <w:ind w:right="400"/>
              <w:spacing w:after="0" w:line="148" w:lineRule="exact"/>
              <w:rPr>
                <w:sz w:val="20"/>
                <w:szCs w:val="20"/>
                <w:color w:val="auto"/>
              </w:rPr>
            </w:pPr>
            <w:r>
              <w:rPr>
                <w:rFonts w:ascii="Arial" w:cs="Arial" w:eastAsia="Arial" w:hAnsi="Arial"/>
                <w:sz w:val="14"/>
                <w:szCs w:val="14"/>
                <w:color w:val="auto"/>
                <w:w w:val="99"/>
              </w:rPr>
              <w:t>Commercial</w:t>
            </w:r>
          </w:p>
        </w:tc>
        <w:tc>
          <w:tcPr>
            <w:tcW w:w="840" w:type="dxa"/>
            <w:vAlign w:val="bottom"/>
            <w:gridSpan w:val="3"/>
          </w:tcPr>
          <w:p>
            <w:pPr>
              <w:ind w:left="20"/>
              <w:spacing w:after="0" w:line="148" w:lineRule="exact"/>
              <w:rPr>
                <w:sz w:val="20"/>
                <w:szCs w:val="20"/>
                <w:color w:val="auto"/>
              </w:rPr>
            </w:pPr>
            <w:r>
              <w:rPr>
                <w:rFonts w:ascii="Arial" w:cs="Arial" w:eastAsia="Arial" w:hAnsi="Arial"/>
                <w:sz w:val="14"/>
                <w:szCs w:val="14"/>
                <w:color w:val="auto"/>
                <w:w w:val="96"/>
              </w:rPr>
              <w:t>Development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8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December 31, 2016</w:t>
            </w:r>
          </w:p>
        </w:tc>
        <w:tc>
          <w:tcPr>
            <w:tcW w:w="2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1-2</w:t>
            </w:r>
          </w:p>
        </w:tc>
        <w:tc>
          <w:tcPr>
            <w:tcW w:w="284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7,334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16,660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31,397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2,640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4</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39,808</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44,560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333,523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83,100</w:t>
            </w: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3,092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6</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8</w:t>
            </w: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62,336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84,692</w:t>
            </w: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$ 376,887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109,361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5,732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80" w:type="dxa"/>
            <w:vAlign w:val="bottom"/>
            <w:vMerge w:val="restart"/>
          </w:tcPr>
          <w:p>
            <w:pPr>
              <w:ind w:left="210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March 31, 2017 and December 31, 2016.</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ind w:left="560"/>
              <w:spacing w:after="0"/>
              <w:rPr>
                <w:sz w:val="20"/>
                <w:szCs w:val="20"/>
                <w:color w:val="auto"/>
              </w:rPr>
            </w:pPr>
            <w:r>
              <w:rPr>
                <w:rFonts w:ascii="Arial" w:cs="Arial" w:eastAsia="Arial" w:hAnsi="Arial"/>
                <w:sz w:val="14"/>
                <w:szCs w:val="14"/>
                <w:color w:val="auto"/>
              </w:rPr>
              <w:t>(In Thousands)</w:t>
            </w:r>
          </w:p>
        </w:tc>
      </w:tr>
      <w:tr>
        <w:trPr>
          <w:trHeight w:val="123"/>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2"/>
          </w:tcPr>
          <w:p>
            <w:pPr>
              <w:jc w:val="center"/>
              <w:ind w:right="20"/>
              <w:spacing w:after="0" w:line="123" w:lineRule="exact"/>
              <w:rPr>
                <w:sz w:val="20"/>
                <w:szCs w:val="20"/>
                <w:color w:val="auto"/>
              </w:rPr>
            </w:pPr>
            <w:r>
              <w:rPr>
                <w:rFonts w:ascii="Arial" w:cs="Arial" w:eastAsia="Arial" w:hAnsi="Arial"/>
                <w:sz w:val="14"/>
                <w:szCs w:val="14"/>
                <w:color w:val="auto"/>
                <w:w w:val="92"/>
              </w:rPr>
              <w:t>Consumer</w:t>
            </w: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89"/>
              </w:rPr>
              <w:t>Consumer</w:t>
            </w:r>
          </w:p>
        </w:tc>
        <w:tc>
          <w:tcPr>
            <w:tcW w:w="40" w:type="dxa"/>
            <w:vAlign w:val="bottom"/>
          </w:tcPr>
          <w:p>
            <w:pPr>
              <w:spacing w:after="0"/>
              <w:rPr>
                <w:sz w:val="10"/>
                <w:szCs w:val="10"/>
                <w:color w:val="auto"/>
              </w:rPr>
            </w:pPr>
          </w:p>
        </w:tc>
      </w:tr>
      <w:tr>
        <w:trPr>
          <w:trHeight w:val="167"/>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color w:val="auto"/>
                <w:w w:val="88"/>
              </w:rPr>
              <w:t>Real Estate</w:t>
            </w:r>
          </w:p>
        </w:tc>
        <w:tc>
          <w:tcPr>
            <w:tcW w:w="5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Real Estate</w:t>
            </w:r>
          </w:p>
        </w:tc>
      </w:tr>
      <w:tr>
        <w:trPr>
          <w:trHeight w:val="123"/>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March 31,</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December 31,</w:t>
            </w:r>
          </w:p>
        </w:tc>
        <w:tc>
          <w:tcPr>
            <w:tcW w:w="40" w:type="dxa"/>
            <w:vAlign w:val="bottom"/>
          </w:tcPr>
          <w:p>
            <w:pPr>
              <w:spacing w:after="0"/>
              <w:rPr>
                <w:sz w:val="10"/>
                <w:szCs w:val="10"/>
                <w:color w:val="auto"/>
              </w:rPr>
            </w:pPr>
          </w:p>
        </w:tc>
      </w:tr>
      <w:tr>
        <w:trPr>
          <w:trHeight w:val="167"/>
        </w:trPr>
        <w:tc>
          <w:tcPr>
            <w:tcW w:w="66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9"/>
              </w:rPr>
              <w:t>2017</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color w:val="auto"/>
                <w:w w:val="96"/>
              </w:rPr>
              <w:t>2016</w:t>
            </w:r>
          </w:p>
        </w:tc>
        <w:tc>
          <w:tcPr>
            <w:tcW w:w="40" w:type="dxa"/>
            <w:vAlign w:val="bottom"/>
          </w:tcPr>
          <w:p>
            <w:pPr>
              <w:spacing w:after="0"/>
              <w:rPr>
                <w:sz w:val="14"/>
                <w:szCs w:val="14"/>
                <w:color w:val="auto"/>
              </w:rPr>
            </w:pPr>
          </w:p>
        </w:tc>
      </w:tr>
      <w:tr>
        <w:trPr>
          <w:trHeight w:val="195"/>
        </w:trPr>
        <w:tc>
          <w:tcPr>
            <w:tcW w:w="66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Grade</w:t>
            </w: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5"/>
        </w:trPr>
        <w:tc>
          <w:tcPr>
            <w:tcW w:w="6600" w:type="dxa"/>
            <w:vAlign w:val="bottom"/>
          </w:tcPr>
          <w:p>
            <w:pPr>
              <w:ind w:left="360"/>
              <w:spacing w:after="0"/>
              <w:rPr>
                <w:sz w:val="20"/>
                <w:szCs w:val="20"/>
                <w:color w:val="auto"/>
              </w:rPr>
            </w:pPr>
            <w:r>
              <w:rPr>
                <w:rFonts w:ascii="Arial" w:cs="Arial" w:eastAsia="Arial" w:hAnsi="Arial"/>
                <w:sz w:val="18"/>
                <w:szCs w:val="18"/>
                <w:color w:val="auto"/>
              </w:rPr>
              <w:t>Pass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$ 83,560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85,322</w:t>
            </w:r>
          </w:p>
        </w:tc>
      </w:tr>
      <w:tr>
        <w:trPr>
          <w:trHeight w:val="215"/>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5"/>
        </w:trPr>
        <w:tc>
          <w:tcPr>
            <w:tcW w:w="660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r>
      <w:tr>
        <w:trPr>
          <w:trHeight w:val="215"/>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22"/>
        </w:trPr>
        <w:tc>
          <w:tcPr>
            <w:tcW w:w="660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$ 84,081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85,873</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337"/>
              <w:spacing w:after="0" w:line="141" w:lineRule="exact"/>
              <w:rPr>
                <w:sz w:val="20"/>
                <w:szCs w:val="20"/>
                <w:color w:val="auto"/>
              </w:rPr>
            </w:pPr>
            <w:r>
              <w:rPr>
                <w:rFonts w:ascii="Arial" w:cs="Arial" w:eastAsia="Arial" w:hAnsi="Arial"/>
                <w:sz w:val="14"/>
                <w:szCs w:val="14"/>
                <w:color w:val="auto"/>
              </w:rPr>
              <w:t>Consumer - Credit</w:t>
            </w:r>
          </w:p>
        </w:tc>
        <w:tc>
          <w:tcPr>
            <w:tcW w:w="520" w:type="dxa"/>
            <w:vAlign w:val="bottom"/>
          </w:tcPr>
          <w:p>
            <w:pPr>
              <w:spacing w:after="0"/>
              <w:rPr>
                <w:sz w:val="12"/>
                <w:szCs w:val="12"/>
                <w:color w:val="auto"/>
              </w:rPr>
            </w:pPr>
          </w:p>
        </w:tc>
        <w:tc>
          <w:tcPr>
            <w:tcW w:w="1900" w:type="dxa"/>
            <w:vAlign w:val="bottom"/>
            <w:tcBorders>
              <w:bottom w:val="single" w:sz="8" w:color="auto"/>
            </w:tcBorders>
            <w:gridSpan w:val="5"/>
          </w:tcPr>
          <w:p>
            <w:pPr>
              <w:jc w:val="right"/>
              <w:ind w:right="335"/>
              <w:spacing w:after="0" w:line="141" w:lineRule="exact"/>
              <w:rPr>
                <w:sz w:val="20"/>
                <w:szCs w:val="20"/>
                <w:color w:val="auto"/>
              </w:rPr>
            </w:pPr>
            <w:r>
              <w:rPr>
                <w:rFonts w:ascii="Arial" w:cs="Arial" w:eastAsia="Arial" w:hAnsi="Arial"/>
                <w:sz w:val="14"/>
                <w:szCs w:val="14"/>
                <w:color w:val="auto"/>
              </w:rPr>
              <w:t>Consumer - Other</w:t>
            </w:r>
          </w:p>
        </w:tc>
        <w:tc>
          <w:tcPr>
            <w:tcW w:w="60" w:type="dxa"/>
            <w:vAlign w:val="bottom"/>
          </w:tcPr>
          <w:p>
            <w:pPr>
              <w:spacing w:after="0"/>
              <w:rPr>
                <w:sz w:val="12"/>
                <w:szCs w:val="12"/>
                <w:color w:val="auto"/>
              </w:rPr>
            </w:pPr>
          </w:p>
        </w:tc>
      </w:tr>
      <w:tr>
        <w:trPr>
          <w:trHeight w:val="123"/>
        </w:trPr>
        <w:tc>
          <w:tcPr>
            <w:tcW w:w="612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March 31,</w:t>
            </w: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520" w:type="dxa"/>
            <w:vAlign w:val="bottom"/>
          </w:tcPr>
          <w:p>
            <w:pPr>
              <w:spacing w:after="0"/>
              <w:rPr>
                <w:sz w:val="10"/>
                <w:szCs w:val="10"/>
                <w:color w:val="auto"/>
              </w:rPr>
            </w:pPr>
          </w:p>
        </w:tc>
        <w:tc>
          <w:tcPr>
            <w:tcW w:w="8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3"/>
              </w:rPr>
              <w:t>March 31,</w:t>
            </w:r>
          </w:p>
        </w:tc>
        <w:tc>
          <w:tcPr>
            <w:tcW w:w="26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10"/>
                <w:szCs w:val="10"/>
                <w:color w:val="auto"/>
              </w:rPr>
            </w:pPr>
          </w:p>
        </w:tc>
      </w:tr>
      <w:tr>
        <w:trPr>
          <w:trHeight w:val="167"/>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color w:val="auto"/>
                <w:w w:val="96"/>
              </w:rPr>
              <w:t>2017</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2016</w:t>
            </w:r>
          </w:p>
        </w:tc>
        <w:tc>
          <w:tcPr>
            <w:tcW w:w="1100" w:type="dxa"/>
            <w:vAlign w:val="bottom"/>
            <w:gridSpan w:val="2"/>
          </w:tcPr>
          <w:p>
            <w:pPr>
              <w:jc w:val="center"/>
              <w:ind w:left="459"/>
              <w:spacing w:after="0"/>
              <w:rPr>
                <w:sz w:val="20"/>
                <w:szCs w:val="20"/>
                <w:color w:val="auto"/>
              </w:rPr>
            </w:pPr>
            <w:r>
              <w:rPr>
                <w:rFonts w:ascii="Arial" w:cs="Arial" w:eastAsia="Arial" w:hAnsi="Arial"/>
                <w:sz w:val="14"/>
                <w:szCs w:val="14"/>
                <w:color w:val="auto"/>
                <w:w w:val="89"/>
              </w:rPr>
              <w:t>2017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Performing</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3,762</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$30,094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Nonperforming</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30,116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29,152</w:t>
            </w:r>
          </w:p>
        </w:tc>
      </w:tr>
      <w:tr>
        <w:trPr>
          <w:trHeight w:val="20"/>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impaired loans as of March 31, 2017, December 31, 2016 and March 31, 2016 are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20" w:type="dxa"/>
            <w:vAlign w:val="bottom"/>
            <w:gridSpan w:val="3"/>
          </w:tcPr>
          <w:p>
            <w:pPr>
              <w:ind w:left="20"/>
              <w:spacing w:after="0" w:line="141" w:lineRule="exact"/>
              <w:rPr>
                <w:sz w:val="20"/>
                <w:szCs w:val="20"/>
                <w:color w:val="auto"/>
              </w:rPr>
            </w:pPr>
            <w:r>
              <w:rPr>
                <w:rFonts w:ascii="Arial" w:cs="Arial" w:eastAsia="Arial" w:hAnsi="Arial"/>
                <w:sz w:val="14"/>
                <w:szCs w:val="14"/>
                <w:color w:val="auto"/>
              </w:rPr>
              <w:t>March 31, 2017</w:t>
            </w:r>
          </w:p>
        </w:tc>
        <w:tc>
          <w:tcPr>
            <w:tcW w:w="380" w:type="dxa"/>
            <w:vAlign w:val="bottom"/>
          </w:tcPr>
          <w:p>
            <w:pPr>
              <w:spacing w:after="0"/>
              <w:rPr>
                <w:sz w:val="12"/>
                <w:szCs w:val="12"/>
                <w:color w:val="auto"/>
              </w:rPr>
            </w:pPr>
          </w:p>
        </w:tc>
        <w:tc>
          <w:tcPr>
            <w:tcW w:w="1920" w:type="dxa"/>
            <w:vAlign w:val="bottom"/>
            <w:gridSpan w:val="3"/>
          </w:tcPr>
          <w:p>
            <w:pPr>
              <w:spacing w:after="0" w:line="141" w:lineRule="exact"/>
              <w:rPr>
                <w:sz w:val="20"/>
                <w:szCs w:val="20"/>
                <w:color w:val="auto"/>
              </w:rPr>
            </w:pPr>
            <w:r>
              <w:rPr>
                <w:rFonts w:ascii="Arial" w:cs="Arial" w:eastAsia="Arial" w:hAnsi="Arial"/>
                <w:sz w:val="14"/>
                <w:szCs w:val="14"/>
                <w:color w:val="auto"/>
              </w:rPr>
              <w:t>December 31, 2016</w:t>
            </w:r>
          </w:p>
        </w:tc>
        <w:tc>
          <w:tcPr>
            <w:tcW w:w="920" w:type="dxa"/>
            <w:vAlign w:val="bottom"/>
            <w:gridSpan w:val="2"/>
          </w:tcPr>
          <w:p>
            <w:pPr>
              <w:spacing w:after="0" w:line="141" w:lineRule="exact"/>
              <w:rPr>
                <w:sz w:val="20"/>
                <w:szCs w:val="20"/>
                <w:color w:val="auto"/>
              </w:rPr>
            </w:pPr>
            <w:r>
              <w:rPr>
                <w:rFonts w:ascii="Arial" w:cs="Arial" w:eastAsia="Arial" w:hAnsi="Arial"/>
                <w:sz w:val="14"/>
                <w:szCs w:val="14"/>
                <w:color w:val="auto"/>
                <w:w w:val="92"/>
              </w:rPr>
              <w:t>March 31,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Impaired loans with a valuation allowance</w:t>
            </w:r>
          </w:p>
        </w:tc>
        <w:tc>
          <w:tcPr>
            <w:tcW w:w="320" w:type="dxa"/>
            <w:vAlign w:val="bottom"/>
          </w:tcPr>
          <w:p>
            <w:pPr>
              <w:spacing w:after="0"/>
              <w:rPr>
                <w:sz w:val="24"/>
                <w:szCs w:val="2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694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1,852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7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 still accruing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average investment in impaired loans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1,684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Year to date average investment in impaired loans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1,832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1,802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8"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ind w:right="300"/>
        <w:spacing w:after="0" w:line="306" w:lineRule="auto"/>
        <w:rPr>
          <w:sz w:val="20"/>
          <w:szCs w:val="20"/>
          <w:color w:val="auto"/>
        </w:rPr>
      </w:pPr>
      <w:r>
        <w:rPr>
          <w:rFonts w:ascii="Arial" w:cs="Arial" w:eastAsia="Arial" w:hAnsi="Arial"/>
          <w:sz w:val="17"/>
          <w:szCs w:val="17"/>
          <w:color w:val="auto"/>
        </w:rPr>
        <w:t>The Bank had approximately $551 thousand of its impaired loans classified as troubled debt restructured (TDR) as of March 31, 2017, $0.7 million as of December 31, 2016 and $1.1 million as of March 31, 2016. During the year-to-date 2017, there were no new loans considered TDR.</w:t>
      </w:r>
    </w:p>
    <w:p>
      <w:pPr>
        <w:sectPr>
          <w:pgSz w:w="11900" w:h="16838" w:orient="portrait"/>
          <w:cols w:equalWidth="0" w:num="1">
            <w:col w:w="11280"/>
          </w:cols>
          <w:pgMar w:left="240" w:top="458" w:right="37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three months ended March 31, 2017.</w:t>
      </w:r>
    </w:p>
    <w:p>
      <w:pPr>
        <w:spacing w:after="0" w:line="200" w:lineRule="exact"/>
        <w:rPr>
          <w:sz w:val="20"/>
          <w:szCs w:val="20"/>
          <w:color w:val="auto"/>
        </w:rPr>
      </w:pPr>
    </w:p>
    <w:p>
      <w:pPr>
        <w:spacing w:after="0" w:line="31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Three Months</w:t>
      </w:r>
    </w:p>
    <w:p>
      <w:pPr>
        <w:ind w:left="920"/>
        <w:spacing w:after="0" w:line="220" w:lineRule="auto"/>
        <w:rPr>
          <w:sz w:val="20"/>
          <w:szCs w:val="20"/>
          <w:color w:val="auto"/>
        </w:rPr>
      </w:pPr>
      <w:r>
        <w:rPr>
          <w:rFonts w:ascii="Arial" w:cs="Arial" w:eastAsia="Arial" w:hAnsi="Arial"/>
          <w:sz w:val="14"/>
          <w:szCs w:val="14"/>
          <w:color w:val="auto"/>
        </w:rPr>
        <w:t>March 31, 2017</w:t>
      </w:r>
    </w:p>
    <w:p>
      <w:pPr>
        <w:ind w:left="920"/>
        <w:spacing w:after="0"/>
        <w:rPr>
          <w:sz w:val="20"/>
          <w:szCs w:val="20"/>
          <w:color w:val="auto"/>
        </w:rPr>
      </w:pPr>
      <w:r>
        <w:rPr>
          <w:rFonts w:ascii="Arial" w:cs="Arial" w:eastAsia="Arial" w:hAnsi="Arial"/>
          <w:sz w:val="14"/>
          <w:szCs w:val="14"/>
          <w:u w:val="single" w:color="auto"/>
          <w:color w:val="auto"/>
        </w:rPr>
        <w:t>Troubled Debt Restructurings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-121920</wp:posOffset>
            </wp:positionV>
            <wp:extent cx="608457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4570" cy="14541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13970</wp:posOffset>
            </wp:positionV>
            <wp:extent cx="6084570" cy="136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4570" cy="136525"/>
                    </a:xfrm>
                    <a:prstGeom prst="rect">
                      <a:avLst/>
                    </a:prstGeom>
                    <a:noFill/>
                  </pic:spPr>
                </pic:pic>
              </a:graphicData>
            </a:graphic>
          </wp:anchor>
        </w:drawing>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Consumer Real Estate</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three months ended March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auto"/>
                <w:w w:val="90"/>
              </w:rPr>
              <w:t>Pre-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color w:val="auto"/>
                <w:w w:val="91"/>
              </w:rPr>
              <w:t>Post-</w:t>
            </w:r>
          </w:p>
        </w:tc>
      </w:tr>
      <w:tr>
        <w:trPr>
          <w:trHeight w:val="148"/>
        </w:trPr>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w w:val="97"/>
              </w:rPr>
              <w:t>Number of</w:t>
            </w:r>
          </w:p>
        </w:tc>
        <w:tc>
          <w:tcPr>
            <w:tcW w:w="72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9"/>
              </w:rPr>
              <w:t>Modification</w:t>
            </w:r>
          </w:p>
        </w:tc>
        <w:tc>
          <w:tcPr>
            <w:tcW w:w="72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9"/>
              </w:rPr>
              <w:t>Modification</w:t>
            </w:r>
          </w:p>
        </w:tc>
      </w:tr>
      <w:tr>
        <w:trPr>
          <w:trHeight w:val="148"/>
        </w:trPr>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w w:val="93"/>
              </w:rPr>
              <w:t>Contracts</w:t>
            </w:r>
          </w:p>
        </w:tc>
        <w:tc>
          <w:tcPr>
            <w:tcW w:w="72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2"/>
              </w:rPr>
              <w:t>Outstanding</w:t>
            </w:r>
          </w:p>
        </w:tc>
        <w:tc>
          <w:tcPr>
            <w:tcW w:w="72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2"/>
              </w:rPr>
              <w:t>Outstanding</w:t>
            </w:r>
          </w:p>
        </w:tc>
      </w:tr>
      <w:tr>
        <w:trPr>
          <w:trHeight w:val="148"/>
        </w:trPr>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w w:val="96"/>
              </w:rPr>
              <w:t>Modified in the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7"/>
              <w:spacing w:after="0" w:line="148" w:lineRule="exact"/>
              <w:rPr>
                <w:sz w:val="20"/>
                <w:szCs w:val="20"/>
                <w:color w:val="auto"/>
              </w:rPr>
            </w:pPr>
            <w:r>
              <w:rPr>
                <w:rFonts w:ascii="Arial" w:cs="Arial" w:eastAsia="Arial" w:hAnsi="Arial"/>
                <w:sz w:val="14"/>
                <w:szCs w:val="14"/>
                <w:color w:val="auto"/>
                <w:w w:val="88"/>
              </w:rPr>
              <w:t>Recorded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7"/>
              <w:spacing w:after="0" w:line="148" w:lineRule="exact"/>
              <w:rPr>
                <w:sz w:val="20"/>
                <w:szCs w:val="20"/>
                <w:color w:val="auto"/>
              </w:rPr>
            </w:pPr>
            <w:r>
              <w:rPr>
                <w:rFonts w:ascii="Arial" w:cs="Arial" w:eastAsia="Arial" w:hAnsi="Arial"/>
                <w:sz w:val="14"/>
                <w:szCs w:val="14"/>
                <w:color w:val="auto"/>
                <w:w w:val="88"/>
              </w:rPr>
              <w:t>Recorded</w:t>
            </w:r>
          </w:p>
        </w:tc>
      </w:tr>
      <w:tr>
        <w:trPr>
          <w:trHeight w:val="16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Last 3 Months</w:t>
            </w:r>
          </w:p>
        </w:tc>
        <w:tc>
          <w:tcPr>
            <w:tcW w:w="7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Investment</w:t>
            </w:r>
          </w:p>
        </w:tc>
        <w:tc>
          <w:tcPr>
            <w:tcW w:w="7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Investment</w:t>
            </w:r>
          </w:p>
        </w:tc>
      </w:tr>
      <w:tr>
        <w:trPr>
          <w:trHeight w:val="194"/>
        </w:trPr>
        <w:tc>
          <w:tcPr>
            <w:tcW w:w="920" w:type="dxa"/>
            <w:vAlign w:val="bottom"/>
          </w:tcPr>
          <w:p>
            <w:pPr>
              <w:ind w:left="640"/>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380"/>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380"/>
              <w:spacing w:after="0" w:line="195" w:lineRule="exact"/>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584" w:lineRule="exact"/>
        <w:rPr>
          <w:sz w:val="20"/>
          <w:szCs w:val="20"/>
          <w:color w:val="auto"/>
        </w:rPr>
      </w:pPr>
    </w:p>
    <w:p>
      <w:pPr>
        <w:sectPr>
          <w:pgSz w:w="11900" w:h="16838" w:orient="portrait"/>
          <w:cols w:equalWidth="0" w:num="2">
            <w:col w:w="5860" w:space="720"/>
            <w:col w:w="4700"/>
          </w:cols>
          <w:pgMar w:left="240" w:top="458" w:right="379" w:bottom="1440" w:gutter="0" w:footer="0" w:header="0"/>
          <w:type w:val="continuous"/>
        </w:sectPr>
      </w:pPr>
    </w:p>
    <w:p>
      <w:pPr>
        <w:spacing w:after="0" w:line="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color w:val="auto"/>
                <w:w w:val="97"/>
              </w:rPr>
              <w:t>Number of</w:t>
            </w:r>
          </w:p>
        </w:tc>
        <w:tc>
          <w:tcPr>
            <w:tcW w:w="8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Post-</w:t>
            </w:r>
          </w:p>
        </w:tc>
        <w:tc>
          <w:tcPr>
            <w:tcW w:w="0" w:type="dxa"/>
            <w:vAlign w:val="bottom"/>
          </w:tcPr>
          <w:p>
            <w:pPr>
              <w:spacing w:after="0"/>
              <w:rPr>
                <w:sz w:val="1"/>
                <w:szCs w:val="1"/>
                <w:color w:val="auto"/>
              </w:rPr>
            </w:pPr>
          </w:p>
        </w:tc>
      </w:tr>
      <w:tr>
        <w:trPr>
          <w:trHeight w:val="148"/>
        </w:trPr>
        <w:tc>
          <w:tcPr>
            <w:tcW w:w="6040" w:type="dxa"/>
            <w:vAlign w:val="bottom"/>
            <w:gridSpan w:val="2"/>
            <w:vMerge w:val="restart"/>
          </w:tcPr>
          <w:p>
            <w:pPr>
              <w:spacing w:after="0"/>
              <w:rPr>
                <w:sz w:val="20"/>
                <w:szCs w:val="20"/>
                <w:color w:val="auto"/>
              </w:rPr>
            </w:pPr>
            <w:r>
              <w:rPr>
                <w:rFonts w:ascii="Arial" w:cs="Arial" w:eastAsia="Arial" w:hAnsi="Arial"/>
                <w:sz w:val="14"/>
                <w:szCs w:val="14"/>
                <w:color w:val="auto"/>
              </w:rPr>
              <w:t>Three Months</w:t>
            </w:r>
          </w:p>
        </w:tc>
        <w:tc>
          <w:tcPr>
            <w:tcW w:w="1320" w:type="dxa"/>
            <w:vAlign w:val="bottom"/>
            <w:gridSpan w:val="2"/>
          </w:tcPr>
          <w:p>
            <w:pPr>
              <w:jc w:val="center"/>
              <w:ind w:right="680"/>
              <w:spacing w:after="0" w:line="148" w:lineRule="exact"/>
              <w:rPr>
                <w:sz w:val="20"/>
                <w:szCs w:val="20"/>
                <w:color w:val="auto"/>
              </w:rPr>
            </w:pPr>
            <w:r>
              <w:rPr>
                <w:rFonts w:ascii="Arial" w:cs="Arial" w:eastAsia="Arial" w:hAnsi="Arial"/>
                <w:sz w:val="14"/>
                <w:szCs w:val="14"/>
                <w:color w:val="auto"/>
                <w:w w:val="93"/>
              </w:rPr>
              <w:t>Contracts</w:t>
            </w:r>
          </w:p>
        </w:tc>
        <w:tc>
          <w:tcPr>
            <w:tcW w:w="1420" w:type="dxa"/>
            <w:vAlign w:val="bottom"/>
            <w:gridSpan w:val="3"/>
          </w:tcPr>
          <w:p>
            <w:pPr>
              <w:jc w:val="center"/>
              <w:ind w:right="680"/>
              <w:spacing w:after="0" w:line="148" w:lineRule="exact"/>
              <w:rPr>
                <w:sz w:val="20"/>
                <w:szCs w:val="20"/>
                <w:color w:val="auto"/>
              </w:rPr>
            </w:pPr>
            <w:r>
              <w:rPr>
                <w:rFonts w:ascii="Arial" w:cs="Arial" w:eastAsia="Arial" w:hAnsi="Arial"/>
                <w:sz w:val="14"/>
                <w:szCs w:val="14"/>
                <w:color w:val="auto"/>
                <w:w w:val="99"/>
              </w:rPr>
              <w:t>Modification</w:t>
            </w:r>
          </w:p>
        </w:tc>
        <w:tc>
          <w:tcPr>
            <w:tcW w:w="800" w:type="dxa"/>
            <w:vAlign w:val="bottom"/>
            <w:gridSpan w:val="3"/>
          </w:tcPr>
          <w:p>
            <w:pPr>
              <w:jc w:val="center"/>
              <w:ind w:right="60"/>
              <w:spacing w:after="0" w:line="148" w:lineRule="exact"/>
              <w:rPr>
                <w:sz w:val="20"/>
                <w:szCs w:val="20"/>
                <w:color w:val="auto"/>
              </w:rPr>
            </w:pPr>
            <w:r>
              <w:rPr>
                <w:rFonts w:ascii="Arial" w:cs="Arial" w:eastAsia="Arial" w:hAnsi="Arial"/>
                <w:sz w:val="14"/>
                <w:szCs w:val="14"/>
                <w:color w:val="auto"/>
                <w:w w:val="99"/>
              </w:rPr>
              <w:t>Modification</w:t>
            </w:r>
          </w:p>
        </w:tc>
        <w:tc>
          <w:tcPr>
            <w:tcW w:w="0" w:type="dxa"/>
            <w:vAlign w:val="bottom"/>
          </w:tcPr>
          <w:p>
            <w:pPr>
              <w:spacing w:after="0"/>
              <w:rPr>
                <w:sz w:val="1"/>
                <w:szCs w:val="1"/>
                <w:color w:val="auto"/>
              </w:rPr>
            </w:pPr>
          </w:p>
        </w:tc>
      </w:tr>
      <w:tr>
        <w:trPr>
          <w:trHeight w:val="140"/>
        </w:trPr>
        <w:tc>
          <w:tcPr>
            <w:tcW w:w="6040" w:type="dxa"/>
            <w:vAlign w:val="bottom"/>
            <w:gridSpan w:val="2"/>
            <w:vMerge w:val="continue"/>
          </w:tcPr>
          <w:p>
            <w:pPr>
              <w:spacing w:after="0"/>
              <w:rPr>
                <w:sz w:val="12"/>
                <w:szCs w:val="12"/>
                <w:color w:val="auto"/>
              </w:rPr>
            </w:pPr>
          </w:p>
        </w:tc>
        <w:tc>
          <w:tcPr>
            <w:tcW w:w="1320" w:type="dxa"/>
            <w:vAlign w:val="bottom"/>
            <w:gridSpan w:val="2"/>
          </w:tcPr>
          <w:p>
            <w:pPr>
              <w:jc w:val="center"/>
              <w:ind w:right="680"/>
              <w:spacing w:after="0" w:line="140" w:lineRule="exact"/>
              <w:rPr>
                <w:sz w:val="20"/>
                <w:szCs w:val="20"/>
                <w:color w:val="auto"/>
              </w:rPr>
            </w:pPr>
            <w:r>
              <w:rPr>
                <w:rFonts w:ascii="Arial" w:cs="Arial" w:eastAsia="Arial" w:hAnsi="Arial"/>
                <w:sz w:val="14"/>
                <w:szCs w:val="14"/>
                <w:color w:val="auto"/>
                <w:w w:val="98"/>
              </w:rPr>
              <w:t>Modified</w:t>
            </w:r>
          </w:p>
        </w:tc>
        <w:tc>
          <w:tcPr>
            <w:tcW w:w="1420" w:type="dxa"/>
            <w:vAlign w:val="bottom"/>
            <w:gridSpan w:val="3"/>
          </w:tcPr>
          <w:p>
            <w:pPr>
              <w:jc w:val="center"/>
              <w:ind w:right="680"/>
              <w:spacing w:after="0" w:line="140" w:lineRule="exact"/>
              <w:rPr>
                <w:sz w:val="20"/>
                <w:szCs w:val="20"/>
                <w:color w:val="auto"/>
              </w:rPr>
            </w:pPr>
            <w:r>
              <w:rPr>
                <w:rFonts w:ascii="Arial" w:cs="Arial" w:eastAsia="Arial" w:hAnsi="Arial"/>
                <w:sz w:val="14"/>
                <w:szCs w:val="14"/>
                <w:color w:val="auto"/>
                <w:w w:val="92"/>
              </w:rPr>
              <w:t>Outstanding</w:t>
            </w:r>
          </w:p>
        </w:tc>
        <w:tc>
          <w:tcPr>
            <w:tcW w:w="80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8"/>
        </w:trPr>
        <w:tc>
          <w:tcPr>
            <w:tcW w:w="6040" w:type="dxa"/>
            <w:vAlign w:val="bottom"/>
            <w:gridSpan w:val="2"/>
          </w:tcPr>
          <w:p>
            <w:pPr>
              <w:spacing w:after="0" w:line="148" w:lineRule="exact"/>
              <w:rPr>
                <w:sz w:val="20"/>
                <w:szCs w:val="20"/>
                <w:color w:val="auto"/>
              </w:rPr>
            </w:pPr>
            <w:r>
              <w:rPr>
                <w:rFonts w:ascii="Arial" w:cs="Arial" w:eastAsia="Arial" w:hAnsi="Arial"/>
                <w:sz w:val="14"/>
                <w:szCs w:val="14"/>
                <w:color w:val="auto"/>
              </w:rPr>
              <w:t>March 31, 2016</w:t>
            </w:r>
          </w:p>
        </w:tc>
        <w:tc>
          <w:tcPr>
            <w:tcW w:w="1320" w:type="dxa"/>
            <w:vAlign w:val="bottom"/>
            <w:gridSpan w:val="2"/>
          </w:tcPr>
          <w:p>
            <w:pPr>
              <w:jc w:val="center"/>
              <w:ind w:right="680"/>
              <w:spacing w:after="0" w:line="148" w:lineRule="exact"/>
              <w:rPr>
                <w:sz w:val="20"/>
                <w:szCs w:val="20"/>
                <w:color w:val="auto"/>
              </w:rPr>
            </w:pPr>
            <w:r>
              <w:rPr>
                <w:rFonts w:ascii="Arial" w:cs="Arial" w:eastAsia="Arial" w:hAnsi="Arial"/>
                <w:sz w:val="14"/>
                <w:szCs w:val="14"/>
                <w:color w:val="auto"/>
                <w:w w:val="92"/>
              </w:rPr>
              <w:t>in the Last</w:t>
            </w:r>
          </w:p>
        </w:tc>
        <w:tc>
          <w:tcPr>
            <w:tcW w:w="80" w:type="dxa"/>
            <w:vAlign w:val="bottom"/>
          </w:tcPr>
          <w:p>
            <w:pPr>
              <w:spacing w:after="0"/>
              <w:rPr>
                <w:sz w:val="12"/>
                <w:szCs w:val="12"/>
                <w:color w:val="auto"/>
              </w:rPr>
            </w:pPr>
          </w:p>
        </w:tc>
        <w:tc>
          <w:tcPr>
            <w:tcW w:w="1340" w:type="dxa"/>
            <w:vAlign w:val="bottom"/>
            <w:gridSpan w:val="2"/>
          </w:tcPr>
          <w:p>
            <w:pPr>
              <w:jc w:val="center"/>
              <w:ind w:right="760"/>
              <w:spacing w:after="0" w:line="148" w:lineRule="exact"/>
              <w:rPr>
                <w:sz w:val="20"/>
                <w:szCs w:val="20"/>
                <w:color w:val="auto"/>
              </w:rPr>
            </w:pPr>
            <w:r>
              <w:rPr>
                <w:rFonts w:ascii="Arial" w:cs="Arial" w:eastAsia="Arial" w:hAnsi="Arial"/>
                <w:sz w:val="14"/>
                <w:szCs w:val="14"/>
                <w:color w:val="auto"/>
                <w:w w:val="88"/>
              </w:rPr>
              <w:t>Recorded</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w w:val="88"/>
              </w:rPr>
              <w:t>Recorded</w:t>
            </w:r>
          </w:p>
        </w:tc>
        <w:tc>
          <w:tcPr>
            <w:tcW w:w="0" w:type="dxa"/>
            <w:vAlign w:val="bottom"/>
          </w:tcPr>
          <w:p>
            <w:pPr>
              <w:spacing w:after="0"/>
              <w:rPr>
                <w:sz w:val="1"/>
                <w:szCs w:val="1"/>
                <w:color w:val="auto"/>
              </w:rPr>
            </w:pPr>
          </w:p>
        </w:tc>
      </w:tr>
      <w:tr>
        <w:trPr>
          <w:trHeight w:val="148"/>
        </w:trPr>
        <w:tc>
          <w:tcPr>
            <w:tcW w:w="6040" w:type="dxa"/>
            <w:vAlign w:val="bottom"/>
            <w:gridSpan w:val="2"/>
          </w:tcPr>
          <w:p>
            <w:pPr>
              <w:spacing w:after="0" w:line="128" w:lineRule="exact"/>
              <w:rPr>
                <w:sz w:val="20"/>
                <w:szCs w:val="20"/>
                <w:color w:val="auto"/>
              </w:rPr>
            </w:pPr>
            <w:r>
              <w:rPr>
                <w:rFonts w:ascii="Arial" w:cs="Arial" w:eastAsia="Arial" w:hAnsi="Arial"/>
                <w:sz w:val="14"/>
                <w:szCs w:val="14"/>
                <w:color w:val="auto"/>
              </w:rPr>
              <w:t>Troubled Debt Restructurings</w:t>
            </w:r>
          </w:p>
        </w:tc>
        <w:tc>
          <w:tcPr>
            <w:tcW w:w="1320" w:type="dxa"/>
            <w:vAlign w:val="bottom"/>
            <w:gridSpan w:val="2"/>
          </w:tcPr>
          <w:p>
            <w:pPr>
              <w:jc w:val="center"/>
              <w:ind w:right="680"/>
              <w:spacing w:after="0" w:line="128" w:lineRule="exact"/>
              <w:rPr>
                <w:sz w:val="20"/>
                <w:szCs w:val="20"/>
                <w:color w:val="auto"/>
              </w:rPr>
            </w:pPr>
            <w:r>
              <w:rPr>
                <w:rFonts w:ascii="Arial" w:cs="Arial" w:eastAsia="Arial" w:hAnsi="Arial"/>
                <w:sz w:val="14"/>
                <w:szCs w:val="14"/>
                <w:color w:val="auto"/>
                <w:w w:val="97"/>
              </w:rPr>
              <w:t>3 Months</w:t>
            </w:r>
          </w:p>
        </w:tc>
        <w:tc>
          <w:tcPr>
            <w:tcW w:w="1420" w:type="dxa"/>
            <w:vAlign w:val="bottom"/>
            <w:gridSpan w:val="3"/>
          </w:tcPr>
          <w:p>
            <w:pPr>
              <w:jc w:val="center"/>
              <w:ind w:right="700"/>
              <w:spacing w:after="0" w:line="128" w:lineRule="exact"/>
              <w:rPr>
                <w:sz w:val="20"/>
                <w:szCs w:val="20"/>
                <w:color w:val="auto"/>
              </w:rPr>
            </w:pPr>
            <w:r>
              <w:rPr>
                <w:rFonts w:ascii="Arial" w:cs="Arial" w:eastAsia="Arial" w:hAnsi="Arial"/>
                <w:sz w:val="14"/>
                <w:szCs w:val="14"/>
                <w:color w:val="auto"/>
                <w:w w:val="93"/>
              </w:rPr>
              <w:t>Investment</w:t>
            </w:r>
          </w:p>
        </w:tc>
        <w:tc>
          <w:tcPr>
            <w:tcW w:w="800" w:type="dxa"/>
            <w:vAlign w:val="bottom"/>
            <w:gridSpan w:val="3"/>
          </w:tcPr>
          <w:p>
            <w:pPr>
              <w:jc w:val="center"/>
              <w:ind w:right="40"/>
              <w:spacing w:after="0" w:line="128" w:lineRule="exact"/>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Commercial Real Estate</w:t>
            </w:r>
          </w:p>
        </w:tc>
        <w:tc>
          <w:tcPr>
            <w:tcW w:w="6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line="195"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4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 period ended March 31, 2017 and 2016, there were no TDRs that subsequently defaulted after modification.</w:t>
      </w:r>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8" w:right="3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loans individually evaluated for impairment by class of loans for three months ended March 31, 2017 and March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300"/>
              <w:spacing w:after="0" w:line="148" w:lineRule="exact"/>
              <w:rPr>
                <w:sz w:val="20"/>
                <w:szCs w:val="20"/>
                <w:color w:val="auto"/>
              </w:rPr>
            </w:pPr>
            <w:r>
              <w:rPr>
                <w:rFonts w:ascii="Arial" w:cs="Arial" w:eastAsia="Arial" w:hAnsi="Arial"/>
                <w:sz w:val="14"/>
                <w:szCs w:val="14"/>
                <w:color w:val="auto"/>
              </w:rPr>
              <w:t>QTD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200"/>
              <w:spacing w:after="0" w:line="148" w:lineRule="exact"/>
              <w:rPr>
                <w:sz w:val="20"/>
                <w:szCs w:val="20"/>
                <w:color w:val="auto"/>
              </w:rPr>
            </w:pPr>
            <w:r>
              <w:rPr>
                <w:rFonts w:ascii="Arial" w:cs="Arial" w:eastAsia="Arial" w:hAnsi="Arial"/>
                <w:sz w:val="14"/>
                <w:szCs w:val="14"/>
                <w:color w:val="auto"/>
                <w:w w:val="94"/>
              </w:rPr>
              <w:t>Unpaid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3"/>
          </w:tcPr>
          <w:p>
            <w:pPr>
              <w:jc w:val="center"/>
              <w:ind w:right="160"/>
              <w:spacing w:after="0" w:line="148" w:lineRule="exact"/>
              <w:rPr>
                <w:sz w:val="20"/>
                <w:szCs w:val="20"/>
                <w:color w:val="auto"/>
              </w:rPr>
            </w:pPr>
            <w:r>
              <w:rPr>
                <w:rFonts w:ascii="Arial" w:cs="Arial" w:eastAsia="Arial" w:hAnsi="Arial"/>
                <w:sz w:val="14"/>
                <w:szCs w:val="14"/>
                <w:color w:val="auto"/>
                <w:w w:val="88"/>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20" w:type="dxa"/>
            <w:vAlign w:val="bottom"/>
            <w:gridSpan w:val="3"/>
          </w:tcPr>
          <w:p>
            <w:pPr>
              <w:ind w:left="40"/>
              <w:spacing w:after="0" w:line="148" w:lineRule="exact"/>
              <w:rPr>
                <w:sz w:val="20"/>
                <w:szCs w:val="20"/>
                <w:color w:val="auto"/>
              </w:rPr>
            </w:pPr>
            <w:r>
              <w:rPr>
                <w:rFonts w:ascii="Arial" w:cs="Arial" w:eastAsia="Arial" w:hAnsi="Arial"/>
                <w:sz w:val="14"/>
                <w:szCs w:val="14"/>
                <w:color w:val="auto"/>
              </w:rPr>
              <w:t>Recorded</w:t>
            </w:r>
          </w:p>
        </w:tc>
        <w:tc>
          <w:tcPr>
            <w:tcW w:w="180" w:type="dxa"/>
            <w:vAlign w:val="bottom"/>
          </w:tcPr>
          <w:p>
            <w:pPr>
              <w:spacing w:after="0"/>
              <w:rPr>
                <w:sz w:val="12"/>
                <w:szCs w:val="12"/>
                <w:color w:val="auto"/>
              </w:rPr>
            </w:pPr>
          </w:p>
        </w:tc>
        <w:tc>
          <w:tcPr>
            <w:tcW w:w="700" w:type="dxa"/>
            <w:vAlign w:val="bottom"/>
            <w:gridSpan w:val="3"/>
          </w:tcPr>
          <w:p>
            <w:pPr>
              <w:jc w:val="center"/>
              <w:ind w:right="180"/>
              <w:spacing w:after="0" w:line="148" w:lineRule="exact"/>
              <w:rPr>
                <w:sz w:val="20"/>
                <w:szCs w:val="20"/>
                <w:color w:val="auto"/>
              </w:rPr>
            </w:pPr>
            <w:r>
              <w:rPr>
                <w:rFonts w:ascii="Arial" w:cs="Arial" w:eastAsia="Arial" w:hAnsi="Arial"/>
                <w:sz w:val="14"/>
                <w:szCs w:val="14"/>
                <w:color w:val="auto"/>
                <w:w w:val="96"/>
              </w:rPr>
              <w:t>Principal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4"/>
                <w:szCs w:val="14"/>
                <w:color w:val="auto"/>
              </w:rPr>
              <w:t>Related</w:t>
            </w:r>
          </w:p>
        </w:tc>
        <w:tc>
          <w:tcPr>
            <w:tcW w:w="820" w:type="dxa"/>
            <w:vAlign w:val="bottom"/>
            <w:gridSpan w:val="3"/>
          </w:tcPr>
          <w:p>
            <w:pPr>
              <w:jc w:val="center"/>
              <w:ind w:right="160"/>
              <w:spacing w:after="0" w:line="148" w:lineRule="exact"/>
              <w:rPr>
                <w:sz w:val="20"/>
                <w:szCs w:val="20"/>
                <w:color w:val="auto"/>
              </w:rPr>
            </w:pPr>
            <w:r>
              <w:rPr>
                <w:rFonts w:ascii="Arial" w:cs="Arial" w:eastAsia="Arial" w:hAnsi="Arial"/>
                <w:sz w:val="14"/>
                <w:szCs w:val="14"/>
                <w:color w:val="auto"/>
                <w:w w:val="88"/>
              </w:rPr>
              <w:t>Recorded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8"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5800" w:type="dxa"/>
            <w:vAlign w:val="bottom"/>
            <w:gridSpan w:val="2"/>
          </w:tcPr>
          <w:p>
            <w:pPr>
              <w:spacing w:after="0"/>
              <w:rPr>
                <w:sz w:val="20"/>
                <w:szCs w:val="20"/>
                <w:color w:val="auto"/>
              </w:rPr>
            </w:pPr>
            <w:r>
              <w:rPr>
                <w:rFonts w:ascii="Arial" w:cs="Arial" w:eastAsia="Arial" w:hAnsi="Arial"/>
                <w:sz w:val="14"/>
                <w:szCs w:val="14"/>
                <w:color w:val="auto"/>
              </w:rPr>
              <w:t>Three Months Ended March 31, 2017</w:t>
            </w: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Balance</w:t>
            </w: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Allowance</w:t>
            </w: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With no related allowance recorded:</w:t>
            </w: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998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1,081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1,097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496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498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33</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116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8"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520"/>
              <w:spacing w:after="0" w:line="148" w:lineRule="exact"/>
              <w:rPr>
                <w:sz w:val="20"/>
                <w:szCs w:val="20"/>
                <w:color w:val="auto"/>
              </w:rPr>
            </w:pPr>
            <w:r>
              <w:rPr>
                <w:rFonts w:ascii="Arial" w:cs="Arial" w:eastAsia="Arial" w:hAnsi="Arial"/>
                <w:sz w:val="14"/>
                <w:szCs w:val="14"/>
                <w:color w:val="auto"/>
              </w:rPr>
              <w:t>QTD</w:t>
            </w:r>
          </w:p>
        </w:tc>
        <w:tc>
          <w:tcPr>
            <w:tcW w:w="120" w:type="dxa"/>
            <w:vAlign w:val="bottom"/>
          </w:tcPr>
          <w:p>
            <w:pPr>
              <w:spacing w:after="0"/>
              <w:rPr>
                <w:sz w:val="12"/>
                <w:szCs w:val="12"/>
                <w:color w:val="auto"/>
              </w:rPr>
            </w:pPr>
          </w:p>
        </w:tc>
        <w:tc>
          <w:tcPr>
            <w:tcW w:w="98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ind w:left="40"/>
              <w:spacing w:after="0" w:line="148"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0"/>
              <w:spacing w:after="0" w:line="148" w:lineRule="exact"/>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2"/>
                <w:szCs w:val="12"/>
                <w:color w:val="auto"/>
              </w:rPr>
            </w:pPr>
          </w:p>
        </w:tc>
        <w:tc>
          <w:tcPr>
            <w:tcW w:w="9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60" w:type="dxa"/>
            <w:vAlign w:val="bottom"/>
            <w:gridSpan w:val="3"/>
          </w:tcPr>
          <w:p>
            <w:pPr>
              <w:ind w:left="60"/>
              <w:spacing w:after="0" w:line="148" w:lineRule="exact"/>
              <w:rPr>
                <w:sz w:val="20"/>
                <w:szCs w:val="20"/>
                <w:color w:val="auto"/>
              </w:rPr>
            </w:pPr>
            <w:r>
              <w:rPr>
                <w:rFonts w:ascii="Arial" w:cs="Arial" w:eastAsia="Arial" w:hAnsi="Arial"/>
                <w:sz w:val="14"/>
                <w:szCs w:val="14"/>
                <w:color w:val="auto"/>
              </w:rPr>
              <w:t>Recorded</w:t>
            </w:r>
          </w:p>
        </w:tc>
        <w:tc>
          <w:tcPr>
            <w:tcW w:w="920" w:type="dxa"/>
            <w:vAlign w:val="bottom"/>
            <w:gridSpan w:val="3"/>
          </w:tcPr>
          <w:p>
            <w:pPr>
              <w:spacing w:after="0" w:line="148"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740" w:type="dxa"/>
            <w:vAlign w:val="bottom"/>
            <w:gridSpan w:val="2"/>
          </w:tcPr>
          <w:p>
            <w:pPr>
              <w:spacing w:after="0" w:line="148" w:lineRule="exact"/>
              <w:rPr>
                <w:sz w:val="20"/>
                <w:szCs w:val="20"/>
                <w:color w:val="auto"/>
              </w:rPr>
            </w:pPr>
            <w:r>
              <w:rPr>
                <w:rFonts w:ascii="Arial" w:cs="Arial" w:eastAsia="Arial" w:hAnsi="Arial"/>
                <w:sz w:val="14"/>
                <w:szCs w:val="14"/>
                <w:color w:val="auto"/>
              </w:rPr>
              <w:t>Related</w:t>
            </w:r>
          </w:p>
        </w:tc>
        <w:tc>
          <w:tcPr>
            <w:tcW w:w="200" w:type="dxa"/>
            <w:vAlign w:val="bottom"/>
          </w:tcPr>
          <w:p>
            <w:pPr>
              <w:spacing w:after="0"/>
              <w:rPr>
                <w:sz w:val="12"/>
                <w:szCs w:val="12"/>
                <w:color w:val="auto"/>
              </w:rPr>
            </w:pPr>
          </w:p>
        </w:tc>
        <w:tc>
          <w:tcPr>
            <w:tcW w:w="1040" w:type="dxa"/>
            <w:vAlign w:val="bottom"/>
            <w:gridSpan w:val="3"/>
          </w:tcPr>
          <w:p>
            <w:pPr>
              <w:jc w:val="center"/>
              <w:ind w:right="400"/>
              <w:spacing w:after="0" w:line="148" w:lineRule="exact"/>
              <w:rPr>
                <w:sz w:val="20"/>
                <w:szCs w:val="20"/>
                <w:color w:val="auto"/>
              </w:rPr>
            </w:pPr>
            <w:r>
              <w:rPr>
                <w:rFonts w:ascii="Arial" w:cs="Arial" w:eastAsia="Arial" w:hAnsi="Arial"/>
                <w:sz w:val="14"/>
                <w:szCs w:val="14"/>
                <w:color w:val="auto"/>
                <w:w w:val="92"/>
              </w:rPr>
              <w:t>Recorded</w:t>
            </w:r>
          </w:p>
        </w:tc>
        <w:tc>
          <w:tcPr>
            <w:tcW w:w="120" w:type="dxa"/>
            <w:vAlign w:val="bottom"/>
          </w:tcPr>
          <w:p>
            <w:pPr>
              <w:spacing w:after="0"/>
              <w:rPr>
                <w:sz w:val="12"/>
                <w:szCs w:val="12"/>
                <w:color w:val="auto"/>
              </w:rPr>
            </w:pPr>
          </w:p>
        </w:tc>
        <w:tc>
          <w:tcPr>
            <w:tcW w:w="9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8"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5520" w:type="dxa"/>
            <w:vAlign w:val="bottom"/>
            <w:gridSpan w:val="2"/>
          </w:tcPr>
          <w:p>
            <w:pPr>
              <w:spacing w:after="0"/>
              <w:rPr>
                <w:sz w:val="20"/>
                <w:szCs w:val="20"/>
                <w:color w:val="auto"/>
              </w:rPr>
            </w:pPr>
            <w:r>
              <w:rPr>
                <w:rFonts w:ascii="Arial" w:cs="Arial" w:eastAsia="Arial" w:hAnsi="Arial"/>
                <w:sz w:val="14"/>
                <w:szCs w:val="14"/>
                <w:color w:val="auto"/>
              </w:rPr>
              <w:t>Three Months Ended March 31, 2016</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84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With no related allowance recorded:</w:t>
            </w: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156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24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79"/>
              </w:rPr>
              <w:t>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79"/>
              </w:rPr>
              <w:t>38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104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463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937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181</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239</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113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636</w:t>
            </w:r>
          </w:p>
        </w:tc>
        <w:tc>
          <w:tcPr>
            <w:tcW w:w="4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8"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As of March 31, 2017, the Company had $169 thousand of foreclosed residential real estate property obtained by physical possession and $190 thousand of consumer mortgage loans secured by residential real estate properties for which foreclosure proceedings are in process according to local jurisdictions. As of March 31, 2016, the Company had $456 thousand of foreclosed residential real estate property obtained by physical possession and $568 thousand of consumer mortgage loans secured by residential real estate properties for which foreclosure proceedings are in process according to local jurisdictions.</w:t>
      </w:r>
    </w:p>
    <w:p>
      <w:pPr>
        <w:spacing w:after="0" w:line="15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00" w:type="dxa"/>
            <w:vAlign w:val="bottom"/>
            <w:gridSpan w:val="3"/>
          </w:tcPr>
          <w:p>
            <w:pPr>
              <w:spacing w:after="0" w:line="123" w:lineRule="exact"/>
              <w:rPr>
                <w:sz w:val="20"/>
                <w:szCs w:val="20"/>
                <w:color w:val="auto"/>
              </w:rPr>
            </w:pPr>
            <w:r>
              <w:rPr>
                <w:rFonts w:ascii="Arial" w:cs="Arial" w:eastAsia="Arial" w:hAnsi="Arial"/>
                <w:sz w:val="14"/>
                <w:szCs w:val="14"/>
                <w:color w:val="auto"/>
                <w:w w:val="97"/>
              </w:rPr>
              <w:t>Three Months Ended</w:t>
            </w:r>
          </w:p>
        </w:tc>
        <w:tc>
          <w:tcPr>
            <w:tcW w:w="920" w:type="dxa"/>
            <w:vAlign w:val="bottom"/>
          </w:tcPr>
          <w:p>
            <w:pPr>
              <w:spacing w:after="0"/>
              <w:rPr>
                <w:sz w:val="10"/>
                <w:szCs w:val="10"/>
                <w:color w:val="auto"/>
              </w:rPr>
            </w:pPr>
          </w:p>
        </w:tc>
        <w:tc>
          <w:tcPr>
            <w:tcW w:w="1300" w:type="dxa"/>
            <w:vAlign w:val="bottom"/>
            <w:gridSpan w:val="2"/>
          </w:tcPr>
          <w:p>
            <w:pPr>
              <w:spacing w:after="0" w:line="123" w:lineRule="exact"/>
              <w:rPr>
                <w:sz w:val="20"/>
                <w:szCs w:val="20"/>
                <w:color w:val="auto"/>
              </w:rPr>
            </w:pPr>
            <w:r>
              <w:rPr>
                <w:rFonts w:ascii="Arial" w:cs="Arial" w:eastAsia="Arial" w:hAnsi="Arial"/>
                <w:sz w:val="14"/>
                <w:szCs w:val="14"/>
                <w:color w:val="auto"/>
                <w:w w:val="92"/>
              </w:rPr>
              <w:t>Twelve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March 31, 2017</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December 31,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Allowance for Loan &amp; Lease Losses</w:t>
            </w: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Balance at beginning of year</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6,784</w:t>
            </w:r>
          </w:p>
        </w:tc>
        <w:tc>
          <w:tcPr>
            <w:tcW w:w="100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Loan Commitments &amp;</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Letters of Credit</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000" w:type="dxa"/>
            <w:vAlign w:val="bottom"/>
            <w:gridSpan w:val="2"/>
          </w:tcPr>
          <w:p>
            <w:pPr>
              <w:ind w:left="92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70"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458"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56"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7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March 31, 2017 and March 31, 2016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Unfunded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4"/>
                <w:szCs w:val="14"/>
                <w:color w:val="auto"/>
                <w:w w:val="96"/>
              </w:rPr>
              <w:t>Loan</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60"/>
              <w:spacing w:after="0" w:line="148" w:lineRule="exact"/>
              <w:rPr>
                <w:sz w:val="20"/>
                <w:szCs w:val="20"/>
                <w:color w:val="auto"/>
              </w:rPr>
            </w:pPr>
            <w:r>
              <w:rPr>
                <w:rFonts w:ascii="Arial" w:cs="Arial" w:eastAsia="Arial" w:hAnsi="Arial"/>
                <w:sz w:val="14"/>
                <w:szCs w:val="14"/>
                <w:color w:val="auto"/>
                <w:w w:val="95"/>
              </w:rPr>
              <w:t>Commitment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820" w:type="dxa"/>
            <w:vAlign w:val="bottom"/>
            <w:gridSpan w:val="3"/>
          </w:tcPr>
          <w:p>
            <w:pPr>
              <w:ind w:left="40"/>
              <w:spacing w:after="0" w:line="148" w:lineRule="exact"/>
              <w:rPr>
                <w:sz w:val="20"/>
                <w:szCs w:val="20"/>
                <w:color w:val="auto"/>
              </w:rPr>
            </w:pPr>
            <w:r>
              <w:rPr>
                <w:rFonts w:ascii="Arial" w:cs="Arial" w:eastAsia="Arial" w:hAnsi="Arial"/>
                <w:sz w:val="14"/>
                <w:szCs w:val="14"/>
                <w:color w:val="auto"/>
              </w:rPr>
              <w:t>Consumer</w:t>
            </w:r>
          </w:p>
        </w:tc>
        <w:tc>
          <w:tcPr>
            <w:tcW w:w="760" w:type="dxa"/>
            <w:vAlign w:val="bottom"/>
            <w:gridSpan w:val="3"/>
          </w:tcPr>
          <w:p>
            <w:pPr>
              <w:ind w:left="20"/>
              <w:spacing w:after="0" w:line="148" w:lineRule="exact"/>
              <w:rPr>
                <w:sz w:val="20"/>
                <w:szCs w:val="20"/>
                <w:color w:val="auto"/>
              </w:rPr>
            </w:pPr>
            <w:r>
              <w:rPr>
                <w:rFonts w:ascii="Arial" w:cs="Arial" w:eastAsia="Arial" w:hAnsi="Arial"/>
                <w:sz w:val="14"/>
                <w:szCs w:val="14"/>
                <w:color w:val="auto"/>
              </w:rPr>
              <w:t>Agricultural</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color w:val="auto"/>
              </w:rPr>
              <w:t>Commercial</w:t>
            </w:r>
          </w:p>
        </w:tc>
        <w:tc>
          <w:tcPr>
            <w:tcW w:w="40" w:type="dxa"/>
            <w:vAlign w:val="bottom"/>
          </w:tcPr>
          <w:p>
            <w:pPr>
              <w:spacing w:after="0"/>
              <w:rPr>
                <w:sz w:val="12"/>
                <w:szCs w:val="12"/>
                <w:color w:val="auto"/>
              </w:rPr>
            </w:pPr>
          </w:p>
        </w:tc>
        <w:tc>
          <w:tcPr>
            <w:tcW w:w="960" w:type="dxa"/>
            <w:vAlign w:val="bottom"/>
            <w:gridSpan w:val="3"/>
          </w:tcPr>
          <w:p>
            <w:pPr>
              <w:ind w:left="40"/>
              <w:spacing w:after="0" w:line="14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80"/>
              <w:spacing w:after="0" w:line="148" w:lineRule="exact"/>
              <w:rPr>
                <w:sz w:val="20"/>
                <w:szCs w:val="20"/>
                <w:color w:val="auto"/>
              </w:rPr>
            </w:pPr>
            <w:r>
              <w:rPr>
                <w:rFonts w:ascii="Arial" w:cs="Arial" w:eastAsia="Arial" w:hAnsi="Arial"/>
                <w:sz w:val="14"/>
                <w:szCs w:val="14"/>
                <w:color w:val="auto"/>
                <w:w w:val="97"/>
              </w:rPr>
              <w:t>&amp; Letters of</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760" w:type="dxa"/>
            <w:vAlign w:val="bottom"/>
            <w:gridSpan w:val="3"/>
          </w:tcPr>
          <w:p>
            <w:pPr>
              <w:ind w:left="40"/>
              <w:spacing w:after="0"/>
              <w:rPr>
                <w:sz w:val="20"/>
                <w:szCs w:val="20"/>
                <w:color w:val="auto"/>
              </w:rPr>
            </w:pPr>
            <w:r>
              <w:rPr>
                <w:rFonts w:ascii="Arial" w:cs="Arial" w:eastAsia="Arial" w:hAnsi="Arial"/>
                <w:sz w:val="14"/>
                <w:szCs w:val="14"/>
                <w:color w:val="auto"/>
                <w:w w:val="96"/>
              </w:rPr>
              <w:t>Real Estate</w:t>
            </w:r>
          </w:p>
        </w:tc>
        <w:tc>
          <w:tcPr>
            <w:tcW w:w="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Real Estate</w:t>
            </w:r>
          </w:p>
        </w:tc>
        <w:tc>
          <w:tcPr>
            <w:tcW w:w="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0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Credit</w:t>
            </w:r>
          </w:p>
        </w:tc>
        <w:tc>
          <w:tcPr>
            <w:tcW w:w="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Three Months Ended March 31, 2017</w:t>
            </w: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241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616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217</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5"/>
        </w:trPr>
        <w:tc>
          <w:tcPr>
            <w:tcW w:w="400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400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Other Non-interest expense related to unfunded</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634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991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Ending balance: individually evaluated for impairment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w w:val="93"/>
              </w:rPr>
              <w:t>Ending balance: collectively evaluated for impairment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244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634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6"/>
              </w:rPr>
              <w:t>219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991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loans acquired with deteriorated</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84,081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62,803</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87,078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382,183</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121,183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33,878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771,206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w w:val="93"/>
              </w:rPr>
              <w:t>Ending balance: individually evaluated for impairment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9"/>
              </w:rPr>
              <w:t>101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3"/>
              </w:rPr>
              <w:t>Ending balance: collectively evaluated for 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83,000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62,702</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87,078</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381,687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121,068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33,878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769,413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 deteriorated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credit 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22</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458" w:right="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4 LOANS (Continued)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Unfunded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8" w:lineRule="exact"/>
              <w:rPr>
                <w:sz w:val="20"/>
                <w:szCs w:val="20"/>
                <w:color w:val="auto"/>
              </w:rPr>
            </w:pPr>
            <w:r>
              <w:rPr>
                <w:rFonts w:ascii="Arial" w:cs="Arial" w:eastAsia="Arial" w:hAnsi="Arial"/>
                <w:sz w:val="14"/>
                <w:szCs w:val="14"/>
                <w:color w:val="auto"/>
                <w:w w:val="96"/>
              </w:rPr>
              <w:t>Loan</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color w:val="auto"/>
              </w:rPr>
              <w:t>Commitment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ind w:right="100"/>
              <w:spacing w:after="0" w:line="148" w:lineRule="exact"/>
              <w:rPr>
                <w:sz w:val="20"/>
                <w:szCs w:val="20"/>
                <w:color w:val="auto"/>
              </w:rPr>
            </w:pPr>
            <w:r>
              <w:rPr>
                <w:rFonts w:ascii="Arial" w:cs="Arial" w:eastAsia="Arial" w:hAnsi="Arial"/>
                <w:sz w:val="14"/>
                <w:szCs w:val="14"/>
                <w:color w:val="auto"/>
                <w:w w:val="92"/>
              </w:rPr>
              <w:t>Consumer</w:t>
            </w:r>
          </w:p>
        </w:tc>
        <w:tc>
          <w:tcPr>
            <w:tcW w:w="60" w:type="dxa"/>
            <w:vAlign w:val="bottom"/>
          </w:tcPr>
          <w:p>
            <w:pPr>
              <w:spacing w:after="0"/>
              <w:rPr>
                <w:sz w:val="12"/>
                <w:szCs w:val="12"/>
                <w:color w:val="auto"/>
              </w:rPr>
            </w:pPr>
          </w:p>
        </w:tc>
        <w:tc>
          <w:tcPr>
            <w:tcW w:w="820" w:type="dxa"/>
            <w:vAlign w:val="bottom"/>
            <w:gridSpan w:val="3"/>
          </w:tcPr>
          <w:p>
            <w:pPr>
              <w:jc w:val="right"/>
              <w:ind w:right="120"/>
              <w:spacing w:after="0" w:line="148" w:lineRule="exact"/>
              <w:rPr>
                <w:sz w:val="20"/>
                <w:szCs w:val="20"/>
                <w:color w:val="auto"/>
              </w:rPr>
            </w:pPr>
            <w:r>
              <w:rPr>
                <w:rFonts w:ascii="Arial" w:cs="Arial" w:eastAsia="Arial" w:hAnsi="Arial"/>
                <w:sz w:val="14"/>
                <w:szCs w:val="14"/>
                <w:color w:val="auto"/>
                <w:w w:val="97"/>
              </w:rPr>
              <w:t>Agricultural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spacing w:after="0" w:line="148" w:lineRule="exact"/>
              <w:rPr>
                <w:sz w:val="20"/>
                <w:szCs w:val="20"/>
                <w:color w:val="auto"/>
              </w:rPr>
            </w:pPr>
            <w:r>
              <w:rPr>
                <w:rFonts w:ascii="Arial" w:cs="Arial" w:eastAsia="Arial" w:hAnsi="Arial"/>
                <w:sz w:val="14"/>
                <w:szCs w:val="14"/>
                <w:color w:val="auto"/>
              </w:rPr>
              <w:t>Commercial</w:t>
            </w:r>
          </w:p>
        </w:tc>
        <w:tc>
          <w:tcPr>
            <w:tcW w:w="960" w:type="dxa"/>
            <w:vAlign w:val="bottom"/>
            <w:gridSpan w:val="3"/>
          </w:tcPr>
          <w:p>
            <w:pPr>
              <w:ind w:left="40"/>
              <w:spacing w:after="0" w:line="148"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ind w:left="20"/>
              <w:spacing w:after="0" w:line="148" w:lineRule="exact"/>
              <w:rPr>
                <w:sz w:val="20"/>
                <w:szCs w:val="20"/>
                <w:color w:val="auto"/>
              </w:rPr>
            </w:pPr>
            <w:r>
              <w:rPr>
                <w:rFonts w:ascii="Arial" w:cs="Arial" w:eastAsia="Arial" w:hAnsi="Arial"/>
                <w:sz w:val="14"/>
                <w:szCs w:val="14"/>
                <w:color w:val="auto"/>
              </w:rPr>
              <w:t>&amp; Letters of</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color w:val="auto"/>
                <w:w w:val="96"/>
              </w:rPr>
              <w:t>Real Estate</w:t>
            </w:r>
          </w:p>
        </w:tc>
        <w:tc>
          <w:tcPr>
            <w:tcW w:w="60" w:type="dxa"/>
            <w:vAlign w:val="bottom"/>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w w:val="91"/>
              </w:rPr>
              <w:t>Real Estate</w:t>
            </w:r>
          </w:p>
        </w:tc>
        <w:tc>
          <w:tcPr>
            <w:tcW w:w="86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6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Credit</w:t>
            </w:r>
          </w:p>
        </w:tc>
        <w:tc>
          <w:tcPr>
            <w:tcW w:w="82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38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Three Months Ended March 31, 2016</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5"/>
        </w:trPr>
        <w:tc>
          <w:tcPr>
            <w:tcW w:w="382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Other Non-interest expense related to unfunded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272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548</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335</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744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744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Ending balance: loans acquired with deteriorated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quality</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88,097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59,479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78,021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344,661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109,386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28,016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707,660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collectively evaluated for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87,223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59,260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78,021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343,724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109,205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28,016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705,449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w w:val="97"/>
              </w:rPr>
              <w:t>Ending balance: loans acquired with deteriorated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credit quality</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5 EARNINGS PER SHARE</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88" w:lineRule="exact"/>
        <w:rPr>
          <w:sz w:val="20"/>
          <w:szCs w:val="20"/>
          <w:color w:val="auto"/>
        </w:rPr>
      </w:pPr>
    </w:p>
    <w:p>
      <w:pPr>
        <w:jc w:val="center"/>
        <w:ind w:left="6120"/>
        <w:spacing w:after="0"/>
        <w:rPr>
          <w:sz w:val="20"/>
          <w:szCs w:val="20"/>
          <w:color w:val="auto"/>
        </w:rPr>
      </w:pPr>
      <w:r>
        <w:rPr>
          <w:rFonts w:ascii="Arial" w:cs="Arial" w:eastAsia="Arial" w:hAnsi="Arial"/>
          <w:sz w:val="14"/>
          <w:szCs w:val="14"/>
          <w:color w:val="auto"/>
        </w:rPr>
        <w:t>In Thousands</w:t>
      </w:r>
    </w:p>
    <w:p>
      <w:pPr>
        <w:jc w:val="center"/>
        <w:ind w:left="6120"/>
        <w:spacing w:after="0" w:line="230" w:lineRule="auto"/>
        <w:rPr>
          <w:sz w:val="20"/>
          <w:szCs w:val="20"/>
          <w:color w:val="auto"/>
        </w:rPr>
      </w:pPr>
      <w:r>
        <w:rPr>
          <w:rFonts w:ascii="Arial" w:cs="Arial" w:eastAsia="Arial" w:hAnsi="Arial"/>
          <w:sz w:val="14"/>
          <w:szCs w:val="14"/>
          <w:color w:val="auto"/>
        </w:rPr>
        <w:t>Three Months Ended</w:t>
      </w:r>
    </w:p>
    <w:tbl>
      <w:tblPr>
        <w:tblLayout w:type="fixed"/>
        <w:tblInd w:w="1380" w:type="dxa"/>
        <w:tblCellMar>
          <w:top w:w="0" w:type="dxa"/>
          <w:left w:w="0" w:type="dxa"/>
          <w:bottom w:w="0" w:type="dxa"/>
          <w:right w:w="0" w:type="dxa"/>
        </w:tblCellMar>
      </w:tblPr>
      <w:tr>
        <w:trPr>
          <w:trHeight w:val="136"/>
        </w:trPr>
        <w:tc>
          <w:tcPr>
            <w:tcW w:w="6200" w:type="dxa"/>
            <w:vAlign w:val="bottom"/>
            <w:gridSpan w:val="3"/>
            <w:vMerge w:val="restart"/>
          </w:tcPr>
          <w:p>
            <w:pPr>
              <w:spacing w:after="0"/>
              <w:rPr>
                <w:sz w:val="20"/>
                <w:szCs w:val="20"/>
                <w:color w:val="auto"/>
              </w:rPr>
            </w:pPr>
            <w:r>
              <w:rPr>
                <w:rFonts w:ascii="Arial" w:cs="Arial" w:eastAsia="Arial" w:hAnsi="Arial"/>
                <w:sz w:val="14"/>
                <w:szCs w:val="14"/>
                <w:color w:val="auto"/>
              </w:rPr>
              <w:t>Earnings per share</w:t>
            </w: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right"/>
              <w:ind w:right="840"/>
              <w:spacing w:after="0" w:line="137" w:lineRule="exact"/>
              <w:rPr>
                <w:sz w:val="20"/>
                <w:szCs w:val="20"/>
                <w:color w:val="auto"/>
              </w:rPr>
            </w:pPr>
            <w:r>
              <w:rPr>
                <w:rFonts w:ascii="Arial" w:cs="Arial" w:eastAsia="Arial" w:hAnsi="Arial"/>
                <w:sz w:val="14"/>
                <w:szCs w:val="14"/>
                <w:color w:val="auto"/>
                <w:w w:val="99"/>
              </w:rPr>
              <w:t>March 31</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54"/>
              <w:spacing w:after="0" w:line="137" w:lineRule="exact"/>
              <w:rPr>
                <w:sz w:val="20"/>
                <w:szCs w:val="20"/>
                <w:color w:val="auto"/>
              </w:rPr>
            </w:pPr>
            <w:r>
              <w:rPr>
                <w:rFonts w:ascii="Arial" w:cs="Arial" w:eastAsia="Arial" w:hAnsi="Arial"/>
                <w:sz w:val="14"/>
                <w:szCs w:val="14"/>
                <w:color w:val="auto"/>
                <w:w w:val="95"/>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10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undistributed earnings allocated to participating securities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6200" w:type="dxa"/>
            <w:vAlign w:val="bottom"/>
            <w:gridSpan w:val="3"/>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1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 outstanding including participating</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4,620,875</w:t>
            </w: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4,609,226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Less: average unvested restricted shares</w:t>
            </w:r>
          </w:p>
        </w:tc>
        <w:tc>
          <w:tcPr>
            <w:tcW w:w="100" w:type="dxa"/>
            <w:vAlign w:val="bottom"/>
          </w:tcPr>
          <w:p>
            <w:pPr>
              <w:spacing w:after="0"/>
              <w:rPr>
                <w:sz w:val="19"/>
                <w:szCs w:val="19"/>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(43,150)</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(38,670)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4,577,725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4,570,556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Basic earnings and diluted per share</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INSTRUMENTS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116"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16"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 Time Deposits</w:t>
      </w:r>
    </w:p>
    <w:p>
      <w:pPr>
        <w:spacing w:after="0" w:line="224"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Securities – Available-for-sale</w:t>
      </w:r>
    </w:p>
    <w:p>
      <w:pPr>
        <w:spacing w:after="0" w:line="22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w:t>
      </w:r>
    </w:p>
    <w:p>
      <w:pPr>
        <w:spacing w:after="0" w:line="224"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those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and Payable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Off Balance Sheet Financial Instruments</w:t>
      </w:r>
    </w:p>
    <w:p>
      <w:pPr>
        <w:spacing w:after="0" w:line="22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22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458"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March 31, 2017 and December 31, 2016 are reflected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ind w:left="60"/>
              <w:spacing w:after="0" w:line="141" w:lineRule="exact"/>
              <w:rPr>
                <w:sz w:val="20"/>
                <w:szCs w:val="20"/>
                <w:color w:val="auto"/>
              </w:rPr>
            </w:pPr>
            <w:r>
              <w:rPr>
                <w:rFonts w:ascii="Arial" w:cs="Arial" w:eastAsia="Arial" w:hAnsi="Arial"/>
                <w:sz w:val="14"/>
                <w:szCs w:val="14"/>
                <w:color w:val="auto"/>
              </w:rPr>
              <w:t>March 31, 2017</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6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1"/>
              </w:rPr>
              <w:t>Fair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Financial Assets:</w:t>
            </w: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39,894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39,894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20"/>
                <w:szCs w:val="20"/>
                <w:color w:val="auto"/>
              </w:rPr>
            </w:pPr>
            <w:r>
              <w:rPr>
                <w:rFonts w:ascii="Arial" w:cs="Arial" w:eastAsia="Arial" w:hAnsi="Arial"/>
                <w:sz w:val="18"/>
                <w:szCs w:val="18"/>
                <w:color w:val="auto"/>
              </w:rPr>
              <w:t>39,894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Securities - available-for-sale</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206,388</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206,388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19,735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185,239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Securities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764,356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765,974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765,974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528,594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528,664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528,664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178,153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178,153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178,153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187,944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187,868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187,868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894,691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894,685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716,532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27,961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27,961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27,961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advances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payable</w:t>
            </w: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8"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spacing w:after="0" w:line="141" w:lineRule="exact"/>
              <w:rPr>
                <w:sz w:val="20"/>
                <w:szCs w:val="20"/>
                <w:color w:val="auto"/>
              </w:rPr>
            </w:pPr>
            <w:r>
              <w:rPr>
                <w:rFonts w:ascii="Arial" w:cs="Arial" w:eastAsia="Arial" w:hAnsi="Arial"/>
                <w:sz w:val="14"/>
                <w:szCs w:val="14"/>
                <w:color w:val="auto"/>
                <w:w w:val="91"/>
              </w:rPr>
              <w:t>December 31, 2016</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600" w:type="dxa"/>
            <w:vAlign w:val="bottom"/>
          </w:tcPr>
          <w:p>
            <w:pPr>
              <w:jc w:val="right"/>
              <w:ind w:right="153"/>
              <w:spacing w:after="0" w:line="123" w:lineRule="exact"/>
              <w:rPr>
                <w:sz w:val="20"/>
                <w:szCs w:val="20"/>
                <w:color w:val="auto"/>
              </w:rPr>
            </w:pPr>
            <w:r>
              <w:rPr>
                <w:rFonts w:ascii="Arial" w:cs="Arial" w:eastAsia="Arial" w:hAnsi="Arial"/>
                <w:sz w:val="14"/>
                <w:szCs w:val="14"/>
                <w:color w:val="auto"/>
              </w:rPr>
              <w:t>Fair</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color w:val="auto"/>
              </w:rPr>
              <w:t>Value</w:t>
            </w:r>
          </w:p>
        </w:tc>
        <w:tc>
          <w:tcPr>
            <w:tcW w:w="26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Financial Assets:</w:t>
            </w: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28,322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spacing w:after="0"/>
              <w:rPr>
                <w:sz w:val="20"/>
                <w:szCs w:val="20"/>
                <w:color w:val="auto"/>
              </w:rPr>
            </w:pPr>
            <w:r>
              <w:rPr>
                <w:rFonts w:ascii="Arial" w:cs="Arial" w:eastAsia="Arial" w:hAnsi="Arial"/>
                <w:sz w:val="18"/>
                <w:szCs w:val="18"/>
                <w:color w:val="auto"/>
              </w:rPr>
              <w:t>28,322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Securities - available-for-sale</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218,527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218,527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24,775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192,334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Securities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751,310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753,357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753,357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456,983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456,983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456,983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186,390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186,390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Time Deposits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198,830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199,658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199,658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842,203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843,031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656,641</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70,324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70,324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Home Loan Bank advances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Interest payable</w:t>
            </w: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4"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when quoted prices are available in an active market, securities are valued using the quoted price and are classified as Level 1.</w:t>
      </w:r>
    </w:p>
    <w:p>
      <w:pPr>
        <w:spacing w:after="0" w:line="247" w:lineRule="exact"/>
        <w:rPr>
          <w:sz w:val="20"/>
          <w:szCs w:val="20"/>
          <w:color w:val="auto"/>
        </w:rPr>
      </w:pPr>
    </w:p>
    <w:p>
      <w:pPr>
        <w:ind w:right="460"/>
        <w:spacing w:after="0" w:line="340" w:lineRule="auto"/>
        <w:rPr>
          <w:sz w:val="20"/>
          <w:szCs w:val="20"/>
          <w:color w:val="auto"/>
        </w:rPr>
      </w:pPr>
      <w:r>
        <w:rPr>
          <w:rFonts w:ascii="Arial" w:cs="Arial" w:eastAsia="Arial" w:hAnsi="Arial"/>
          <w:sz w:val="16"/>
          <w:szCs w:val="16"/>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25"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5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8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8"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summarizes financial assets measured at fair value on a recurring basis as of March 31, 2017 and December 31, 2016, segregated by level or the valuation inputs within the fair value hierarchy utilized to measure fair value:</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40" w:type="dxa"/>
            <w:vAlign w:val="bottom"/>
            <w:gridSpan w:val="6"/>
          </w:tcPr>
          <w:p>
            <w:pPr>
              <w:spacing w:after="0"/>
              <w:rPr>
                <w:sz w:val="20"/>
                <w:szCs w:val="20"/>
                <w:color w:val="auto"/>
              </w:rPr>
            </w:pPr>
            <w:r>
              <w:rPr>
                <w:rFonts w:ascii="Arial" w:cs="Arial" w:eastAsia="Arial" w:hAnsi="Arial"/>
                <w:sz w:val="14"/>
                <w:szCs w:val="14"/>
                <w:color w:val="auto"/>
              </w:rPr>
              <w:t>Assets and Liabilities Measured at Fair Value on a Recurring Basis (In Thousands)</w:t>
            </w: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w w:val="99"/>
              </w:rPr>
              <w:t>Significant</w:t>
            </w:r>
          </w:p>
        </w:tc>
        <w:tc>
          <w:tcPr>
            <w:tcW w:w="28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60"/>
              <w:spacing w:after="0" w:line="123" w:lineRule="exact"/>
              <w:rPr>
                <w:sz w:val="20"/>
                <w:szCs w:val="20"/>
                <w:color w:val="auto"/>
              </w:rPr>
            </w:pPr>
            <w:r>
              <w:rPr>
                <w:rFonts w:ascii="Arial" w:cs="Arial" w:eastAsia="Arial" w:hAnsi="Arial"/>
                <w:sz w:val="14"/>
                <w:szCs w:val="14"/>
                <w:color w:val="auto"/>
                <w:w w:val="92"/>
              </w:rPr>
              <w:t>Quoted Prices in</w:t>
            </w:r>
          </w:p>
        </w:tc>
        <w:tc>
          <w:tcPr>
            <w:tcW w:w="50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20" w:type="dxa"/>
            <w:vAlign w:val="bottom"/>
            <w:gridSpan w:val="4"/>
          </w:tcPr>
          <w:p>
            <w:pPr>
              <w:jc w:val="center"/>
              <w:ind w:right="560"/>
              <w:spacing w:after="0" w:line="148" w:lineRule="exact"/>
              <w:rPr>
                <w:sz w:val="20"/>
                <w:szCs w:val="20"/>
                <w:color w:val="auto"/>
              </w:rPr>
            </w:pPr>
            <w:r>
              <w:rPr>
                <w:rFonts w:ascii="Arial" w:cs="Arial" w:eastAsia="Arial" w:hAnsi="Arial"/>
                <w:sz w:val="14"/>
                <w:szCs w:val="14"/>
                <w:color w:val="auto"/>
                <w:w w:val="95"/>
              </w:rPr>
              <w:t>Active Markets</w:t>
            </w:r>
          </w:p>
        </w:tc>
        <w:tc>
          <w:tcPr>
            <w:tcW w:w="960" w:type="dxa"/>
            <w:vAlign w:val="bottom"/>
            <w:gridSpan w:val="3"/>
          </w:tcPr>
          <w:p>
            <w:pPr>
              <w:jc w:val="center"/>
              <w:ind w:right="280"/>
              <w:spacing w:after="0" w:line="148" w:lineRule="exact"/>
              <w:rPr>
                <w:sz w:val="20"/>
                <w:szCs w:val="20"/>
                <w:color w:val="auto"/>
              </w:rPr>
            </w:pPr>
            <w:r>
              <w:rPr>
                <w:rFonts w:ascii="Arial" w:cs="Arial" w:eastAsia="Arial" w:hAnsi="Arial"/>
                <w:sz w:val="14"/>
                <w:szCs w:val="14"/>
                <w:color w:val="auto"/>
                <w:w w:val="89"/>
              </w:rPr>
              <w:t>Observable</w:t>
            </w:r>
          </w:p>
        </w:tc>
        <w:tc>
          <w:tcPr>
            <w:tcW w:w="280" w:type="dxa"/>
            <w:vAlign w:val="bottom"/>
          </w:tcPr>
          <w:p>
            <w:pPr>
              <w:spacing w:after="0"/>
              <w:rPr>
                <w:sz w:val="12"/>
                <w:szCs w:val="12"/>
                <w:color w:val="auto"/>
              </w:rPr>
            </w:pPr>
          </w:p>
        </w:tc>
        <w:tc>
          <w:tcPr>
            <w:tcW w:w="700" w:type="dxa"/>
            <w:vAlign w:val="bottom"/>
            <w:gridSpan w:val="3"/>
          </w:tcPr>
          <w:p>
            <w:pPr>
              <w:jc w:val="center"/>
              <w:ind w:right="60"/>
              <w:spacing w:after="0" w:line="148" w:lineRule="exact"/>
              <w:rPr>
                <w:sz w:val="20"/>
                <w:szCs w:val="20"/>
                <w:color w:val="auto"/>
              </w:rPr>
            </w:pPr>
            <w:r>
              <w:rPr>
                <w:rFonts w:ascii="Arial" w:cs="Arial" w:eastAsia="Arial" w:hAnsi="Arial"/>
                <w:sz w:val="14"/>
                <w:szCs w:val="14"/>
                <w:color w:val="auto"/>
                <w:w w:val="89"/>
              </w:rPr>
              <w:t>Observable</w:t>
            </w:r>
          </w:p>
        </w:tc>
        <w:tc>
          <w:tcPr>
            <w:tcW w:w="0" w:type="dxa"/>
            <w:vAlign w:val="bottom"/>
          </w:tcPr>
          <w:p>
            <w:pPr>
              <w:spacing w:after="0"/>
              <w:rPr>
                <w:sz w:val="1"/>
                <w:szCs w:val="1"/>
                <w:color w:val="auto"/>
              </w:rPr>
            </w:pPr>
          </w:p>
        </w:tc>
      </w:tr>
      <w:tr>
        <w:trPr>
          <w:trHeight w:val="162"/>
        </w:trPr>
        <w:tc>
          <w:tcPr>
            <w:tcW w:w="920" w:type="dxa"/>
            <w:vAlign w:val="bottom"/>
            <w:vMerge w:val="restart"/>
          </w:tcPr>
          <w:p>
            <w:pPr>
              <w:spacing w:after="0"/>
              <w:rPr>
                <w:sz w:val="20"/>
                <w:szCs w:val="20"/>
                <w:color w:val="auto"/>
              </w:rPr>
            </w:pPr>
            <w:r>
              <w:rPr>
                <w:rFonts w:ascii="Arial" w:cs="Arial" w:eastAsia="Arial" w:hAnsi="Arial"/>
                <w:sz w:val="14"/>
                <w:szCs w:val="14"/>
                <w:color w:val="auto"/>
                <w:w w:val="92"/>
              </w:rPr>
              <w:t>March 31, 2017</w:t>
            </w:r>
          </w:p>
        </w:tc>
        <w:tc>
          <w:tcPr>
            <w:tcW w:w="2860" w:type="dxa"/>
            <w:vAlign w:val="bottom"/>
            <w:gridSpan w:val="3"/>
            <w:vMerge w:val="restart"/>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color w:val="auto"/>
                <w:w w:val="96"/>
              </w:rPr>
              <w:t>for Identical</w:t>
            </w:r>
          </w:p>
        </w:tc>
        <w:tc>
          <w:tcPr>
            <w:tcW w:w="12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920" w:type="dxa"/>
            <w:vAlign w:val="bottom"/>
            <w:tcBorders>
              <w:bottom w:val="single" w:sz="8" w:color="auto"/>
            </w:tcBorders>
            <w:vMerge w:val="continue"/>
          </w:tcPr>
          <w:p>
            <w:pPr>
              <w:spacing w:after="0"/>
              <w:rPr>
                <w:sz w:val="14"/>
                <w:szCs w:val="14"/>
                <w:color w:val="auto"/>
              </w:rPr>
            </w:pPr>
          </w:p>
        </w:tc>
        <w:tc>
          <w:tcPr>
            <w:tcW w:w="2860" w:type="dxa"/>
            <w:vAlign w:val="bottom"/>
            <w:tcBorders>
              <w:bottom w:val="single" w:sz="8" w:color="CCEEFF"/>
            </w:tcBorders>
            <w:gridSpan w:val="3"/>
            <w:vMerge w:val="continue"/>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Assets (Level 1)</w:t>
            </w:r>
          </w:p>
        </w:tc>
        <w:tc>
          <w:tcPr>
            <w:tcW w:w="560" w:type="dxa"/>
            <w:vAlign w:val="bottom"/>
            <w:tcBorders>
              <w:bottom w:val="single" w:sz="8" w:color="CCEEFF"/>
            </w:tcBorders>
            <w:gridSpan w:val="2"/>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8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auto"/>
              </w:rPr>
              <w:t>Assets - (Securities Available-for-Sale)</w:t>
            </w: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4"/>
          </w:tcPr>
          <w:p>
            <w:pPr>
              <w:spacing w:after="0"/>
              <w:rPr>
                <w:sz w:val="20"/>
                <w:szCs w:val="20"/>
                <w:color w:val="auto"/>
              </w:rPr>
            </w:pPr>
            <w:r>
              <w:rPr>
                <w:rFonts w:ascii="Arial" w:cs="Arial" w:eastAsia="Arial" w:hAnsi="Arial"/>
                <w:sz w:val="18"/>
                <w:szCs w:val="18"/>
                <w:color w:val="auto"/>
              </w:rPr>
              <w:t>U.S. Treasury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w w:val="98"/>
              </w:rPr>
              <w:t>19,735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82,640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46,043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56,556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1,414</w:t>
            </w:r>
          </w:p>
        </w:tc>
        <w:tc>
          <w:tcPr>
            <w:tcW w:w="0" w:type="dxa"/>
            <w:vAlign w:val="bottom"/>
          </w:tcPr>
          <w:p>
            <w:pPr>
              <w:spacing w:after="0"/>
              <w:rPr>
                <w:sz w:val="1"/>
                <w:szCs w:val="1"/>
                <w:color w:val="auto"/>
              </w:rPr>
            </w:pPr>
          </w:p>
        </w:tc>
      </w:tr>
      <w:tr>
        <w:trPr>
          <w:trHeight w:val="222"/>
        </w:trPr>
        <w:tc>
          <w:tcPr>
            <w:tcW w:w="3780" w:type="dxa"/>
            <w:vAlign w:val="bottom"/>
            <w:gridSpan w:val="4"/>
          </w:tcPr>
          <w:p>
            <w:pPr>
              <w:ind w:left="360"/>
              <w:spacing w:after="0"/>
              <w:rPr>
                <w:sz w:val="20"/>
                <w:szCs w:val="20"/>
                <w:color w:val="auto"/>
              </w:rPr>
            </w:pPr>
            <w:r>
              <w:rPr>
                <w:rFonts w:ascii="Arial" w:cs="Arial" w:eastAsia="Arial" w:hAnsi="Arial"/>
                <w:sz w:val="18"/>
                <w:szCs w:val="18"/>
                <w:color w:val="auto"/>
              </w:rPr>
              <w:t>Total Securities Available-for-Sale</w:t>
            </w:r>
          </w:p>
        </w:tc>
        <w:tc>
          <w:tcPr>
            <w:tcW w:w="2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19,735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185,239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1,414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20" w:type="dxa"/>
            <w:vAlign w:val="bottom"/>
            <w:gridSpan w:val="4"/>
          </w:tcPr>
          <w:p>
            <w:pPr>
              <w:jc w:val="center"/>
              <w:ind w:right="560"/>
              <w:spacing w:after="0"/>
              <w:rPr>
                <w:sz w:val="20"/>
                <w:szCs w:val="20"/>
                <w:color w:val="auto"/>
              </w:rPr>
            </w:pPr>
            <w:r>
              <w:rPr>
                <w:rFonts w:ascii="Arial" w:cs="Arial" w:eastAsia="Arial" w:hAnsi="Arial"/>
                <w:sz w:val="14"/>
                <w:szCs w:val="14"/>
                <w:color w:val="auto"/>
                <w:w w:val="92"/>
              </w:rPr>
              <w:t>Quoted Prices in</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Significant</w:t>
            </w:r>
          </w:p>
        </w:tc>
        <w:tc>
          <w:tcPr>
            <w:tcW w:w="28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20" w:type="dxa"/>
            <w:vAlign w:val="bottom"/>
            <w:gridSpan w:val="4"/>
          </w:tcPr>
          <w:p>
            <w:pPr>
              <w:jc w:val="center"/>
              <w:ind w:right="560"/>
              <w:spacing w:after="0" w:line="148" w:lineRule="exact"/>
              <w:rPr>
                <w:sz w:val="20"/>
                <w:szCs w:val="20"/>
                <w:color w:val="auto"/>
              </w:rPr>
            </w:pPr>
            <w:r>
              <w:rPr>
                <w:rFonts w:ascii="Arial" w:cs="Arial" w:eastAsia="Arial" w:hAnsi="Arial"/>
                <w:sz w:val="14"/>
                <w:szCs w:val="14"/>
                <w:color w:val="auto"/>
                <w:w w:val="95"/>
              </w:rPr>
              <w:t>Active Markets</w:t>
            </w:r>
          </w:p>
        </w:tc>
        <w:tc>
          <w:tcPr>
            <w:tcW w:w="960" w:type="dxa"/>
            <w:vAlign w:val="bottom"/>
            <w:gridSpan w:val="3"/>
          </w:tcPr>
          <w:p>
            <w:pPr>
              <w:jc w:val="center"/>
              <w:ind w:right="280"/>
              <w:spacing w:after="0" w:line="148" w:lineRule="exact"/>
              <w:rPr>
                <w:sz w:val="20"/>
                <w:szCs w:val="20"/>
                <w:color w:val="auto"/>
              </w:rPr>
            </w:pPr>
            <w:r>
              <w:rPr>
                <w:rFonts w:ascii="Arial" w:cs="Arial" w:eastAsia="Arial" w:hAnsi="Arial"/>
                <w:sz w:val="14"/>
                <w:szCs w:val="14"/>
                <w:color w:val="auto"/>
                <w:w w:val="89"/>
              </w:rPr>
              <w:t>Observable</w:t>
            </w:r>
          </w:p>
        </w:tc>
        <w:tc>
          <w:tcPr>
            <w:tcW w:w="280" w:type="dxa"/>
            <w:vAlign w:val="bottom"/>
          </w:tcPr>
          <w:p>
            <w:pPr>
              <w:spacing w:after="0"/>
              <w:rPr>
                <w:sz w:val="12"/>
                <w:szCs w:val="12"/>
                <w:color w:val="auto"/>
              </w:rPr>
            </w:pPr>
          </w:p>
        </w:tc>
        <w:tc>
          <w:tcPr>
            <w:tcW w:w="700" w:type="dxa"/>
            <w:vAlign w:val="bottom"/>
            <w:gridSpan w:val="3"/>
          </w:tcPr>
          <w:p>
            <w:pPr>
              <w:jc w:val="center"/>
              <w:ind w:right="60"/>
              <w:spacing w:after="0" w:line="148" w:lineRule="exact"/>
              <w:rPr>
                <w:sz w:val="20"/>
                <w:szCs w:val="20"/>
                <w:color w:val="auto"/>
              </w:rPr>
            </w:pPr>
            <w:r>
              <w:rPr>
                <w:rFonts w:ascii="Arial" w:cs="Arial" w:eastAsia="Arial" w:hAnsi="Arial"/>
                <w:sz w:val="14"/>
                <w:szCs w:val="14"/>
                <w:color w:val="auto"/>
                <w:w w:val="89"/>
              </w:rPr>
              <w:t>Observable</w:t>
            </w:r>
          </w:p>
        </w:tc>
        <w:tc>
          <w:tcPr>
            <w:tcW w:w="0" w:type="dxa"/>
            <w:vAlign w:val="bottom"/>
          </w:tcPr>
          <w:p>
            <w:pPr>
              <w:spacing w:after="0"/>
              <w:rPr>
                <w:sz w:val="1"/>
                <w:szCs w:val="1"/>
                <w:color w:val="auto"/>
              </w:rPr>
            </w:pPr>
          </w:p>
        </w:tc>
      </w:tr>
      <w:tr>
        <w:trPr>
          <w:trHeight w:val="162"/>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w w:val="91"/>
              </w:rPr>
              <w:t>December 31, 2016</w:t>
            </w:r>
          </w:p>
        </w:tc>
        <w:tc>
          <w:tcPr>
            <w:tcW w:w="2640" w:type="dxa"/>
            <w:vAlign w:val="bottom"/>
            <w:gridSpan w:val="2"/>
            <w:vMerge w:val="restart"/>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color w:val="auto"/>
                <w:w w:val="96"/>
              </w:rPr>
              <w:t>for Identical</w:t>
            </w:r>
          </w:p>
        </w:tc>
        <w:tc>
          <w:tcPr>
            <w:tcW w:w="12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1140" w:type="dxa"/>
            <w:vAlign w:val="bottom"/>
            <w:tcBorders>
              <w:bottom w:val="single" w:sz="8" w:color="auto"/>
            </w:tcBorders>
            <w:gridSpan w:val="2"/>
            <w:vMerge w:val="continue"/>
          </w:tcPr>
          <w:p>
            <w:pPr>
              <w:spacing w:after="0"/>
              <w:rPr>
                <w:sz w:val="14"/>
                <w:szCs w:val="14"/>
                <w:color w:val="auto"/>
              </w:rPr>
            </w:pPr>
          </w:p>
        </w:tc>
        <w:tc>
          <w:tcPr>
            <w:tcW w:w="2640" w:type="dxa"/>
            <w:vAlign w:val="bottom"/>
            <w:tcBorders>
              <w:bottom w:val="single" w:sz="8" w:color="CCEEFF"/>
            </w:tcBorders>
            <w:gridSpan w:val="2"/>
            <w:vMerge w:val="continue"/>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Assets (Level 1)</w:t>
            </w:r>
          </w:p>
        </w:tc>
        <w:tc>
          <w:tcPr>
            <w:tcW w:w="560" w:type="dxa"/>
            <w:vAlign w:val="bottom"/>
            <w:tcBorders>
              <w:bottom w:val="single" w:sz="8" w:color="CCEEFF"/>
            </w:tcBorders>
            <w:gridSpan w:val="2"/>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8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auto"/>
              </w:rPr>
              <w:t>Assets - (Securities Available-for-Sale)</w:t>
            </w: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4"/>
          </w:tcPr>
          <w:p>
            <w:pPr>
              <w:spacing w:after="0"/>
              <w:rPr>
                <w:sz w:val="20"/>
                <w:szCs w:val="20"/>
                <w:color w:val="auto"/>
              </w:rPr>
            </w:pPr>
            <w:r>
              <w:rPr>
                <w:rFonts w:ascii="Arial" w:cs="Arial" w:eastAsia="Arial" w:hAnsi="Arial"/>
                <w:sz w:val="18"/>
                <w:szCs w:val="18"/>
                <w:color w:val="auto"/>
              </w:rPr>
              <w:t>U.S. Treasury</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w w:val="98"/>
              </w:rPr>
              <w:t>24,775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82,474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48,461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61,399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1,418</w:t>
            </w:r>
          </w:p>
        </w:tc>
        <w:tc>
          <w:tcPr>
            <w:tcW w:w="0" w:type="dxa"/>
            <w:vAlign w:val="bottom"/>
          </w:tcPr>
          <w:p>
            <w:pPr>
              <w:spacing w:after="0"/>
              <w:rPr>
                <w:sz w:val="1"/>
                <w:szCs w:val="1"/>
                <w:color w:val="auto"/>
              </w:rPr>
            </w:pPr>
          </w:p>
        </w:tc>
      </w:tr>
      <w:tr>
        <w:trPr>
          <w:trHeight w:val="222"/>
        </w:trPr>
        <w:tc>
          <w:tcPr>
            <w:tcW w:w="3780" w:type="dxa"/>
            <w:vAlign w:val="bottom"/>
            <w:gridSpan w:val="4"/>
          </w:tcPr>
          <w:p>
            <w:pPr>
              <w:ind w:left="360"/>
              <w:spacing w:after="0"/>
              <w:rPr>
                <w:sz w:val="20"/>
                <w:szCs w:val="20"/>
                <w:color w:val="auto"/>
              </w:rPr>
            </w:pPr>
            <w:r>
              <w:rPr>
                <w:rFonts w:ascii="Arial" w:cs="Arial" w:eastAsia="Arial" w:hAnsi="Arial"/>
                <w:sz w:val="18"/>
                <w:szCs w:val="18"/>
                <w:color w:val="auto"/>
              </w:rPr>
              <w:t>Total Securities Available-for-Sale</w:t>
            </w:r>
          </w:p>
        </w:tc>
        <w:tc>
          <w:tcPr>
            <w:tcW w:w="2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24,775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192,334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1,418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40" w:type="dxa"/>
            <w:vAlign w:val="bottom"/>
            <w:vMerge w:val="restart"/>
          </w:tcPr>
          <w:p>
            <w:pPr>
              <w:jc w:val="right"/>
              <w:ind w:right="1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6"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March 31, 2017 and March 31, 2016.</w:t>
      </w:r>
    </w:p>
    <w:p>
      <w:pPr>
        <w:spacing w:after="0" w:line="192" w:lineRule="exact"/>
        <w:rPr>
          <w:sz w:val="20"/>
          <w:szCs w:val="20"/>
          <w:color w:val="auto"/>
        </w:rPr>
      </w:pPr>
    </w:p>
    <w:p>
      <w:pPr>
        <w:jc w:val="center"/>
        <w:ind w:left="5240"/>
        <w:spacing w:after="0"/>
        <w:rPr>
          <w:sz w:val="20"/>
          <w:szCs w:val="20"/>
          <w:color w:val="auto"/>
        </w:rPr>
      </w:pPr>
      <w:r>
        <w:rPr>
          <w:rFonts w:ascii="Arial" w:cs="Arial" w:eastAsia="Arial" w:hAnsi="Arial"/>
          <w:sz w:val="14"/>
          <w:szCs w:val="14"/>
          <w:color w:val="auto"/>
        </w:rPr>
        <w:t>(In Thousands)</w:t>
      </w:r>
    </w:p>
    <w:p>
      <w:pPr>
        <w:jc w:val="center"/>
        <w:ind w:left="5240"/>
        <w:spacing w:after="0" w:line="230" w:lineRule="auto"/>
        <w:rPr>
          <w:sz w:val="20"/>
          <w:szCs w:val="20"/>
          <w:color w:val="auto"/>
        </w:rPr>
      </w:pPr>
      <w:r>
        <w:rPr>
          <w:rFonts w:ascii="Arial" w:cs="Arial" w:eastAsia="Arial" w:hAnsi="Arial"/>
          <w:sz w:val="14"/>
          <w:szCs w:val="14"/>
          <w:color w:val="auto"/>
        </w:rPr>
        <w:t>Fair Value Measurements Using Significant</w:t>
      </w:r>
    </w:p>
    <w:tbl>
      <w:tblPr>
        <w:tblLayout w:type="fixed"/>
        <w:tblInd w:w="92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4"/>
          </w:tcPr>
          <w:p>
            <w:pPr>
              <w:jc w:val="center"/>
              <w:ind w:right="180"/>
              <w:spacing w:after="0" w:line="141" w:lineRule="exact"/>
              <w:rPr>
                <w:sz w:val="20"/>
                <w:szCs w:val="20"/>
                <w:color w:val="auto"/>
              </w:rPr>
            </w:pPr>
            <w:r>
              <w:rPr>
                <w:rFonts w:ascii="Arial" w:cs="Arial" w:eastAsia="Arial" w:hAnsi="Arial"/>
                <w:sz w:val="14"/>
                <w:szCs w:val="14"/>
                <w:color w:val="auto"/>
                <w:w w:val="93"/>
              </w:rPr>
              <w:t>Unobservable Inputs (Level 3)</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40" w:type="dxa"/>
            <w:vAlign w:val="bottom"/>
          </w:tcPr>
          <w:p>
            <w:pPr>
              <w:spacing w:after="0"/>
              <w:rPr>
                <w:sz w:val="10"/>
                <w:szCs w:val="10"/>
                <w:color w:val="auto"/>
              </w:rPr>
            </w:pPr>
          </w:p>
        </w:tc>
        <w:tc>
          <w:tcPr>
            <w:tcW w:w="1080" w:type="dxa"/>
            <w:vAlign w:val="bottom"/>
            <w:gridSpan w:val="4"/>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620" w:type="dxa"/>
            <w:vAlign w:val="bottom"/>
            <w:gridSpan w:val="3"/>
          </w:tcPr>
          <w:p>
            <w:pPr>
              <w:jc w:val="center"/>
              <w:ind w:right="720"/>
              <w:spacing w:after="0" w:line="123" w:lineRule="exact"/>
              <w:rPr>
                <w:sz w:val="20"/>
                <w:szCs w:val="20"/>
                <w:color w:val="auto"/>
              </w:rPr>
            </w:pPr>
            <w:r>
              <w:rPr>
                <w:rFonts w:ascii="Arial" w:cs="Arial" w:eastAsia="Arial" w:hAnsi="Arial"/>
                <w:sz w:val="14"/>
                <w:szCs w:val="14"/>
                <w:color w:val="auto"/>
                <w:w w:val="92"/>
              </w:rPr>
              <w:t>State and Local</w:t>
            </w:r>
          </w:p>
        </w:tc>
        <w:tc>
          <w:tcPr>
            <w:tcW w:w="900" w:type="dxa"/>
            <w:vAlign w:val="bottom"/>
            <w:gridSpan w:val="2"/>
          </w:tcPr>
          <w:p>
            <w:pPr>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8"/>
        </w:trPr>
        <w:tc>
          <w:tcPr>
            <w:tcW w:w="5340" w:type="dxa"/>
            <w:vAlign w:val="bottom"/>
          </w:tcPr>
          <w:p>
            <w:pPr>
              <w:spacing w:after="0"/>
              <w:rPr>
                <w:sz w:val="12"/>
                <w:szCs w:val="12"/>
                <w:color w:val="auto"/>
              </w:rPr>
            </w:pPr>
          </w:p>
        </w:tc>
        <w:tc>
          <w:tcPr>
            <w:tcW w:w="1080" w:type="dxa"/>
            <w:vAlign w:val="bottom"/>
            <w:gridSpan w:val="4"/>
          </w:tcPr>
          <w:p>
            <w:pPr>
              <w:jc w:val="center"/>
              <w:ind w:right="160"/>
              <w:spacing w:after="0" w:line="148" w:lineRule="exact"/>
              <w:rPr>
                <w:sz w:val="20"/>
                <w:szCs w:val="20"/>
                <w:color w:val="auto"/>
              </w:rPr>
            </w:pPr>
            <w:r>
              <w:rPr>
                <w:rFonts w:ascii="Arial" w:cs="Arial" w:eastAsia="Arial" w:hAnsi="Arial"/>
                <w:sz w:val="14"/>
                <w:szCs w:val="14"/>
                <w:color w:val="auto"/>
                <w:w w:val="90"/>
              </w:rPr>
              <w:t>Governments</w:t>
            </w:r>
          </w:p>
        </w:tc>
        <w:tc>
          <w:tcPr>
            <w:tcW w:w="540" w:type="dxa"/>
            <w:vAlign w:val="bottom"/>
          </w:tcPr>
          <w:p>
            <w:pPr>
              <w:spacing w:after="0"/>
              <w:rPr>
                <w:sz w:val="12"/>
                <w:szCs w:val="12"/>
                <w:color w:val="auto"/>
              </w:rPr>
            </w:pPr>
          </w:p>
        </w:tc>
        <w:tc>
          <w:tcPr>
            <w:tcW w:w="1620" w:type="dxa"/>
            <w:vAlign w:val="bottom"/>
            <w:gridSpan w:val="3"/>
          </w:tcPr>
          <w:p>
            <w:pPr>
              <w:jc w:val="center"/>
              <w:ind w:right="720"/>
              <w:spacing w:after="0" w:line="148" w:lineRule="exact"/>
              <w:rPr>
                <w:sz w:val="20"/>
                <w:szCs w:val="20"/>
                <w:color w:val="auto"/>
              </w:rPr>
            </w:pPr>
            <w:r>
              <w:rPr>
                <w:rFonts w:ascii="Arial" w:cs="Arial" w:eastAsia="Arial" w:hAnsi="Arial"/>
                <w:sz w:val="14"/>
                <w:szCs w:val="14"/>
                <w:color w:val="auto"/>
                <w:w w:val="92"/>
              </w:rPr>
              <w:t>Governments</w:t>
            </w:r>
          </w:p>
        </w:tc>
        <w:tc>
          <w:tcPr>
            <w:tcW w:w="1000" w:type="dxa"/>
            <w:vAlign w:val="bottom"/>
            <w:gridSpan w:val="3"/>
          </w:tcPr>
          <w:p>
            <w:pPr>
              <w:jc w:val="center"/>
              <w:ind w:right="100"/>
              <w:spacing w:after="0" w:line="148" w:lineRule="exact"/>
              <w:rPr>
                <w:sz w:val="20"/>
                <w:szCs w:val="20"/>
                <w:color w:val="auto"/>
              </w:rPr>
            </w:pPr>
            <w:r>
              <w:rPr>
                <w:rFonts w:ascii="Arial" w:cs="Arial" w:eastAsia="Arial" w:hAnsi="Arial"/>
                <w:sz w:val="14"/>
                <w:szCs w:val="14"/>
                <w:color w:val="auto"/>
                <w:w w:val="92"/>
              </w:rPr>
              <w:t>Governments</w:t>
            </w:r>
          </w:p>
        </w:tc>
      </w:tr>
      <w:tr>
        <w:trPr>
          <w:trHeight w:val="167"/>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color w:val="auto"/>
                <w:w w:val="95"/>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color w:val="auto"/>
                <w:w w:val="92"/>
              </w:rPr>
              <w:t>Taxable</w:t>
            </w: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Total</w:t>
            </w: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9"/>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(In Thousands)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jc w:val="center"/>
              <w:ind w:left="515"/>
              <w:spacing w:after="0"/>
              <w:rPr>
                <w:sz w:val="20"/>
                <w:szCs w:val="20"/>
                <w:color w:val="auto"/>
              </w:rPr>
            </w:pPr>
            <w:r>
              <w:rPr>
                <w:rFonts w:ascii="Arial" w:cs="Arial" w:eastAsia="Arial" w:hAnsi="Arial"/>
                <w:sz w:val="14"/>
                <w:szCs w:val="14"/>
                <w:color w:val="auto"/>
                <w:w w:val="93"/>
              </w:rPr>
              <w:t>Fair Value Measurements Using Significant</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center"/>
              <w:ind w:right="180"/>
              <w:spacing w:after="0" w:line="141" w:lineRule="exact"/>
              <w:rPr>
                <w:sz w:val="20"/>
                <w:szCs w:val="20"/>
                <w:color w:val="auto"/>
              </w:rPr>
            </w:pPr>
            <w:r>
              <w:rPr>
                <w:rFonts w:ascii="Arial" w:cs="Arial" w:eastAsia="Arial" w:hAnsi="Arial"/>
                <w:sz w:val="14"/>
                <w:szCs w:val="14"/>
                <w:color w:val="auto"/>
                <w:w w:val="93"/>
              </w:rPr>
              <w:t>Unobservable Inputs (Level 3)</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40" w:type="dxa"/>
            <w:vAlign w:val="bottom"/>
          </w:tcPr>
          <w:p>
            <w:pPr>
              <w:spacing w:after="0"/>
              <w:rPr>
                <w:sz w:val="10"/>
                <w:szCs w:val="10"/>
                <w:color w:val="auto"/>
              </w:rPr>
            </w:pPr>
          </w:p>
        </w:tc>
        <w:tc>
          <w:tcPr>
            <w:tcW w:w="1080" w:type="dxa"/>
            <w:vAlign w:val="bottom"/>
            <w:gridSpan w:val="4"/>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620" w:type="dxa"/>
            <w:vAlign w:val="bottom"/>
            <w:gridSpan w:val="3"/>
          </w:tcPr>
          <w:p>
            <w:pPr>
              <w:jc w:val="center"/>
              <w:ind w:right="720"/>
              <w:spacing w:after="0" w:line="123" w:lineRule="exact"/>
              <w:rPr>
                <w:sz w:val="20"/>
                <w:szCs w:val="20"/>
                <w:color w:val="auto"/>
              </w:rPr>
            </w:pPr>
            <w:r>
              <w:rPr>
                <w:rFonts w:ascii="Arial" w:cs="Arial" w:eastAsia="Arial" w:hAnsi="Arial"/>
                <w:sz w:val="14"/>
                <w:szCs w:val="14"/>
                <w:color w:val="auto"/>
                <w:w w:val="92"/>
              </w:rPr>
              <w:t>State and Local</w:t>
            </w:r>
          </w:p>
        </w:tc>
        <w:tc>
          <w:tcPr>
            <w:tcW w:w="900" w:type="dxa"/>
            <w:vAlign w:val="bottom"/>
            <w:gridSpan w:val="2"/>
          </w:tcPr>
          <w:p>
            <w:pPr>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8"/>
        </w:trPr>
        <w:tc>
          <w:tcPr>
            <w:tcW w:w="5340" w:type="dxa"/>
            <w:vAlign w:val="bottom"/>
          </w:tcPr>
          <w:p>
            <w:pPr>
              <w:spacing w:after="0"/>
              <w:rPr>
                <w:sz w:val="12"/>
                <w:szCs w:val="12"/>
                <w:color w:val="auto"/>
              </w:rPr>
            </w:pPr>
          </w:p>
        </w:tc>
        <w:tc>
          <w:tcPr>
            <w:tcW w:w="1080" w:type="dxa"/>
            <w:vAlign w:val="bottom"/>
            <w:gridSpan w:val="4"/>
          </w:tcPr>
          <w:p>
            <w:pPr>
              <w:jc w:val="center"/>
              <w:ind w:right="160"/>
              <w:spacing w:after="0" w:line="148" w:lineRule="exact"/>
              <w:rPr>
                <w:sz w:val="20"/>
                <w:szCs w:val="20"/>
                <w:color w:val="auto"/>
              </w:rPr>
            </w:pPr>
            <w:r>
              <w:rPr>
                <w:rFonts w:ascii="Arial" w:cs="Arial" w:eastAsia="Arial" w:hAnsi="Arial"/>
                <w:sz w:val="14"/>
                <w:szCs w:val="14"/>
                <w:color w:val="auto"/>
                <w:w w:val="90"/>
              </w:rPr>
              <w:t>Governments</w:t>
            </w:r>
          </w:p>
        </w:tc>
        <w:tc>
          <w:tcPr>
            <w:tcW w:w="540" w:type="dxa"/>
            <w:vAlign w:val="bottom"/>
          </w:tcPr>
          <w:p>
            <w:pPr>
              <w:spacing w:after="0"/>
              <w:rPr>
                <w:sz w:val="12"/>
                <w:szCs w:val="12"/>
                <w:color w:val="auto"/>
              </w:rPr>
            </w:pPr>
          </w:p>
        </w:tc>
        <w:tc>
          <w:tcPr>
            <w:tcW w:w="1620" w:type="dxa"/>
            <w:vAlign w:val="bottom"/>
            <w:gridSpan w:val="3"/>
          </w:tcPr>
          <w:p>
            <w:pPr>
              <w:jc w:val="center"/>
              <w:ind w:right="720"/>
              <w:spacing w:after="0" w:line="148" w:lineRule="exact"/>
              <w:rPr>
                <w:sz w:val="20"/>
                <w:szCs w:val="20"/>
                <w:color w:val="auto"/>
              </w:rPr>
            </w:pPr>
            <w:r>
              <w:rPr>
                <w:rFonts w:ascii="Arial" w:cs="Arial" w:eastAsia="Arial" w:hAnsi="Arial"/>
                <w:sz w:val="14"/>
                <w:szCs w:val="14"/>
                <w:color w:val="auto"/>
                <w:w w:val="92"/>
              </w:rPr>
              <w:t>Governments</w:t>
            </w:r>
          </w:p>
        </w:tc>
        <w:tc>
          <w:tcPr>
            <w:tcW w:w="1000" w:type="dxa"/>
            <w:vAlign w:val="bottom"/>
            <w:gridSpan w:val="3"/>
          </w:tcPr>
          <w:p>
            <w:pPr>
              <w:jc w:val="center"/>
              <w:ind w:right="100"/>
              <w:spacing w:after="0" w:line="148" w:lineRule="exact"/>
              <w:rPr>
                <w:sz w:val="20"/>
                <w:szCs w:val="20"/>
                <w:color w:val="auto"/>
              </w:rPr>
            </w:pPr>
            <w:r>
              <w:rPr>
                <w:rFonts w:ascii="Arial" w:cs="Arial" w:eastAsia="Arial" w:hAnsi="Arial"/>
                <w:sz w:val="14"/>
                <w:szCs w:val="14"/>
                <w:color w:val="auto"/>
                <w:w w:val="92"/>
              </w:rPr>
              <w:t>Governments</w:t>
            </w:r>
          </w:p>
        </w:tc>
      </w:tr>
      <w:tr>
        <w:trPr>
          <w:trHeight w:val="167"/>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color w:val="auto"/>
                <w:w w:val="95"/>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color w:val="auto"/>
                <w:w w:val="92"/>
              </w:rPr>
              <w:t>Taxable</w:t>
            </w: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Total</w:t>
            </w: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5,904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(270)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4"/>
              </w:rPr>
              <w:t>5,634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7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March 31, 2017 and December 31, 2016,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8"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At March 31, 2017 and December 31, 2016, fair value of collateral dependent impaired loans categorized as Level 3 was $577 and $576 thousand, respectively. The specific allocation for impaired loans was $117 and $135 thousand as of March 31, 2017 and December 31, 2016, respectively, which are accounted for in the allowance for loan losses (see Note 4).</w:t>
      </w:r>
    </w:p>
    <w:p>
      <w:pPr>
        <w:spacing w:after="0" w:line="183"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unobservable inputs used in recurring and nonrecurring Level 3 fair value measurements: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8" w:lineRule="exact"/>
              <w:rPr>
                <w:sz w:val="20"/>
                <w:szCs w:val="20"/>
                <w:color w:val="auto"/>
              </w:rPr>
            </w:pPr>
            <w:r>
              <w:rPr>
                <w:rFonts w:ascii="Arial" w:cs="Arial" w:eastAsia="Arial" w:hAnsi="Arial"/>
                <w:sz w:val="14"/>
                <w:szCs w:val="14"/>
                <w:color w:val="auto"/>
                <w:w w:val="93"/>
              </w:rPr>
              <w:t>Fair Value at</w:t>
            </w: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60" w:type="dxa"/>
            <w:vAlign w:val="bottom"/>
            <w:gridSpan w:val="2"/>
            <w:vMerge w:val="restart"/>
          </w:tcPr>
          <w:p>
            <w:pPr>
              <w:ind w:left="1040"/>
              <w:spacing w:after="0"/>
              <w:rPr>
                <w:sz w:val="20"/>
                <w:szCs w:val="20"/>
                <w:color w:val="auto"/>
              </w:rPr>
            </w:pPr>
            <w:r>
              <w:rPr>
                <w:rFonts w:ascii="Arial" w:cs="Arial" w:eastAsia="Arial" w:hAnsi="Arial"/>
                <w:sz w:val="14"/>
                <w:szCs w:val="14"/>
                <w:color w:val="auto"/>
              </w:rPr>
              <w:t>Unobservable Inputs</w:t>
            </w:r>
          </w:p>
        </w:tc>
        <w:tc>
          <w:tcPr>
            <w:tcW w:w="120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March 31, 2017</w:t>
            </w:r>
          </w:p>
        </w:tc>
        <w:tc>
          <w:tcPr>
            <w:tcW w:w="1640" w:type="dxa"/>
            <w:vAlign w:val="bottom"/>
          </w:tcPr>
          <w:p>
            <w:pPr>
              <w:ind w:left="240"/>
              <w:spacing w:after="0"/>
              <w:rPr>
                <w:sz w:val="20"/>
                <w:szCs w:val="20"/>
                <w:color w:val="auto"/>
              </w:rPr>
            </w:pPr>
            <w:r>
              <w:rPr>
                <w:rFonts w:ascii="Arial" w:cs="Arial" w:eastAsia="Arial" w:hAnsi="Arial"/>
                <w:sz w:val="14"/>
                <w:szCs w:val="14"/>
                <w:color w:val="auto"/>
              </w:rPr>
              <w:t>Valuation Technique</w:t>
            </w:r>
          </w:p>
        </w:tc>
        <w:tc>
          <w:tcPr>
            <w:tcW w:w="200" w:type="dxa"/>
            <w:vAlign w:val="bottom"/>
          </w:tcPr>
          <w:p>
            <w:pPr>
              <w:spacing w:after="0"/>
              <w:rPr>
                <w:sz w:val="14"/>
                <w:szCs w:val="14"/>
                <w:color w:val="auto"/>
              </w:rPr>
            </w:pPr>
          </w:p>
        </w:tc>
        <w:tc>
          <w:tcPr>
            <w:tcW w:w="3460" w:type="dxa"/>
            <w:vAlign w:val="bottom"/>
            <w:gridSpan w:val="2"/>
            <w:vMerge w:val="continue"/>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94"/>
        </w:trPr>
        <w:tc>
          <w:tcPr>
            <w:tcW w:w="3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State and local government</w:t>
            </w:r>
          </w:p>
        </w:tc>
        <w:tc>
          <w:tcPr>
            <w:tcW w:w="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1,414</w:t>
            </w:r>
          </w:p>
        </w:tc>
        <w:tc>
          <w:tcPr>
            <w:tcW w:w="24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Discounted Cash Flow</w:t>
            </w:r>
          </w:p>
        </w:tc>
        <w:tc>
          <w:tcPr>
            <w:tcW w:w="200" w:type="dxa"/>
            <w:vAlign w:val="bottom"/>
            <w:tcBorders>
              <w:top w:val="single" w:sz="8" w:color="CCEEFF"/>
            </w:tcBorders>
            <w:shd w:val="clear" w:color="auto" w:fill="CCEEFF"/>
          </w:tcPr>
          <w:p>
            <w:pPr>
              <w:spacing w:after="0"/>
              <w:rPr>
                <w:sz w:val="16"/>
                <w:szCs w:val="16"/>
                <w:color w:val="auto"/>
              </w:rPr>
            </w:pPr>
          </w:p>
        </w:tc>
        <w:tc>
          <w:tcPr>
            <w:tcW w:w="3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Credit strength of underlying project or entity</w:t>
            </w: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0-5%</w:t>
            </w:r>
          </w:p>
        </w:tc>
        <w:tc>
          <w:tcPr>
            <w:tcW w:w="7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Discount rate</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540" w:type="dxa"/>
            <w:vAlign w:val="bottom"/>
          </w:tcPr>
          <w:p>
            <w:pPr>
              <w:spacing w:after="0" w:line="201" w:lineRule="exact"/>
              <w:rPr>
                <w:sz w:val="20"/>
                <w:szCs w:val="20"/>
                <w:color w:val="auto"/>
              </w:rPr>
            </w:pPr>
            <w:r>
              <w:rPr>
                <w:rFonts w:ascii="Arial" w:cs="Arial" w:eastAsia="Arial" w:hAnsi="Arial"/>
                <w:sz w:val="18"/>
                <w:szCs w:val="18"/>
                <w:color w:val="auto"/>
              </w:rPr>
              <w:t>Collateral dependent Impaired Loans</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577</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Collateral based</w:t>
            </w:r>
          </w:p>
        </w:tc>
        <w:tc>
          <w:tcPr>
            <w:tcW w:w="366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7"/>
              </w:rPr>
              <w:t>Discount to reflect current market conditions</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8"/>
              </w:rPr>
              <w:t>0-50%</w:t>
            </w:r>
          </w:p>
        </w:tc>
        <w:tc>
          <w:tcPr>
            <w:tcW w:w="700" w:type="dxa"/>
            <w:vAlign w:val="bottom"/>
          </w:tcPr>
          <w:p>
            <w:pPr>
              <w:ind w:left="20"/>
              <w:spacing w:after="0" w:line="201" w:lineRule="exact"/>
              <w:rPr>
                <w:sz w:val="20"/>
                <w:szCs w:val="20"/>
                <w:color w:val="auto"/>
              </w:rPr>
            </w:pPr>
            <w:r>
              <w:rPr>
                <w:rFonts w:ascii="Arial" w:cs="Arial" w:eastAsia="Arial" w:hAnsi="Arial"/>
                <w:sz w:val="18"/>
                <w:szCs w:val="18"/>
                <w:color w:val="auto"/>
                <w:w w:val="90"/>
              </w:rPr>
              <w:t>(16.95%)</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measurements</w:t>
            </w:r>
          </w:p>
        </w:tc>
        <w:tc>
          <w:tcPr>
            <w:tcW w:w="3660" w:type="dxa"/>
            <w:vAlign w:val="bottom"/>
            <w:gridSpan w:val="3"/>
          </w:tcPr>
          <w:p>
            <w:pPr>
              <w:ind w:left="200"/>
              <w:spacing w:after="0"/>
              <w:rPr>
                <w:sz w:val="20"/>
                <w:szCs w:val="20"/>
                <w:color w:val="auto"/>
              </w:rPr>
            </w:pPr>
            <w:r>
              <w:rPr>
                <w:rFonts w:ascii="Arial" w:cs="Arial" w:eastAsia="Arial" w:hAnsi="Arial"/>
                <w:sz w:val="18"/>
                <w:szCs w:val="18"/>
                <w:color w:val="auto"/>
              </w:rPr>
              <w:t>and ultimate collectability</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 -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Appraisals</w:t>
            </w:r>
          </w:p>
        </w:tc>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Discount to reflect current market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0-20% (0.0%)</w:t>
            </w:r>
          </w:p>
        </w:tc>
        <w:tc>
          <w:tcPr>
            <w:tcW w:w="0" w:type="dxa"/>
            <w:vAlign w:val="bottom"/>
          </w:tcPr>
          <w:p>
            <w:pPr>
              <w:spacing w:after="0"/>
              <w:rPr>
                <w:sz w:val="1"/>
                <w:szCs w:val="1"/>
                <w:color w:val="auto"/>
              </w:rPr>
            </w:pPr>
          </w:p>
        </w:tc>
      </w:tr>
      <w:tr>
        <w:trPr>
          <w:trHeight w:val="345"/>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8" w:lineRule="exact"/>
              <w:rPr>
                <w:sz w:val="20"/>
                <w:szCs w:val="20"/>
                <w:color w:val="auto"/>
              </w:rPr>
            </w:pPr>
            <w:r>
              <w:rPr>
                <w:rFonts w:ascii="Arial" w:cs="Arial" w:eastAsia="Arial" w:hAnsi="Arial"/>
                <w:sz w:val="14"/>
                <w:szCs w:val="14"/>
                <w:color w:val="auto"/>
                <w:w w:val="93"/>
              </w:rPr>
              <w:t>Fair Value at</w:t>
            </w: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60" w:type="dxa"/>
            <w:vAlign w:val="bottom"/>
            <w:gridSpan w:val="2"/>
            <w:vMerge w:val="restart"/>
          </w:tcPr>
          <w:p>
            <w:pPr>
              <w:ind w:left="1040"/>
              <w:spacing w:after="0"/>
              <w:rPr>
                <w:sz w:val="20"/>
                <w:szCs w:val="20"/>
                <w:color w:val="auto"/>
              </w:rPr>
            </w:pPr>
            <w:r>
              <w:rPr>
                <w:rFonts w:ascii="Arial" w:cs="Arial" w:eastAsia="Arial" w:hAnsi="Arial"/>
                <w:sz w:val="14"/>
                <w:szCs w:val="14"/>
                <w:color w:val="auto"/>
              </w:rPr>
              <w:t>Unobservable Inputs</w:t>
            </w:r>
          </w:p>
        </w:tc>
        <w:tc>
          <w:tcPr>
            <w:tcW w:w="120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December 31, 2016</w:t>
            </w:r>
          </w:p>
        </w:tc>
        <w:tc>
          <w:tcPr>
            <w:tcW w:w="1640" w:type="dxa"/>
            <w:vAlign w:val="bottom"/>
          </w:tcPr>
          <w:p>
            <w:pPr>
              <w:ind w:left="240"/>
              <w:spacing w:after="0"/>
              <w:rPr>
                <w:sz w:val="20"/>
                <w:szCs w:val="20"/>
                <w:color w:val="auto"/>
              </w:rPr>
            </w:pPr>
            <w:r>
              <w:rPr>
                <w:rFonts w:ascii="Arial" w:cs="Arial" w:eastAsia="Arial" w:hAnsi="Arial"/>
                <w:sz w:val="14"/>
                <w:szCs w:val="14"/>
                <w:color w:val="auto"/>
              </w:rPr>
              <w:t>Valuation Technique</w:t>
            </w:r>
          </w:p>
        </w:tc>
        <w:tc>
          <w:tcPr>
            <w:tcW w:w="200" w:type="dxa"/>
            <w:vAlign w:val="bottom"/>
          </w:tcPr>
          <w:p>
            <w:pPr>
              <w:spacing w:after="0"/>
              <w:rPr>
                <w:sz w:val="14"/>
                <w:szCs w:val="14"/>
                <w:color w:val="auto"/>
              </w:rPr>
            </w:pPr>
          </w:p>
        </w:tc>
        <w:tc>
          <w:tcPr>
            <w:tcW w:w="3460" w:type="dxa"/>
            <w:vAlign w:val="bottom"/>
            <w:gridSpan w:val="2"/>
            <w:vMerge w:val="continue"/>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94"/>
        </w:trPr>
        <w:tc>
          <w:tcPr>
            <w:tcW w:w="3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State and local government</w:t>
            </w:r>
          </w:p>
        </w:tc>
        <w:tc>
          <w:tcPr>
            <w:tcW w:w="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1,418</w:t>
            </w:r>
          </w:p>
        </w:tc>
        <w:tc>
          <w:tcPr>
            <w:tcW w:w="24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Discounted Cash Flow</w:t>
            </w:r>
          </w:p>
        </w:tc>
        <w:tc>
          <w:tcPr>
            <w:tcW w:w="200" w:type="dxa"/>
            <w:vAlign w:val="bottom"/>
            <w:tcBorders>
              <w:top w:val="single" w:sz="8" w:color="CCEEFF"/>
            </w:tcBorders>
            <w:shd w:val="clear" w:color="auto" w:fill="CCEEFF"/>
          </w:tcPr>
          <w:p>
            <w:pPr>
              <w:spacing w:after="0"/>
              <w:rPr>
                <w:sz w:val="16"/>
                <w:szCs w:val="16"/>
                <w:color w:val="auto"/>
              </w:rPr>
            </w:pPr>
          </w:p>
        </w:tc>
        <w:tc>
          <w:tcPr>
            <w:tcW w:w="3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Credit strength of underlying project or entity</w:t>
            </w: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0-5%</w:t>
            </w:r>
          </w:p>
        </w:tc>
        <w:tc>
          <w:tcPr>
            <w:tcW w:w="7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Discount rate</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540" w:type="dxa"/>
            <w:vAlign w:val="bottom"/>
          </w:tcPr>
          <w:p>
            <w:pPr>
              <w:spacing w:after="0" w:line="201" w:lineRule="exact"/>
              <w:rPr>
                <w:sz w:val="20"/>
                <w:szCs w:val="20"/>
                <w:color w:val="auto"/>
              </w:rPr>
            </w:pPr>
            <w:r>
              <w:rPr>
                <w:rFonts w:ascii="Arial" w:cs="Arial" w:eastAsia="Arial" w:hAnsi="Arial"/>
                <w:sz w:val="18"/>
                <w:szCs w:val="18"/>
                <w:color w:val="auto"/>
              </w:rPr>
              <w:t>Collateral dependent Impaired Loans</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576</w:t>
            </w:r>
          </w:p>
        </w:tc>
        <w:tc>
          <w:tcPr>
            <w:tcW w:w="1640" w:type="dxa"/>
            <w:vAlign w:val="bottom"/>
          </w:tcPr>
          <w:p>
            <w:pPr>
              <w:spacing w:after="0" w:line="201" w:lineRule="exact"/>
              <w:rPr>
                <w:sz w:val="20"/>
                <w:szCs w:val="20"/>
                <w:color w:val="auto"/>
              </w:rPr>
            </w:pPr>
            <w:r>
              <w:rPr>
                <w:rFonts w:ascii="Arial" w:cs="Arial" w:eastAsia="Arial" w:hAnsi="Arial"/>
                <w:sz w:val="18"/>
                <w:szCs w:val="18"/>
                <w:color w:val="auto"/>
              </w:rPr>
              <w:t>Collateral based</w:t>
            </w:r>
          </w:p>
        </w:tc>
        <w:tc>
          <w:tcPr>
            <w:tcW w:w="366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7"/>
              </w:rPr>
              <w:t>Discount to reflect current market conditions</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w w:val="88"/>
              </w:rPr>
              <w:t>0-50%</w:t>
            </w:r>
          </w:p>
        </w:tc>
        <w:tc>
          <w:tcPr>
            <w:tcW w:w="700" w:type="dxa"/>
            <w:vAlign w:val="bottom"/>
          </w:tcPr>
          <w:p>
            <w:pPr>
              <w:ind w:left="20"/>
              <w:spacing w:after="0" w:line="201" w:lineRule="exact"/>
              <w:rPr>
                <w:sz w:val="20"/>
                <w:szCs w:val="20"/>
                <w:color w:val="auto"/>
              </w:rPr>
            </w:pPr>
            <w:r>
              <w:rPr>
                <w:rFonts w:ascii="Arial" w:cs="Arial" w:eastAsia="Arial" w:hAnsi="Arial"/>
                <w:sz w:val="18"/>
                <w:szCs w:val="18"/>
                <w:color w:val="auto"/>
                <w:w w:val="90"/>
              </w:rPr>
              <w:t>(18.92%)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measurements</w:t>
            </w:r>
          </w:p>
        </w:tc>
        <w:tc>
          <w:tcPr>
            <w:tcW w:w="3660" w:type="dxa"/>
            <w:vAlign w:val="bottom"/>
            <w:gridSpan w:val="3"/>
          </w:tcPr>
          <w:p>
            <w:pPr>
              <w:ind w:left="200"/>
              <w:spacing w:after="0"/>
              <w:rPr>
                <w:sz w:val="20"/>
                <w:szCs w:val="20"/>
                <w:color w:val="auto"/>
              </w:rPr>
            </w:pPr>
            <w:r>
              <w:rPr>
                <w:rFonts w:ascii="Arial" w:cs="Arial" w:eastAsia="Arial" w:hAnsi="Arial"/>
                <w:sz w:val="18"/>
                <w:szCs w:val="18"/>
                <w:color w:val="auto"/>
              </w:rPr>
              <w:t>and ultimate collectability</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 -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Appraisals</w:t>
            </w:r>
          </w:p>
        </w:tc>
        <w:tc>
          <w:tcPr>
            <w:tcW w:w="3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Discount to reflect current market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0-20% (0.51%)</w:t>
            </w:r>
          </w:p>
        </w:tc>
        <w:tc>
          <w:tcPr>
            <w:tcW w:w="0" w:type="dxa"/>
            <w:vAlign w:val="bottom"/>
          </w:tcPr>
          <w:p>
            <w:pPr>
              <w:spacing w:after="0"/>
              <w:rPr>
                <w:sz w:val="1"/>
                <w:szCs w:val="1"/>
                <w:color w:val="auto"/>
              </w:rPr>
            </w:pPr>
          </w:p>
        </w:tc>
      </w:tr>
      <w:tr>
        <w:trPr>
          <w:trHeight w:val="36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ind w:left="70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6 FAIR VALUE OF FINANCIAL INSTRUMENTS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impaired loans and other real estate owned as recorded at fair value on March 31, 2017 and December 31, 2016:</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8"/>
          </w:tcPr>
          <w:p>
            <w:pPr>
              <w:jc w:val="center"/>
              <w:ind w:right="75"/>
              <w:spacing w:after="0"/>
              <w:rPr>
                <w:sz w:val="20"/>
                <w:szCs w:val="20"/>
                <w:color w:val="auto"/>
              </w:rPr>
            </w:pPr>
            <w:r>
              <w:rPr>
                <w:rFonts w:ascii="Arial" w:cs="Arial" w:eastAsia="Arial" w:hAnsi="Arial"/>
                <w:sz w:val="14"/>
                <w:szCs w:val="14"/>
                <w:color w:val="auto"/>
                <w:w w:val="92"/>
              </w:rPr>
              <w:t>Assets Measured at Fair Value on a Nonrecurring Basis at March 31, 2017</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80" w:type="dxa"/>
            <w:vAlign w:val="bottom"/>
            <w:gridSpan w:val="2"/>
          </w:tcPr>
          <w:p>
            <w:pPr>
              <w:spacing w:after="0" w:line="123" w:lineRule="exact"/>
              <w:rPr>
                <w:sz w:val="20"/>
                <w:szCs w:val="20"/>
                <w:color w:val="auto"/>
              </w:rPr>
            </w:pPr>
            <w:r>
              <w:rPr>
                <w:rFonts w:ascii="Arial" w:cs="Arial" w:eastAsia="Arial" w:hAnsi="Arial"/>
                <w:sz w:val="14"/>
                <w:szCs w:val="14"/>
                <w:color w:val="auto"/>
                <w:w w:val="93"/>
              </w:rPr>
              <w:t>Quoted Prices in Active</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1"/>
              <w:spacing w:after="0" w:line="148" w:lineRule="exact"/>
              <w:rPr>
                <w:sz w:val="20"/>
                <w:szCs w:val="20"/>
                <w:color w:val="auto"/>
              </w:rPr>
            </w:pPr>
            <w:r>
              <w:rPr>
                <w:rFonts w:ascii="Arial" w:cs="Arial" w:eastAsia="Arial" w:hAnsi="Arial"/>
                <w:sz w:val="14"/>
                <w:szCs w:val="14"/>
                <w:color w:val="auto"/>
                <w:w w:val="94"/>
              </w:rPr>
              <w:t>Markets for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760"/>
              <w:spacing w:after="0" w:line="148" w:lineRule="exact"/>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2"/>
                <w:szCs w:val="12"/>
                <w:color w:val="auto"/>
              </w:rPr>
            </w:pP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line="148" w:lineRule="exact"/>
              <w:rPr>
                <w:sz w:val="20"/>
                <w:szCs w:val="20"/>
                <w:color w:val="auto"/>
              </w:rPr>
            </w:pPr>
            <w:r>
              <w:rPr>
                <w:rFonts w:ascii="Arial" w:cs="Arial" w:eastAsia="Arial" w:hAnsi="Arial"/>
                <w:sz w:val="14"/>
                <w:szCs w:val="14"/>
                <w:color w:val="auto"/>
                <w:w w:val="90"/>
              </w:rPr>
              <w:t>Balance at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1"/>
              <w:spacing w:after="0" w:line="148" w:lineRule="exact"/>
              <w:rPr>
                <w:sz w:val="20"/>
                <w:szCs w:val="20"/>
                <w:color w:val="auto"/>
              </w:rPr>
            </w:pPr>
            <w:r>
              <w:rPr>
                <w:rFonts w:ascii="Arial" w:cs="Arial" w:eastAsia="Arial" w:hAnsi="Arial"/>
                <w:sz w:val="14"/>
                <w:szCs w:val="14"/>
                <w:color w:val="auto"/>
                <w:w w:val="95"/>
              </w:rPr>
              <w:t>Identical</w:t>
            </w:r>
          </w:p>
        </w:tc>
        <w:tc>
          <w:tcPr>
            <w:tcW w:w="580" w:type="dxa"/>
            <w:vAlign w:val="bottom"/>
          </w:tcPr>
          <w:p>
            <w:pPr>
              <w:spacing w:after="0"/>
              <w:rPr>
                <w:sz w:val="12"/>
                <w:szCs w:val="12"/>
                <w:color w:val="auto"/>
              </w:rPr>
            </w:pPr>
          </w:p>
        </w:tc>
        <w:tc>
          <w:tcPr>
            <w:tcW w:w="1660" w:type="dxa"/>
            <w:vAlign w:val="bottom"/>
            <w:gridSpan w:val="3"/>
          </w:tcPr>
          <w:p>
            <w:pPr>
              <w:ind w:left="20"/>
              <w:spacing w:after="0" w:line="148" w:lineRule="exact"/>
              <w:rPr>
                <w:sz w:val="20"/>
                <w:szCs w:val="20"/>
                <w:color w:val="auto"/>
              </w:rPr>
            </w:pPr>
            <w:r>
              <w:rPr>
                <w:rFonts w:ascii="Arial" w:cs="Arial" w:eastAsia="Arial" w:hAnsi="Arial"/>
                <w:sz w:val="14"/>
                <w:szCs w:val="14"/>
                <w:color w:val="auto"/>
              </w:rPr>
              <w:t>Observable Inputs</w:t>
            </w:r>
          </w:p>
        </w:tc>
        <w:tc>
          <w:tcPr>
            <w:tcW w:w="1240" w:type="dxa"/>
            <w:vAlign w:val="bottom"/>
            <w:gridSpan w:val="3"/>
          </w:tcPr>
          <w:p>
            <w:pPr>
              <w:spacing w:after="0" w:line="148" w:lineRule="exact"/>
              <w:rPr>
                <w:sz w:val="20"/>
                <w:szCs w:val="20"/>
                <w:color w:val="auto"/>
              </w:rPr>
            </w:pPr>
            <w:r>
              <w:rPr>
                <w:rFonts w:ascii="Arial" w:cs="Arial" w:eastAsia="Arial" w:hAnsi="Arial"/>
                <w:sz w:val="14"/>
                <w:szCs w:val="14"/>
                <w:color w:val="auto"/>
                <w:w w:val="94"/>
              </w:rPr>
              <w:t>Unobservable Inputs</w:t>
            </w: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9"/>
              <w:spacing w:after="0"/>
              <w:rPr>
                <w:sz w:val="20"/>
                <w:szCs w:val="20"/>
                <w:color w:val="auto"/>
              </w:rPr>
            </w:pPr>
            <w:r>
              <w:rPr>
                <w:rFonts w:ascii="Arial" w:cs="Arial" w:eastAsia="Arial" w:hAnsi="Arial"/>
                <w:sz w:val="14"/>
                <w:szCs w:val="14"/>
                <w:color w:val="auto"/>
                <w:w w:val="92"/>
              </w:rPr>
              <w:t>March 31, 2017</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1"/>
              <w:spacing w:after="0"/>
              <w:rPr>
                <w:sz w:val="20"/>
                <w:szCs w:val="20"/>
                <w:color w:val="auto"/>
              </w:rPr>
            </w:pPr>
            <w:r>
              <w:rPr>
                <w:rFonts w:ascii="Arial" w:cs="Arial" w:eastAsia="Arial" w:hAnsi="Arial"/>
                <w:sz w:val="14"/>
                <w:szCs w:val="14"/>
                <w:color w:val="auto"/>
                <w:w w:val="93"/>
              </w:rPr>
              <w:t>Assets (Level 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color w:val="auto"/>
                <w:w w:val="99"/>
              </w:rPr>
              <w:t>(Level 2)</w:t>
            </w:r>
          </w:p>
        </w:tc>
        <w:tc>
          <w:tcPr>
            <w:tcW w:w="2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577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real estate owned - residential</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change in fair value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9"/>
          </w:tcPr>
          <w:p>
            <w:pPr>
              <w:jc w:val="center"/>
              <w:ind w:left="779"/>
              <w:spacing w:after="0"/>
              <w:rPr>
                <w:sz w:val="20"/>
                <w:szCs w:val="20"/>
                <w:color w:val="auto"/>
              </w:rPr>
            </w:pPr>
            <w:r>
              <w:rPr>
                <w:rFonts w:ascii="Arial" w:cs="Arial" w:eastAsia="Arial" w:hAnsi="Arial"/>
                <w:sz w:val="14"/>
                <w:szCs w:val="14"/>
                <w:color w:val="auto"/>
                <w:w w:val="91"/>
              </w:rPr>
              <w:t>Assets Measured at Fair Value on a Nonrecurring Basis at December 31, 2016</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80" w:type="dxa"/>
            <w:vAlign w:val="bottom"/>
            <w:gridSpan w:val="2"/>
          </w:tcPr>
          <w:p>
            <w:pPr>
              <w:spacing w:after="0" w:line="123" w:lineRule="exact"/>
              <w:rPr>
                <w:sz w:val="20"/>
                <w:szCs w:val="20"/>
                <w:color w:val="auto"/>
              </w:rPr>
            </w:pPr>
            <w:r>
              <w:rPr>
                <w:rFonts w:ascii="Arial" w:cs="Arial" w:eastAsia="Arial" w:hAnsi="Arial"/>
                <w:sz w:val="14"/>
                <w:szCs w:val="14"/>
                <w:color w:val="auto"/>
                <w:w w:val="93"/>
              </w:rPr>
              <w:t>Quoted Prices in Active</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1"/>
              <w:spacing w:after="0" w:line="148" w:lineRule="exact"/>
              <w:rPr>
                <w:sz w:val="20"/>
                <w:szCs w:val="20"/>
                <w:color w:val="auto"/>
              </w:rPr>
            </w:pPr>
            <w:r>
              <w:rPr>
                <w:rFonts w:ascii="Arial" w:cs="Arial" w:eastAsia="Arial" w:hAnsi="Arial"/>
                <w:sz w:val="14"/>
                <w:szCs w:val="14"/>
                <w:color w:val="auto"/>
                <w:w w:val="94"/>
              </w:rPr>
              <w:t>Markets for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760"/>
              <w:spacing w:after="0" w:line="148" w:lineRule="exact"/>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2"/>
                <w:szCs w:val="12"/>
                <w:color w:val="auto"/>
              </w:rPr>
            </w:pP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line="148" w:lineRule="exact"/>
              <w:rPr>
                <w:sz w:val="20"/>
                <w:szCs w:val="20"/>
                <w:color w:val="auto"/>
              </w:rPr>
            </w:pPr>
            <w:r>
              <w:rPr>
                <w:rFonts w:ascii="Arial" w:cs="Arial" w:eastAsia="Arial" w:hAnsi="Arial"/>
                <w:sz w:val="14"/>
                <w:szCs w:val="14"/>
                <w:color w:val="auto"/>
                <w:w w:val="90"/>
              </w:rPr>
              <w:t>Balance at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1"/>
              <w:spacing w:after="0" w:line="148" w:lineRule="exact"/>
              <w:rPr>
                <w:sz w:val="20"/>
                <w:szCs w:val="20"/>
                <w:color w:val="auto"/>
              </w:rPr>
            </w:pPr>
            <w:r>
              <w:rPr>
                <w:rFonts w:ascii="Arial" w:cs="Arial" w:eastAsia="Arial" w:hAnsi="Arial"/>
                <w:sz w:val="14"/>
                <w:szCs w:val="14"/>
                <w:color w:val="auto"/>
                <w:w w:val="95"/>
              </w:rPr>
              <w:t>Identical</w:t>
            </w:r>
          </w:p>
        </w:tc>
        <w:tc>
          <w:tcPr>
            <w:tcW w:w="580" w:type="dxa"/>
            <w:vAlign w:val="bottom"/>
          </w:tcPr>
          <w:p>
            <w:pPr>
              <w:spacing w:after="0"/>
              <w:rPr>
                <w:sz w:val="12"/>
                <w:szCs w:val="12"/>
                <w:color w:val="auto"/>
              </w:rPr>
            </w:pPr>
          </w:p>
        </w:tc>
        <w:tc>
          <w:tcPr>
            <w:tcW w:w="1660" w:type="dxa"/>
            <w:vAlign w:val="bottom"/>
            <w:gridSpan w:val="3"/>
          </w:tcPr>
          <w:p>
            <w:pPr>
              <w:ind w:left="20"/>
              <w:spacing w:after="0" w:line="148" w:lineRule="exact"/>
              <w:rPr>
                <w:sz w:val="20"/>
                <w:szCs w:val="20"/>
                <w:color w:val="auto"/>
              </w:rPr>
            </w:pPr>
            <w:r>
              <w:rPr>
                <w:rFonts w:ascii="Arial" w:cs="Arial" w:eastAsia="Arial" w:hAnsi="Arial"/>
                <w:sz w:val="14"/>
                <w:szCs w:val="14"/>
                <w:color w:val="auto"/>
              </w:rPr>
              <w:t>Observable Inputs</w:t>
            </w:r>
          </w:p>
        </w:tc>
        <w:tc>
          <w:tcPr>
            <w:tcW w:w="1240" w:type="dxa"/>
            <w:vAlign w:val="bottom"/>
            <w:gridSpan w:val="3"/>
          </w:tcPr>
          <w:p>
            <w:pPr>
              <w:spacing w:after="0" w:line="148" w:lineRule="exact"/>
              <w:rPr>
                <w:sz w:val="20"/>
                <w:szCs w:val="20"/>
                <w:color w:val="auto"/>
              </w:rPr>
            </w:pPr>
            <w:r>
              <w:rPr>
                <w:rFonts w:ascii="Arial" w:cs="Arial" w:eastAsia="Arial" w:hAnsi="Arial"/>
                <w:sz w:val="14"/>
                <w:szCs w:val="14"/>
                <w:color w:val="auto"/>
                <w:w w:val="94"/>
              </w:rPr>
              <w:t>Unobservable Inputs</w:t>
            </w: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December 31, 2016</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1"/>
              <w:spacing w:after="0"/>
              <w:rPr>
                <w:sz w:val="20"/>
                <w:szCs w:val="20"/>
                <w:color w:val="auto"/>
              </w:rPr>
            </w:pPr>
            <w:r>
              <w:rPr>
                <w:rFonts w:ascii="Arial" w:cs="Arial" w:eastAsia="Arial" w:hAnsi="Arial"/>
                <w:sz w:val="14"/>
                <w:szCs w:val="14"/>
                <w:color w:val="auto"/>
                <w:w w:val="93"/>
              </w:rPr>
              <w:t>Assets (Level 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color w:val="auto"/>
                <w:w w:val="99"/>
              </w:rPr>
              <w:t>(Level 2)</w:t>
            </w:r>
          </w:p>
        </w:tc>
        <w:tc>
          <w:tcPr>
            <w:tcW w:w="2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576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real estate owned - residential</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change in fair value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240" w:top="458" w:right="6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Company had $0 and $17 million in Federal Funds Purchased as of March 31, 2017, and December 31, 2016, respectively. During the same time periods the company also had $28 million and $53 million in securities sold under agreement to repurchase.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March 31, 2017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gridSpan w:val="13"/>
          </w:tcPr>
          <w:p>
            <w:pPr>
              <w:jc w:val="center"/>
              <w:ind w:right="160"/>
              <w:spacing w:after="0" w:line="141"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5960" w:type="dxa"/>
            <w:vAlign w:val="bottom"/>
          </w:tcPr>
          <w:p>
            <w:pPr>
              <w:spacing w:after="0"/>
              <w:rPr>
                <w:sz w:val="10"/>
                <w:szCs w:val="10"/>
                <w:color w:val="auto"/>
              </w:rPr>
            </w:pPr>
          </w:p>
        </w:tc>
        <w:tc>
          <w:tcPr>
            <w:tcW w:w="760" w:type="dxa"/>
            <w:vAlign w:val="bottom"/>
            <w:gridSpan w:val="3"/>
          </w:tcPr>
          <w:p>
            <w:pPr>
              <w:ind w:left="20"/>
              <w:spacing w:after="0" w:line="123" w:lineRule="exact"/>
              <w:rPr>
                <w:sz w:val="20"/>
                <w:szCs w:val="20"/>
                <w:color w:val="auto"/>
              </w:rPr>
            </w:pPr>
            <w:r>
              <w:rPr>
                <w:rFonts w:ascii="Arial" w:cs="Arial" w:eastAsia="Arial" w:hAnsi="Arial"/>
                <w:sz w:val="14"/>
                <w:szCs w:val="14"/>
                <w:color w:val="auto"/>
                <w:w w:val="97"/>
              </w:rPr>
              <w:t>Overnight &amp;</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spacing w:after="0" w:line="123" w:lineRule="exact"/>
              <w:rPr>
                <w:sz w:val="20"/>
                <w:szCs w:val="20"/>
                <w:color w:val="auto"/>
              </w:rPr>
            </w:pPr>
            <w:r>
              <w:rPr>
                <w:rFonts w:ascii="Arial" w:cs="Arial" w:eastAsia="Arial" w:hAnsi="Arial"/>
                <w:sz w:val="14"/>
                <w:szCs w:val="14"/>
                <w:color w:val="auto"/>
              </w:rPr>
              <w:t>Greater Than 90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59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w w:val="98"/>
              </w:rPr>
              <w:t>Continuous</w:t>
            </w:r>
          </w:p>
        </w:tc>
        <w:tc>
          <w:tcPr>
            <w:tcW w:w="4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960" w:type="dxa"/>
            <w:vAlign w:val="bottom"/>
            <w:gridSpan w:val="5"/>
          </w:tcPr>
          <w:p>
            <w:pPr>
              <w:jc w:val="center"/>
              <w:ind w:right="320"/>
              <w:spacing w:after="0"/>
              <w:rPr>
                <w:sz w:val="20"/>
                <w:szCs w:val="20"/>
                <w:color w:val="auto"/>
              </w:rPr>
            </w:pPr>
            <w:r>
              <w:rPr>
                <w:rFonts w:ascii="Arial" w:cs="Arial" w:eastAsia="Arial" w:hAnsi="Arial"/>
                <w:sz w:val="14"/>
                <w:szCs w:val="14"/>
                <w:color w:val="auto"/>
                <w:w w:val="92"/>
              </w:rPr>
              <w:t>30-90 days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days</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960" w:type="dxa"/>
            <w:vAlign w:val="bottom"/>
            <w:shd w:val="clear" w:color="auto" w:fill="CCEEFF"/>
          </w:tcPr>
          <w:p>
            <w:pPr>
              <w:ind w:left="360"/>
              <w:spacing w:after="0" w:line="175" w:lineRule="exact"/>
              <w:rPr>
                <w:sz w:val="20"/>
                <w:szCs w:val="20"/>
                <w:color w:val="auto"/>
              </w:rPr>
            </w:pPr>
            <w:r>
              <w:rPr>
                <w:rFonts w:ascii="Arial" w:cs="Arial" w:eastAsia="Arial" w:hAnsi="Arial"/>
                <w:sz w:val="18"/>
                <w:szCs w:val="18"/>
                <w:color w:val="auto"/>
              </w:rPr>
              <w:t>US Treasury &amp; agency securities</w:t>
            </w:r>
          </w:p>
        </w:tc>
        <w:tc>
          <w:tcPr>
            <w:tcW w:w="1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7,352</w:t>
            </w:r>
          </w:p>
        </w:tc>
        <w:tc>
          <w:tcPr>
            <w:tcW w:w="720" w:type="dxa"/>
            <w:vAlign w:val="bottom"/>
            <w:gridSpan w:val="2"/>
            <w:shd w:val="clear" w:color="auto" w:fill="CCEEFF"/>
          </w:tcPr>
          <w:p>
            <w:pPr>
              <w:ind w:left="400"/>
              <w:spacing w:after="0" w:line="175"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line="175"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140"/>
              <w:spacing w:after="0" w:line="175"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line="175"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line="175" w:lineRule="exact"/>
              <w:rPr>
                <w:sz w:val="20"/>
                <w:szCs w:val="20"/>
                <w:color w:val="auto"/>
              </w:rPr>
            </w:pPr>
            <w:r>
              <w:rPr>
                <w:rFonts w:ascii="Arial" w:cs="Arial" w:eastAsia="Arial" w:hAnsi="Arial"/>
                <w:sz w:val="18"/>
                <w:szCs w:val="18"/>
                <w:color w:val="auto"/>
              </w:rPr>
              <w:t>20,609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8"/>
                <w:szCs w:val="18"/>
                <w:color w:val="auto"/>
                <w:w w:val="87"/>
              </w:rPr>
              <w:t>27,961</w:t>
            </w:r>
          </w:p>
        </w:tc>
      </w:tr>
      <w:tr>
        <w:trPr>
          <w:trHeight w:val="182"/>
        </w:trPr>
        <w:tc>
          <w:tcPr>
            <w:tcW w:w="59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7,352</w:t>
            </w: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tcPr>
          <w:p>
            <w:pPr>
              <w:ind w:left="140"/>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20,609</w:t>
            </w: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27,961</w:t>
            </w:r>
          </w:p>
        </w:tc>
        <w:tc>
          <w:tcPr>
            <w:tcW w:w="60" w:type="dxa"/>
            <w:vAlign w:val="bottom"/>
            <w:tcBorders>
              <w:top w:val="single" w:sz="8" w:color="CCEEFF"/>
            </w:tcBorders>
          </w:tcPr>
          <w:p>
            <w:pPr>
              <w:spacing w:after="0"/>
              <w:rPr>
                <w:sz w:val="15"/>
                <w:szCs w:val="15"/>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December 31, 2016</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1"/>
        </w:trPr>
        <w:tc>
          <w:tcPr>
            <w:tcW w:w="5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gridSpan w:val="13"/>
          </w:tcPr>
          <w:p>
            <w:pPr>
              <w:jc w:val="center"/>
              <w:ind w:right="160"/>
              <w:spacing w:after="0" w:line="141" w:lineRule="exact"/>
              <w:rPr>
                <w:sz w:val="20"/>
                <w:szCs w:val="20"/>
                <w:color w:val="auto"/>
              </w:rPr>
            </w:pPr>
            <w:r>
              <w:rPr>
                <w:rFonts w:ascii="Arial" w:cs="Arial" w:eastAsia="Arial" w:hAnsi="Arial"/>
                <w:sz w:val="14"/>
                <w:szCs w:val="14"/>
                <w:color w:val="auto"/>
                <w:w w:val="94"/>
              </w:rPr>
              <w:t>Remaining Contratual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5960" w:type="dxa"/>
            <w:vAlign w:val="bottom"/>
          </w:tcPr>
          <w:p>
            <w:pPr>
              <w:spacing w:after="0"/>
              <w:rPr>
                <w:sz w:val="10"/>
                <w:szCs w:val="10"/>
                <w:color w:val="auto"/>
              </w:rPr>
            </w:pPr>
          </w:p>
        </w:tc>
        <w:tc>
          <w:tcPr>
            <w:tcW w:w="760" w:type="dxa"/>
            <w:vAlign w:val="bottom"/>
            <w:gridSpan w:val="3"/>
          </w:tcPr>
          <w:p>
            <w:pPr>
              <w:ind w:left="20"/>
              <w:spacing w:after="0" w:line="123" w:lineRule="exact"/>
              <w:rPr>
                <w:sz w:val="20"/>
                <w:szCs w:val="20"/>
                <w:color w:val="auto"/>
              </w:rPr>
            </w:pPr>
            <w:r>
              <w:rPr>
                <w:rFonts w:ascii="Arial" w:cs="Arial" w:eastAsia="Arial" w:hAnsi="Arial"/>
                <w:sz w:val="14"/>
                <w:szCs w:val="14"/>
                <w:color w:val="auto"/>
                <w:w w:val="97"/>
              </w:rPr>
              <w:t>Overnight &amp;</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tcPr>
          <w:p>
            <w:pPr>
              <w:spacing w:after="0" w:line="123" w:lineRule="exact"/>
              <w:rPr>
                <w:sz w:val="20"/>
                <w:szCs w:val="20"/>
                <w:color w:val="auto"/>
              </w:rPr>
            </w:pPr>
            <w:r>
              <w:rPr>
                <w:rFonts w:ascii="Arial" w:cs="Arial" w:eastAsia="Arial" w:hAnsi="Arial"/>
                <w:sz w:val="14"/>
                <w:szCs w:val="14"/>
                <w:color w:val="auto"/>
              </w:rPr>
              <w:t>Greater Than 90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59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w w:val="98"/>
              </w:rPr>
              <w:t>Continuous</w:t>
            </w:r>
          </w:p>
        </w:tc>
        <w:tc>
          <w:tcPr>
            <w:tcW w:w="4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960" w:type="dxa"/>
            <w:vAlign w:val="bottom"/>
            <w:gridSpan w:val="5"/>
          </w:tcPr>
          <w:p>
            <w:pPr>
              <w:jc w:val="center"/>
              <w:ind w:right="320"/>
              <w:spacing w:after="0"/>
              <w:rPr>
                <w:sz w:val="20"/>
                <w:szCs w:val="20"/>
                <w:color w:val="auto"/>
              </w:rPr>
            </w:pPr>
            <w:r>
              <w:rPr>
                <w:rFonts w:ascii="Arial" w:cs="Arial" w:eastAsia="Arial" w:hAnsi="Arial"/>
                <w:sz w:val="14"/>
                <w:szCs w:val="14"/>
                <w:color w:val="auto"/>
                <w:w w:val="92"/>
              </w:rPr>
              <w:t>30-90 days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days</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17,000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960" w:type="dxa"/>
            <w:vAlign w:val="bottom"/>
            <w:shd w:val="clear" w:color="auto" w:fill="CCEEFF"/>
          </w:tcPr>
          <w:p>
            <w:pPr>
              <w:ind w:left="360"/>
              <w:spacing w:after="0" w:line="175" w:lineRule="exact"/>
              <w:rPr>
                <w:sz w:val="20"/>
                <w:szCs w:val="20"/>
                <w:color w:val="auto"/>
              </w:rPr>
            </w:pPr>
            <w:r>
              <w:rPr>
                <w:rFonts w:ascii="Arial" w:cs="Arial" w:eastAsia="Arial" w:hAnsi="Arial"/>
                <w:sz w:val="18"/>
                <w:szCs w:val="18"/>
                <w:color w:val="auto"/>
              </w:rPr>
              <w:t>US Treasury &amp; agency securities</w:t>
            </w:r>
          </w:p>
        </w:tc>
        <w:tc>
          <w:tcPr>
            <w:tcW w:w="1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32,814</w:t>
            </w:r>
          </w:p>
        </w:tc>
        <w:tc>
          <w:tcPr>
            <w:tcW w:w="720" w:type="dxa"/>
            <w:vAlign w:val="bottom"/>
            <w:gridSpan w:val="2"/>
            <w:shd w:val="clear" w:color="auto" w:fill="CCEEFF"/>
          </w:tcPr>
          <w:p>
            <w:pPr>
              <w:ind w:left="400"/>
              <w:spacing w:after="0" w:line="175"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line="175"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line="175"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140"/>
              <w:spacing w:after="0" w:line="175"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line="175"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line="175" w:lineRule="exact"/>
              <w:rPr>
                <w:sz w:val="20"/>
                <w:szCs w:val="20"/>
                <w:color w:val="auto"/>
              </w:rPr>
            </w:pPr>
            <w:r>
              <w:rPr>
                <w:rFonts w:ascii="Arial" w:cs="Arial" w:eastAsia="Arial" w:hAnsi="Arial"/>
                <w:sz w:val="18"/>
                <w:szCs w:val="18"/>
                <w:color w:val="auto"/>
              </w:rPr>
              <w:t>20,510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8"/>
                <w:szCs w:val="18"/>
                <w:color w:val="auto"/>
                <w:w w:val="87"/>
              </w:rPr>
              <w:t>53,324</w:t>
            </w:r>
          </w:p>
        </w:tc>
      </w:tr>
      <w:tr>
        <w:trPr>
          <w:trHeight w:val="182"/>
        </w:trPr>
        <w:tc>
          <w:tcPr>
            <w:tcW w:w="59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49,814</w:t>
            </w: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tcPr>
          <w:p>
            <w:pPr>
              <w:ind w:left="140"/>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20,510</w:t>
            </w: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70,324</w:t>
            </w:r>
          </w:p>
        </w:tc>
        <w:tc>
          <w:tcPr>
            <w:tcW w:w="60" w:type="dxa"/>
            <w:vAlign w:val="bottom"/>
            <w:tcBorders>
              <w:top w:val="single" w:sz="8" w:color="CCEEFF"/>
            </w:tcBorders>
          </w:tcPr>
          <w:p>
            <w:pPr>
              <w:spacing w:after="0"/>
              <w:rPr>
                <w:sz w:val="15"/>
                <w:szCs w:val="15"/>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NOTE 8 RECENT ACCOUNTING PRONOUNCEMENTS</w:t>
      </w:r>
    </w:p>
    <w:p>
      <w:pPr>
        <w:spacing w:after="0" w:line="1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January 2016, the Financial Accounting Standards Board (FASB) issued ASU No. 2016-01 “</w:t>
      </w:r>
      <w:r>
        <w:rPr>
          <w:rFonts w:ascii="Arial" w:cs="Arial" w:eastAsia="Arial" w:hAnsi="Arial"/>
          <w:sz w:val="16"/>
          <w:szCs w:val="16"/>
          <w:i w:val="1"/>
          <w:iCs w:val="1"/>
          <w:color w:val="auto"/>
        </w:rPr>
        <w:t>Financial Instruments - Overall (Subtopic 825-10)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ASU 2016-01 is intended to improve the recognition and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by 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is assessing the impact of ASU 2016-01 on its accounting and disclosures. While it would be preferred to run fair value adjustment through other comprehensive income, the Company would choose to limit any further fair value presentation on the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8"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8 RECENT ACCOUNTING PRONOUNCEMENTS (Continued)</w:t>
      </w:r>
    </w:p>
    <w:p>
      <w:pPr>
        <w:spacing w:after="0" w:line="15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2016, the FASB issued ASU No. 2016-09 “</w:t>
      </w:r>
      <w:r>
        <w:rPr>
          <w:rFonts w:ascii="Arial" w:cs="Arial" w:eastAsia="Arial" w:hAnsi="Arial"/>
          <w:sz w:val="18"/>
          <w:szCs w:val="18"/>
          <w:i w:val="1"/>
          <w:iCs w:val="1"/>
          <w:color w:val="auto"/>
        </w:rPr>
        <w:t>Compensation - Stock Compensation (Topic 718) -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requires all income tax effects of awards to be recognized in the income statement when the awards vest or are settled. It also</w:t>
      </w:r>
      <w:r>
        <w:rPr>
          <w:rFonts w:ascii="Arial" w:cs="Arial" w:eastAsia="Arial" w:hAnsi="Arial"/>
          <w:sz w:val="18"/>
          <w:szCs w:val="18"/>
          <w:i w:val="1"/>
          <w:iCs w:val="1"/>
          <w:color w:val="auto"/>
        </w:rPr>
        <w:t xml:space="preserve"> </w:t>
      </w:r>
      <w:r>
        <w:rPr>
          <w:rFonts w:ascii="Arial" w:cs="Arial" w:eastAsia="Arial" w:hAnsi="Arial"/>
          <w:sz w:val="18"/>
          <w:szCs w:val="18"/>
          <w:color w:val="auto"/>
        </w:rPr>
        <w:t>allows an employer to repurchase more of an employee’s shares than it can today for tax withholding purposes without triggering liability accounting and to make a policy election for forfeitures as they occur. The guidance is effective for public business entities for fiscal years beginning after December 15, 2016, and interim periods within those years. Early adoption is permitted. The Company adopted ASU 2016-09 on January 1, 2017. ASU 2016-09 also requires that companies make an accounting policy election regarding forfeitures, to either estimate the number of awards that are expected to vest or account for them when they occur. The impact of this change and that of the remaining provisions of ASU 2016-09 did not have a significant impact on our financial statements.</w:t>
      </w:r>
    </w:p>
    <w:p>
      <w:pPr>
        <w:spacing w:after="0" w:line="19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June 2016, FASB issued 2016-13, Financial Instruments - 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 Simplifying the Test for Goodwill Impairment”</w:t>
      </w:r>
      <w:r>
        <w:rPr>
          <w:rFonts w:ascii="Arial" w:cs="Arial" w:eastAsia="Arial" w:hAnsi="Arial"/>
          <w:sz w:val="18"/>
          <w:szCs w:val="18"/>
          <w:color w:val="auto"/>
        </w:rPr>
        <w:t xml:space="preserve"> These amendments eliminate Step 2 from the goodwill impairment test.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w:t>
      </w:r>
    </w:p>
    <w:p>
      <w:pPr>
        <w:spacing w:after="0" w:line="192"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 xml:space="preserve">In March 2017, the FASB issued Accounting Standards Update (ASU) No. 2017-08 </w:t>
      </w:r>
      <w:r>
        <w:rPr>
          <w:rFonts w:ascii="Arial" w:cs="Arial" w:eastAsia="Arial" w:hAnsi="Arial"/>
          <w:sz w:val="18"/>
          <w:szCs w:val="18"/>
          <w:i w:val="1"/>
          <w:iCs w:val="1"/>
          <w:color w:val="auto"/>
        </w:rPr>
        <w:t>“Receivables – Nonrefundable Fees and Other Cost (Subtopic 310-20),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Premium Amortization on Purchased Callable Debit Securities.” </w:t>
      </w:r>
      <w:r>
        <w:rPr>
          <w:rFonts w:ascii="Arial" w:cs="Arial" w:eastAsia="Arial" w:hAnsi="Arial"/>
          <w:sz w:val="18"/>
          <w:szCs w:val="18"/>
          <w:color w:val="auto"/>
        </w:rPr>
        <w:t>These amendments shorten the amortization period for certain callable debit securities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a premium. Specifically,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8"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8 RECENT ACCOUNTING PRONOUNCEMENTS (Continued)</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does have exposure and is assessing the impact of ASU 2017-08 and may choose early adoption. Overall, the Company does not expect it to have a material impact on it accounting.</w:t>
      </w:r>
    </w:p>
    <w:p>
      <w:pPr>
        <w:spacing w:after="0" w:line="33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continued to emphasize the importance of loan growth to overall profitability for the new year. First quarter performance for 2017 was stronger than the previous first quarter 2016. It represented a continuation of 2016’s milestone year. The increase in rate by the Federal Reserve in December 2016 and March 2017 of 25 basis points each provided the stimulus for the prime lending rate to be increased by similar amounts. Many of the Bank’s variable loans have now had spread adjustments raising the base rates equivalent to their floors or above. This has resulted in improved asset yield when coupled with loan growth.</w:t>
      </w:r>
    </w:p>
    <w:p>
      <w:pPr>
        <w:spacing w:after="0" w:line="1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 mild winter and higher than normal temperatures through the Company’s market area has area farmers preparing the fields with some planting. A breakeven to modest performance in 2016 did not harm the agricultural customers though some operating loans have been utilized to fund inputs for 2017. The Bank is not overly concerned as borrowers remain well capitalized and land values have only decreased slightly.</w:t>
      </w:r>
    </w:p>
    <w:p>
      <w:pPr>
        <w:spacing w:after="0" w:line="183"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Consumer loans slowed during the first quarter while residential mortgage loans increased. Unemployment rates remain low though slight increases were evident in the Company’s most mature markets.</w:t>
      </w:r>
    </w:p>
    <w:p>
      <w:pPr>
        <w:spacing w:after="0" w:line="170"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Manufacturing activity remains similar to last year. Low gas prices continue to help the local economies. Commercial lending remains firm with the growth in the portfolio dominated by market share increases. The Company’s growth has been largely attributable to expanding relationships with newer customers and acquiring customers from our competitors.</w:t>
      </w:r>
    </w:p>
    <w:p>
      <w:pPr>
        <w:spacing w:after="0" w:line="18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Loan growth drove the improvement in net interest income as compared to last year. Net income after taxes ended the first quarter 2017 14.4% above first quarter 2016. The 9.5% increase in net interest income after provision for loan losses resulted in a 13.0% increase in earnings per share for the 2017 first quarter as compared to 2016’s first quarter.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w:t>
      </w:r>
    </w:p>
    <w:p>
      <w:pPr>
        <w:spacing w:after="0" w:line="224"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The Bank opened an additional office during April of 2016 in Fort Wayne, Indiana and the office is located within the corporation limits of Huntertown, with a Fort Wayne address. The Bank has continued its expansion strategy and the new office is expected to provide new growth opportunities.</w:t>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The Bank opened its twenty-fourth location in Bowling Green, Ohio in the fourth quarter 2016. It is the second leased office and was renovated to meet the Bank’s needs before opening.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8"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NATURE OF ACTIVITIES (Continued)</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w:t>
      </w:r>
    </w:p>
    <w:p>
      <w:pPr>
        <w:spacing w:after="0" w:line="183"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Upgrades to our digital products and services continue to occur in both retail and business lines.</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66"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129" w:lineRule="exact"/>
        <w:rPr>
          <w:sz w:val="20"/>
          <w:szCs w:val="20"/>
          <w:color w:val="auto"/>
        </w:rPr>
      </w:pPr>
    </w:p>
    <w:p>
      <w:pPr>
        <w:ind w:left="900" w:hanging="448"/>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spacing w:after="0" w:line="129" w:lineRule="exact"/>
        <w:rPr>
          <w:rFonts w:ascii="Arial" w:cs="Arial" w:eastAsia="Arial" w:hAnsi="Arial"/>
          <w:sz w:val="18"/>
          <w:szCs w:val="18"/>
          <w:color w:val="auto"/>
        </w:rPr>
      </w:pPr>
    </w:p>
    <w:p>
      <w:pPr>
        <w:ind w:left="900" w:hanging="448"/>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Loans above 100% are generally due to additional charges for extended warranties and/or insurance coverage periods for wage or death.</w:t>
      </w:r>
    </w:p>
    <w:p>
      <w:pPr>
        <w:spacing w:after="0" w:line="140" w:lineRule="exact"/>
        <w:rPr>
          <w:rFonts w:ascii="Arial" w:cs="Arial" w:eastAsia="Arial" w:hAnsi="Arial"/>
          <w:sz w:val="17"/>
          <w:szCs w:val="17"/>
          <w:color w:val="auto"/>
        </w:rPr>
      </w:pPr>
    </w:p>
    <w:p>
      <w:pPr>
        <w:ind w:left="900" w:hanging="448"/>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129" w:lineRule="exact"/>
        <w:rPr>
          <w:rFonts w:ascii="Arial" w:cs="Arial" w:eastAsia="Arial" w:hAnsi="Arial"/>
          <w:sz w:val="18"/>
          <w:szCs w:val="18"/>
          <w:color w:val="auto"/>
        </w:rPr>
      </w:pPr>
    </w:p>
    <w:p>
      <w:pPr>
        <w:ind w:left="900" w:right="80" w:hanging="448"/>
        <w:spacing w:after="0" w:line="27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75" w:lineRule="exact"/>
        <w:rPr>
          <w:rFonts w:ascii="Arial" w:cs="Arial" w:eastAsia="Arial" w:hAnsi="Arial"/>
          <w:sz w:val="18"/>
          <w:szCs w:val="18"/>
          <w:color w:val="auto"/>
        </w:rPr>
      </w:pPr>
    </w:p>
    <w:p>
      <w:pPr>
        <w:ind w:left="900" w:hanging="448"/>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8"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NATURE OF ACTIVITIES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129" w:lineRule="exact"/>
        <w:rPr>
          <w:sz w:val="20"/>
          <w:szCs w:val="20"/>
          <w:color w:val="auto"/>
        </w:rPr>
      </w:pPr>
    </w:p>
    <w:p>
      <w:pPr>
        <w:ind w:left="900" w:hanging="448"/>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129" w:lineRule="exact"/>
        <w:rPr>
          <w:rFonts w:ascii="Arial" w:cs="Arial" w:eastAsia="Arial" w:hAnsi="Arial"/>
          <w:sz w:val="18"/>
          <w:szCs w:val="18"/>
          <w:color w:val="auto"/>
        </w:rPr>
      </w:pPr>
    </w:p>
    <w:p>
      <w:pPr>
        <w:ind w:left="900" w:hanging="448"/>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29" w:lineRule="exact"/>
        <w:rPr>
          <w:sz w:val="20"/>
          <w:szCs w:val="20"/>
          <w:color w:val="auto"/>
        </w:rPr>
      </w:pPr>
    </w:p>
    <w:p>
      <w:pPr>
        <w:ind w:left="900" w:hanging="448"/>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Livestock and grain up to 80% LTV, crops (insured) up to 75% and Warehouse Receipts up to 87%.</w:t>
      </w:r>
    </w:p>
    <w:p>
      <w:pPr>
        <w:spacing w:after="0" w:line="129" w:lineRule="exact"/>
        <w:rPr>
          <w:sz w:val="20"/>
          <w:szCs w:val="20"/>
          <w:color w:val="auto"/>
        </w:rPr>
      </w:pPr>
    </w:p>
    <w:p>
      <w:pPr>
        <w:ind w:left="900" w:hanging="448"/>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Maximum LTV of 50% on raw and finished goods.</w:t>
      </w:r>
    </w:p>
    <w:p>
      <w:pPr>
        <w:spacing w:after="0" w:line="129" w:lineRule="exact"/>
        <w:rPr>
          <w:sz w:val="20"/>
          <w:szCs w:val="20"/>
          <w:color w:val="auto"/>
        </w:rPr>
      </w:pPr>
    </w:p>
    <w:p>
      <w:pPr>
        <w:ind w:left="900" w:hanging="448"/>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29" w:lineRule="exact"/>
        <w:rPr>
          <w:rFonts w:ascii="Arial" w:cs="Arial" w:eastAsia="Arial" w:hAnsi="Arial"/>
          <w:sz w:val="18"/>
          <w:szCs w:val="18"/>
          <w:color w:val="auto"/>
        </w:rPr>
      </w:pPr>
    </w:p>
    <w:p>
      <w:pPr>
        <w:ind w:left="1940" w:hanging="452"/>
        <w:spacing w:after="0"/>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129" w:lineRule="exact"/>
        <w:rPr>
          <w:rFonts w:ascii="Arial" w:cs="Arial" w:eastAsia="Arial" w:hAnsi="Arial"/>
          <w:sz w:val="18"/>
          <w:szCs w:val="18"/>
          <w:color w:val="auto"/>
        </w:rPr>
      </w:pPr>
    </w:p>
    <w:p>
      <w:pPr>
        <w:ind w:left="1940" w:hanging="452"/>
        <w:spacing w:after="0"/>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29" w:lineRule="exact"/>
        <w:rPr>
          <w:sz w:val="20"/>
          <w:szCs w:val="20"/>
          <w:color w:val="auto"/>
        </w:rPr>
      </w:pPr>
    </w:p>
    <w:p>
      <w:pPr>
        <w:ind w:left="900" w:hanging="448"/>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129" w:lineRule="exact"/>
        <w:rPr>
          <w:rFonts w:ascii="Arial" w:cs="Arial" w:eastAsia="Arial" w:hAnsi="Arial"/>
          <w:sz w:val="18"/>
          <w:szCs w:val="18"/>
          <w:color w:val="auto"/>
        </w:rPr>
      </w:pPr>
    </w:p>
    <w:p>
      <w:pPr>
        <w:ind w:left="900" w:hanging="448"/>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129" w:lineRule="exact"/>
        <w:rPr>
          <w:rFonts w:ascii="Arial" w:cs="Arial" w:eastAsia="Arial" w:hAnsi="Arial"/>
          <w:sz w:val="18"/>
          <w:szCs w:val="18"/>
          <w:color w:val="auto"/>
        </w:rPr>
      </w:pPr>
    </w:p>
    <w:p>
      <w:pPr>
        <w:ind w:left="900" w:hanging="448"/>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224"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jc w:val="both"/>
        <w:ind w:right="260"/>
        <w:spacing w:after="0" w:line="295"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Bank’s primary market includes communities located in the Ohio counties of Defiance, Fulton, Henry, Lucas, Williams, Wood and in the Indiana counties of DeKalb and Steuben. In the second quarter of 2016 the Bank added the Indiana county of Allen to its service area with the opening of its newly constructed office in Fort Wayne. In third quarter 2016, the Bank opened its 25</w:t>
      </w:r>
      <w:r>
        <w:rPr>
          <w:rFonts w:ascii="Arial" w:cs="Arial" w:eastAsia="Arial" w:hAnsi="Arial"/>
          <w:sz w:val="14"/>
          <w:szCs w:val="14"/>
          <w:color w:val="auto"/>
        </w:rPr>
        <w:t>th</w:t>
      </w:r>
      <w:r>
        <w:rPr>
          <w:rFonts w:ascii="Arial" w:cs="Arial" w:eastAsia="Arial" w:hAnsi="Arial"/>
          <w:sz w:val="17"/>
          <w:szCs w:val="17"/>
          <w:color w:val="auto"/>
        </w:rPr>
        <w:t xml:space="preserve"> office in Bowling Green, Ohio. The new office is located next to Kroger. Bowling Green is home to Bowling Green State University and its nearly 17,000 students and more than 2,000 faculty members. Bowling Green is an exciting market supported by compelling demographics, a strong economic anchor and expanded our presence in Wood County, Ohio. The commercial banking business in this market is highly competitive, with approximately 17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At March 31, 2017, we had 272 full time equivalent employees. The employees are not represented by a collective bargaining unit. We provide our employees with a comprehensive benefit program, some of which are contributory. We consider our employee relations to be good.</w:t>
      </w:r>
    </w:p>
    <w:p>
      <w:pPr>
        <w:sectPr>
          <w:pgSz w:w="11900" w:h="16838" w:orient="portrait"/>
          <w:cols w:equalWidth="0" w:num="1">
            <w:col w:w="11380"/>
          </w:cols>
          <w:pgMar w:left="240" w:top="458"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REGULATORY DEVELOPMENTS</w:t>
      </w:r>
    </w:p>
    <w:p>
      <w:pPr>
        <w:spacing w:after="0" w:line="12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Bank remains attentive to the current regulatory environment in light of the risk-based approach regulatory agencies use to conduct examinations. The degree of regulatory changes and the complexity of the recent new rules, which lack clarity or guidance on various provisions, and have resulted in uncertainties regarding liability, pose an increased overall risk of noncompliance. Various significant mortgage rules require ongoing monitoring by means of testing, validation of results, additional training, and further research or consultation to assist with ensuring compliance.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REGULATORY DEVELOPMENTS (Continued)</w:t>
      </w:r>
    </w:p>
    <w:p>
      <w:pPr>
        <w:spacing w:after="0" w:line="1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Bank is subject to numerous laws, rules, regulations and guidance which include to the following significant matters, yet are not limited solely to these matters, deposit insurance coverage, equal credit opportunity, fair lending; community reinvestment; anti-money laundering; suspicious activity reporting; identity theft identification and prevention; protections for military members and their dependents; flood disaster protection; mortgage servicing rights; legal lending limits; electronic fund transfers; and consumer privacy. Extensive training and training resources are necessary to develop and maintain expertise on the various regulatory matters.</w:t>
      </w:r>
    </w:p>
    <w:p>
      <w:pPr>
        <w:spacing w:after="0" w:line="1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Implementation of the new Military Lending Act (MLA) requirements was conducted to meet the mandatory compliance date in October 2016. Coverage of credit card accounts becomes effective on October 3, 2017. The MLA is intended to protect active duty military service members and their dependents from potentially abusive lending practices. New requirements resulted in expanded coverage of more types of loans. Safe harbor methods to identify covered borrowers who are military service members or their dependents were implemented, along with required disclosures. Training on MLA requirements was provided.</w:t>
      </w:r>
    </w:p>
    <w:p>
      <w:pPr>
        <w:spacing w:after="0" w:line="1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83"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0"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reals estate acquired through or in lieu of; loan foreclosures (“OREO Property”) as the accounting areas that require the most subjective or complex judgments, and as such could be the most subject to revision as new information becomes available.</w:t>
      </w:r>
    </w:p>
    <w:p>
      <w:pPr>
        <w:spacing w:after="0" w:line="17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 The net income from operations of foreclosed real estate held for sale is reported either in non-interest income or non-interest expense depending upon whether the property is in a gain or loss position overall. At March 31, 2017 and December 31, 2016 OREO Property holdings were $774 thousand. OREO totaled $1.1 million as of March 31, 2016.</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8"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 (Continued)</w:t>
      </w:r>
    </w:p>
    <w:p>
      <w:pPr>
        <w:spacing w:after="0" w:line="156"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6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87"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8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Bank is required to estimate the value of its Mortgage Servicing Rights. The Bank recognizes as separate assets rights to service fixed rate single-family mortgage loans that it has sold without recourse but services for others for a fee. Mortgage servicing assets are initially recorded at cost,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78" w:lineRule="exact"/>
        <w:rPr>
          <w:sz w:val="20"/>
          <w:szCs w:val="20"/>
          <w:color w:val="auto"/>
        </w:rPr>
      </w:pPr>
    </w:p>
    <w:p>
      <w:pPr>
        <w:ind w:right="100"/>
        <w:spacing w:after="0" w:line="340"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 amortization thereof is recorded in non-interest expense. There are a number of factors, however, that can affect the ultimate value of the mortgage servicing rights to the Bank, including the estimated prepayment speed of the loan and the discount rate used to present value the servicing right. For example, if the mortgage loan is prepaid, the Bank will receive fewer servicing fees,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For more information regarding the estimates and calculations used to establish the ALLL and the value of Mortgage Servicing Rights, please see Note 1 to the consolidated financial statements provided herewith.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8"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6"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Servicing Rights, please see Note 1 to the consolidated financial statements provided herewith.</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20"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Company plans to continue in its growth mode in 2017 led by loan growth from within our newer markets. The Bank is focused on funding the loan growth with deposit growth. The Bank was able to grow deposits in the last quarter of 2016 and continued to do so in the first quarter of 2017. The Bank also decreased the level of pledged securities by offering the Insured Cash Sweep, “ICS” product accessed through the Promontory network of financial institutions. This coupled with higher cash and cash equivalent balances has improved the liquidity position of the Company.</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Liquidity in terms of cash and cash equivalents ended almost $11.6 million higher as of March 31, 2017 than it was at yearend December 31, 2016. A decreased in securities held along with increased deposits funded the $13.0 million increase in net loans since yearend 2016. The largest loan growth occurred in commercial real estate and commercial and industrial portfolios. Agricultural portfolios also experienced an increase. The largest decline was in consumer real estate which was due to sales into the secondary market outpacing new originations.</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comparing to the same prior year period, the March 31, 2017 (net of deferred fees and including loans held for sale) loan balances of $772.3 million accounted for a $64.6 million or 9.1% increase when compared to 2016’s $707.7 million. The year over year improvement was made up of a 12.2% increase in commercial and industrial loans, a 10.9% increase in commercial real estate loans, a 20.9% increase in consumer loans and lastly a combined 18.5% increase in agricultural related loans (comprised of a 6.9% increase in agricultural real estate loans and 11.6% increase in non-real estate agricultural loans). Consumer real estate loans decreased by 4.2% while Industrial Development Bonds (“IDB’s”) decreased 11.7%. While the last percentage seems high, the decrease in dollars was only $753 thousand. The Company credits the growth to a strong team of lenders focused on providing customers valuable localized services and thereby increasing our market share.</w:t>
      </w:r>
    </w:p>
    <w:p>
      <w:pPr>
        <w:spacing w:after="0" w:line="178"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chart below shows the breakdown of the loan portfolio by category as of March 31 for the last three years, net of deferred fees and costs and including loans held for sale.</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3"/>
        </w:trPr>
        <w:tc>
          <w:tcPr>
            <w:tcW w:w="6640" w:type="dxa"/>
            <w:vAlign w:val="bottom"/>
          </w:tcPr>
          <w:p>
            <w:pPr>
              <w:spacing w:after="0"/>
              <w:rPr>
                <w:sz w:val="10"/>
                <w:szCs w:val="10"/>
                <w:color w:val="auto"/>
              </w:rPr>
            </w:pPr>
          </w:p>
        </w:tc>
        <w:tc>
          <w:tcPr>
            <w:tcW w:w="840" w:type="dxa"/>
            <w:vAlign w:val="bottom"/>
            <w:gridSpan w:val="4"/>
          </w:tcPr>
          <w:p>
            <w:pPr>
              <w:jc w:val="center"/>
              <w:ind w:right="160"/>
              <w:spacing w:after="0" w:line="123" w:lineRule="exact"/>
              <w:rPr>
                <w:sz w:val="20"/>
                <w:szCs w:val="20"/>
                <w:color w:val="auto"/>
              </w:rPr>
            </w:pPr>
            <w:r>
              <w:rPr>
                <w:rFonts w:ascii="Arial" w:cs="Arial" w:eastAsia="Arial" w:hAnsi="Arial"/>
                <w:sz w:val="14"/>
                <w:szCs w:val="14"/>
                <w:color w:val="auto"/>
                <w:w w:val="94"/>
              </w:rPr>
              <w:t>March-17</w:t>
            </w:r>
          </w:p>
        </w:tc>
        <w:tc>
          <w:tcPr>
            <w:tcW w:w="260" w:type="dxa"/>
            <w:vAlign w:val="bottom"/>
          </w:tcPr>
          <w:p>
            <w:pPr>
              <w:spacing w:after="0"/>
              <w:rPr>
                <w:sz w:val="10"/>
                <w:szCs w:val="10"/>
                <w:color w:val="auto"/>
              </w:rPr>
            </w:pPr>
          </w:p>
        </w:tc>
        <w:tc>
          <w:tcPr>
            <w:tcW w:w="1100" w:type="dxa"/>
            <w:vAlign w:val="bottom"/>
            <w:gridSpan w:val="3"/>
          </w:tcPr>
          <w:p>
            <w:pPr>
              <w:jc w:val="center"/>
              <w:ind w:right="420"/>
              <w:spacing w:after="0" w:line="123" w:lineRule="exact"/>
              <w:rPr>
                <w:sz w:val="20"/>
                <w:szCs w:val="20"/>
                <w:color w:val="auto"/>
              </w:rPr>
            </w:pPr>
            <w:r>
              <w:rPr>
                <w:rFonts w:ascii="Arial" w:cs="Arial" w:eastAsia="Arial" w:hAnsi="Arial"/>
                <w:sz w:val="14"/>
                <w:szCs w:val="14"/>
                <w:color w:val="auto"/>
                <w:w w:val="94"/>
              </w:rPr>
              <w:t>March-16</w:t>
            </w:r>
          </w:p>
        </w:tc>
        <w:tc>
          <w:tcPr>
            <w:tcW w:w="7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8"/>
              </w:rPr>
              <w:t>March-15</w:t>
            </w:r>
          </w:p>
        </w:tc>
        <w:tc>
          <w:tcPr>
            <w:tcW w:w="40" w:type="dxa"/>
            <w:vAlign w:val="bottom"/>
          </w:tcPr>
          <w:p>
            <w:pPr>
              <w:spacing w:after="0"/>
              <w:rPr>
                <w:sz w:val="10"/>
                <w:szCs w:val="10"/>
                <w:color w:val="auto"/>
              </w:rPr>
            </w:pPr>
          </w:p>
        </w:tc>
      </w:tr>
      <w:tr>
        <w:trPr>
          <w:trHeight w:val="167"/>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color w:val="auto"/>
                <w:w w:val="99"/>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Amount</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97,019</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63,572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59,479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51,396</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78,021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71,571</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382,183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344,661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271,201</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115,516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102,966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95,222</w:t>
            </w: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33,878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28,016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23,627</w:t>
            </w:r>
          </w:p>
        </w:tc>
      </w:tr>
      <w:tr>
        <w:trPr>
          <w:trHeight w:val="215"/>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4,673</w:t>
            </w:r>
          </w:p>
        </w:tc>
      </w:tr>
      <w:tr>
        <w:trPr>
          <w:trHeight w:val="222"/>
        </w:trPr>
        <w:tc>
          <w:tcPr>
            <w:tcW w:w="6640" w:type="dxa"/>
            <w:vAlign w:val="bottom"/>
          </w:tcPr>
          <w:p>
            <w:pPr>
              <w:ind w:left="360"/>
              <w:spacing w:after="0"/>
              <w:rPr>
                <w:sz w:val="20"/>
                <w:szCs w:val="20"/>
                <w:color w:val="auto"/>
              </w:rPr>
            </w:pPr>
            <w:r>
              <w:rPr>
                <w:rFonts w:ascii="Arial" w:cs="Arial" w:eastAsia="Arial" w:hAnsi="Arial"/>
                <w:sz w:val="18"/>
                <w:szCs w:val="18"/>
                <w:color w:val="auto"/>
              </w:rPr>
              <w:t>Total Loans,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772,273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707,660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614,709</w:t>
            </w:r>
          </w:p>
        </w:tc>
        <w:tc>
          <w:tcPr>
            <w:tcW w:w="4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While the security portfolio has been utilized to fund loan growth for the last three years, additional sources have been cultivated during 2016 and 2017. The security portfolio decreased $12.1 million in the first three months 2017 from yearend 2016. The amount of pledged investment securities decreased significantly by $41.6 million as compared to yearend and $109.3 million as compared to March 31, 2016. This was accomplished by utilizing Promontory’s Insured Cash Sweep, “ICS”, product to protect Ohio public fund depositors and commercial sweep customers with FDIC coverage rather than pledge securities. This in turn improves liquidity with the additional option of selling unpledged investment securities. As of March 31, 2017, pledged investment securities totaled $87.8 million. The current portfolio is in a net unrealized loss position of $2.6 million. With the exception of stock, which is shown as other securities, all of the Company’s security portfolio is categorized as “available for sale” and as such is recorded at fair value.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8"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FINANCIAL CONDITION, LIQUIDITY AND CAPITAL RESOURCES (Continued)</w:t>
      </w:r>
    </w:p>
    <w:p>
      <w:pPr>
        <w:spacing w:after="0" w:line="156" w:lineRule="exact"/>
        <w:rPr>
          <w:sz w:val="20"/>
          <w:szCs w:val="20"/>
          <w:color w:val="auto"/>
        </w:rPr>
      </w:pPr>
    </w:p>
    <w:p>
      <w:pPr>
        <w:ind w:right="120"/>
        <w:spacing w:after="0" w:line="340" w:lineRule="auto"/>
        <w:rPr>
          <w:sz w:val="20"/>
          <w:szCs w:val="20"/>
          <w:color w:val="auto"/>
        </w:rPr>
      </w:pPr>
      <w:r>
        <w:rPr>
          <w:rFonts w:ascii="Arial" w:cs="Arial" w:eastAsia="Arial" w:hAnsi="Arial"/>
          <w:sz w:val="16"/>
          <w:szCs w:val="16"/>
          <w:color w:val="auto"/>
        </w:rPr>
        <w:t>Management feels confident that liquidity needs for future growth can be met through additional maturities and/or sales from the security portfolio, increased deposits and additional borrowings. For short term needs, the Bank has $106.5 million of unsecured borrowing capacity through its correspondent banks.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Overall assets grew 1.1% since yearend 2016 and 5.8% since March 31, 2016. The largest growth was in the loan portfolios.</w:t>
      </w:r>
    </w:p>
    <w:p>
      <w:pPr>
        <w:spacing w:after="0" w:line="22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Deposits accounted for the largest growth within liabilities, up 6.2% or $52.5 million since yearend and 12.1% or $96.6 million over March 31, 2016 balances. Core deposits continue to drive the increase which provide the greatest benefit for both lower cost of funds and the opportunity to generate additional noninterest income. Compared to previous year and last quarter, a movement of funds from securities sold under agreement to repurchase into interest bearing NOW accounts occurred due to utilization of the ICS product previously mentioned. Overall, deposits grew $10.1 million since the yearend 2016 and</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$55.1 million as compared to a year ago March 31, 2016 excluding the movement of funds from the sweep products. This growth aided the increased liquidity position and funded the loan growth for the periods.</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Time deposits decreased during the first quarter due to the runoff of short term deposits from the Promontory Network. The Promontory Network has been used by the Bank for many years to provide additional FDIC insurance coverage to the Bank’s depositors having deposits with the Bank in excess of the FDIC’s insurance limits by using Promontory’s CDARS product. When the Bank, as a member of the network, places a customer’s deposit using the CDARS service, the deposit is divided into amounts under the standard FDIC insurance maximum and placed with other Network member banks in exchange for certificates of deposit. This makes the full amount placed by the Bank eligible for FDIC coverage. The Bank used the CDARS product in a reciprocal manner previously and expanded into a “one-way” usage whereby the Bank can place or receive time deposits during the last half of 2016. The time deposits utilized were for six months or less and as they matured were not replaced.</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March 31, 2017, the Bank had balances of $449.5 thousand in the one-way receipt of funds from the network though not due to the Bank’s usage. Rather it was due to reciprocal balance customers redeeming their time deposit early. This was the main factor in the decreased time deposits. The Bank will continue to explore additional sources of funds to supplement deposit growth and provide a base for future loan growth when necessary.</w:t>
      </w:r>
    </w:p>
    <w:p>
      <w:pPr>
        <w:spacing w:after="0" w:line="16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Shareholder’s equity increased by $2.1 million as of the first quarter of 2017 compared to yearend 2016, as earnings exceeded dividend declarations. Accumulated other comprehensive income decreased in loss position $252 thousand which encompassed the shift of $31 thousand from unrealized gain to realized gain with the sale of securities since yearend 2016. Dividends paid for the quarter matched the previous quarter. Compared to March 31, 2016, shareholders’ equity increased $5.0 million. Record profits during 2016 were offset by a change in accumulated other comprehensive income related to the available for sale securities portfolio from a gain of $1.4 million to a loss position of $1.7 million as of March 31, 2017. The difference in dividend payments for each of the first quarters 2016 and 2017 was just $46 thousand with 2017 the higher amount.</w:t>
      </w:r>
    </w:p>
    <w:p>
      <w:pPr>
        <w:spacing w:after="0" w:line="1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is the base above which institutions avoid limitations on distributions and certain discretionary bonus payments. For the calendar 2017, the applicable required capital conservation buffer percentage is 1.25%. The total buffer requirement will increase to 2.5% for calendar year 2019. As of March 31, 2017, the Company and the Bank are both positioned well above the 2019 requirement.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8"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be well-capitalized in accordance with Federal regulatory capital requirements as the capital ratios below show:</w:t>
      </w:r>
    </w:p>
    <w:p>
      <w:pPr>
        <w:spacing w:after="0" w:line="265" w:lineRule="exact"/>
        <w:rPr>
          <w:sz w:val="20"/>
          <w:szCs w:val="20"/>
          <w:color w:val="auto"/>
        </w:rPr>
      </w:pPr>
    </w:p>
    <w:tbl>
      <w:tblPr>
        <w:tblLayout w:type="fixed"/>
        <w:tblInd w:w="1840" w:type="dxa"/>
        <w:tblCellMar>
          <w:top w:w="0" w:type="dxa"/>
          <w:left w:w="0" w:type="dxa"/>
          <w:bottom w:w="0" w:type="dxa"/>
          <w:right w:w="0" w:type="dxa"/>
        </w:tblCellMar>
      </w:tblP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940" w:type="dxa"/>
            <w:vAlign w:val="bottom"/>
          </w:tcPr>
          <w:p>
            <w:pPr>
              <w:jc w:val="right"/>
              <w:spacing w:after="0"/>
              <w:rPr>
                <w:sz w:val="20"/>
                <w:szCs w:val="20"/>
                <w:color w:val="auto"/>
              </w:rPr>
            </w:pPr>
            <w:r>
              <w:rPr>
                <w:rFonts w:ascii="Arial" w:cs="Arial" w:eastAsia="Arial" w:hAnsi="Arial"/>
                <w:sz w:val="18"/>
                <w:szCs w:val="18"/>
                <w:color w:val="auto"/>
              </w:rPr>
              <w:t>14.88%</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 for three month periods ended March 31, 2017, 2016 and December 31, 2016.</w:t>
      </w:r>
    </w:p>
    <w:p>
      <w:pPr>
        <w:spacing w:after="0" w:line="228" w:lineRule="exact"/>
        <w:rPr>
          <w:sz w:val="20"/>
          <w:szCs w:val="20"/>
          <w:color w:val="auto"/>
        </w:rPr>
      </w:pPr>
    </w:p>
    <w:p>
      <w:pPr>
        <w:ind w:right="300"/>
        <w:spacing w:after="0" w:line="340" w:lineRule="auto"/>
        <w:rPr>
          <w:sz w:val="20"/>
          <w:szCs w:val="20"/>
          <w:color w:val="auto"/>
        </w:rPr>
      </w:pPr>
      <w:r>
        <w:rPr>
          <w:rFonts w:ascii="Arial" w:cs="Arial" w:eastAsia="Arial" w:hAnsi="Arial"/>
          <w:sz w:val="16"/>
          <w:szCs w:val="16"/>
          <w:color w:val="auto"/>
        </w:rPr>
        <w:t>When comparing first quarter 2017 to first quarter 2016, average loan balances grew $69.5 million. This represented a strong 10.0% increase in a one year time period. Interest income on loan balances also experienced an increase of $694 thousand as compared to the quarter ended March 31, 2016.</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terms of comparison to fourth quarter 2016, loan interest income was almost equivalent to first quarter 2017, just $6 thousand higher in fourth quarter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of fourth quarter 2016 had more days at 92 than 2017’s first quarter had with 90.</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higher levels of loan interest income helped to offset the available-for-sale securities portfolio, which decreased in average balances, whether comparing to last quarter or the previous year. The decreased balances were expected as available for sale securities were used as a source of funds for loan growth. The income associated with the security portfolio decreased by $22 thousand in comparison to fourth quarter 2016 and increased just $8 thousand in comparison to the same first quarter 2016 even though balances had decreased. The benefit of the increase in interest income from loans was well above the loss of interest income from the smaller security portfolio.</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Overall, interest income for the quarter comparisons was higher for first quarter 2017 by 8.0% or $717 thousand as to first quarter 2016 and lower by 3% or $25 thousand as to last quarter 2016.</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terms of annualized yield, for the quarter ended March 31, 2017, it was 3.99% which compares to last quarter’s 4.00% and a year ago first quarter ended March 31, 2016 of 3.97%. The following chart demonstrates the value of increased loan balances in the balance sheet mix, even if offset by lower balances in other interest bearing assets. The yields on tax-exempt securities and the portion of the tax-exempt IDB loans included in loans have been tax adjusted based on a 34% tax rate in the charts to follow.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8"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5"/>
              </w:rPr>
              <w:t>Yield/Rate</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6"/>
          </w:tcPr>
          <w:p>
            <w:pPr>
              <w:jc w:val="right"/>
              <w:ind w:right="130"/>
              <w:spacing w:after="0" w:line="141" w:lineRule="exact"/>
              <w:rPr>
                <w:sz w:val="20"/>
                <w:szCs w:val="20"/>
                <w:color w:val="auto"/>
              </w:rPr>
            </w:pPr>
            <w:r>
              <w:rPr>
                <w:rFonts w:ascii="Arial" w:cs="Arial" w:eastAsia="Arial" w:hAnsi="Arial"/>
                <w:sz w:val="14"/>
                <w:szCs w:val="14"/>
                <w:color w:val="auto"/>
                <w:w w:val="94"/>
              </w:rPr>
              <w:t>Quarter to Date Ended March 31, 2017</w:t>
            </w:r>
          </w:p>
        </w:tc>
        <w:tc>
          <w:tcPr>
            <w:tcW w:w="5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280" w:type="dxa"/>
            <w:vAlign w:val="bottom"/>
            <w:gridSpan w:val="4"/>
          </w:tcPr>
          <w:p>
            <w:pPr>
              <w:ind w:left="20"/>
              <w:spacing w:after="0" w:line="141" w:lineRule="exact"/>
              <w:rPr>
                <w:sz w:val="20"/>
                <w:szCs w:val="20"/>
                <w:color w:val="auto"/>
              </w:rPr>
            </w:pPr>
            <w:r>
              <w:rPr>
                <w:rFonts w:ascii="Arial" w:cs="Arial" w:eastAsia="Arial" w:hAnsi="Arial"/>
                <w:sz w:val="14"/>
                <w:szCs w:val="14"/>
                <w:color w:val="auto"/>
              </w:rPr>
              <w:t>Average Balance</w:t>
            </w:r>
          </w:p>
        </w:tc>
        <w:tc>
          <w:tcPr>
            <w:tcW w:w="260" w:type="dxa"/>
            <w:vAlign w:val="bottom"/>
          </w:tcPr>
          <w:p>
            <w:pPr>
              <w:spacing w:after="0"/>
              <w:rPr>
                <w:sz w:val="12"/>
                <w:szCs w:val="12"/>
                <w:color w:val="auto"/>
              </w:rPr>
            </w:pPr>
          </w:p>
        </w:tc>
        <w:tc>
          <w:tcPr>
            <w:tcW w:w="1140" w:type="dxa"/>
            <w:vAlign w:val="bottom"/>
            <w:gridSpan w:val="2"/>
          </w:tcPr>
          <w:p>
            <w:pPr>
              <w:jc w:val="right"/>
              <w:spacing w:after="0" w:line="141" w:lineRule="exact"/>
              <w:rPr>
                <w:sz w:val="20"/>
                <w:szCs w:val="20"/>
                <w:color w:val="auto"/>
              </w:rPr>
            </w:pPr>
            <w:r>
              <w:rPr>
                <w:rFonts w:ascii="Arial" w:cs="Arial" w:eastAsia="Arial" w:hAnsi="Arial"/>
                <w:sz w:val="14"/>
                <w:szCs w:val="14"/>
                <w:color w:val="auto"/>
                <w:w w:val="96"/>
              </w:rPr>
              <w:t>Interest/Dividends</w:t>
            </w:r>
          </w:p>
        </w:tc>
        <w:tc>
          <w:tcPr>
            <w:tcW w:w="520" w:type="dxa"/>
            <w:vAlign w:val="bottom"/>
          </w:tcPr>
          <w:p>
            <w:pPr>
              <w:spacing w:after="0"/>
              <w:rPr>
                <w:sz w:val="12"/>
                <w:szCs w:val="12"/>
                <w:color w:val="auto"/>
              </w:rPr>
            </w:pPr>
          </w:p>
        </w:tc>
        <w:tc>
          <w:tcPr>
            <w:tcW w:w="1580" w:type="dxa"/>
            <w:vAlign w:val="bottom"/>
            <w:gridSpan w:val="2"/>
          </w:tcPr>
          <w:p>
            <w:pPr>
              <w:jc w:val="right"/>
              <w:ind w:right="588"/>
              <w:spacing w:after="0" w:line="141" w:lineRule="exact"/>
              <w:rPr>
                <w:sz w:val="20"/>
                <w:szCs w:val="20"/>
                <w:color w:val="auto"/>
              </w:rPr>
            </w:pPr>
            <w:r>
              <w:rPr>
                <w:rFonts w:ascii="Arial" w:cs="Arial" w:eastAsia="Arial" w:hAnsi="Arial"/>
                <w:sz w:val="14"/>
                <w:szCs w:val="14"/>
                <w:color w:val="auto"/>
                <w:w w:val="92"/>
              </w:rPr>
              <w:t>March 31, 2017</w:t>
            </w:r>
          </w:p>
        </w:tc>
        <w:tc>
          <w:tcPr>
            <w:tcW w:w="920" w:type="dxa"/>
            <w:vAlign w:val="bottom"/>
          </w:tcPr>
          <w:p>
            <w:pPr>
              <w:spacing w:after="0" w:line="141" w:lineRule="exact"/>
              <w:rPr>
                <w:sz w:val="20"/>
                <w:szCs w:val="20"/>
                <w:color w:val="auto"/>
              </w:rPr>
            </w:pPr>
            <w:r>
              <w:rPr>
                <w:rFonts w:ascii="Arial" w:cs="Arial" w:eastAsia="Arial" w:hAnsi="Arial"/>
                <w:sz w:val="14"/>
                <w:szCs w:val="14"/>
                <w:color w:val="auto"/>
                <w:w w:val="92"/>
              </w:rPr>
              <w:t>March 31, 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Earning Assets:</w:t>
            </w: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762,126</w:t>
            </w:r>
          </w:p>
        </w:tc>
        <w:tc>
          <w:tcPr>
            <w:tcW w:w="240" w:type="dxa"/>
            <w:vAlign w:val="bottom"/>
          </w:tcPr>
          <w:p>
            <w:pPr>
              <w:spacing w:after="0"/>
              <w:rPr>
                <w:sz w:val="18"/>
                <w:szCs w:val="18"/>
                <w:color w:val="auto"/>
              </w:rPr>
            </w:pPr>
          </w:p>
        </w:tc>
        <w:tc>
          <w:tcPr>
            <w:tcW w:w="7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8,700</w:t>
            </w: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4.57%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5"/>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725</w:t>
            </w:r>
          </w:p>
        </w:tc>
        <w:tc>
          <w:tcPr>
            <w:tcW w:w="15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1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53,623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274</w:t>
            </w: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3.10%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5"/>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989,198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9,721</w:t>
            </w:r>
          </w:p>
        </w:tc>
        <w:tc>
          <w:tcPr>
            <w:tcW w:w="520" w:type="dxa"/>
            <w:vAlign w:val="bottom"/>
            <w:vMerge w:val="continue"/>
          </w:tcPr>
          <w:p>
            <w:pPr>
              <w:spacing w:after="0"/>
              <w:rPr>
                <w:sz w:val="19"/>
                <w:szCs w:val="19"/>
                <w:color w:val="auto"/>
              </w:rPr>
            </w:pP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3.99%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 in Quarter to Date March 31, 2017 Interest Income Compared to March 31, 2016 (In Thousands)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color w:val="auto"/>
                <w:w w:val="96"/>
              </w:rPr>
              <w:t>Due to</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color w:val="auto"/>
                <w:w w:val="81"/>
              </w:rPr>
              <w:t>Change</w:t>
            </w: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color w:val="auto"/>
                <w:w w:val="92"/>
              </w:rPr>
              <w:t>Volume</w:t>
            </w:r>
          </w:p>
        </w:tc>
        <w:tc>
          <w:tcPr>
            <w:tcW w:w="780" w:type="dxa"/>
            <w:vAlign w:val="bottom"/>
            <w:gridSpan w:val="3"/>
          </w:tcPr>
          <w:p>
            <w:pPr>
              <w:spacing w:after="0"/>
              <w:rPr>
                <w:sz w:val="20"/>
                <w:szCs w:val="20"/>
                <w:color w:val="auto"/>
              </w:rPr>
            </w:pPr>
            <w:r>
              <w:rPr>
                <w:rFonts w:ascii="Arial" w:cs="Arial" w:eastAsia="Arial" w:hAnsi="Arial"/>
                <w:sz w:val="14"/>
                <w:szCs w:val="14"/>
                <w:color w:val="auto"/>
              </w:rPr>
              <w:t>Due to Rate</w:t>
            </w:r>
          </w:p>
        </w:tc>
      </w:tr>
      <w:tr>
        <w:trPr>
          <w:trHeight w:val="195"/>
        </w:trPr>
        <w:tc>
          <w:tcPr>
            <w:tcW w:w="68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Earning Assets:</w:t>
            </w: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Loans</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$ 694</w:t>
            </w:r>
          </w:p>
        </w:tc>
        <w:tc>
          <w:tcPr>
            <w:tcW w:w="26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$ 794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(43)</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 Interest Earning Assets</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$ 763</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Offsetting some of the increase in interest income for the quarter was the increase in cost of funds in 2016. First quarter 2017 was higher by $183 thousand than first quarter 2016. Since 2016, average interest-bearing deposit balances have increased $78 million and resulted in $176 thousand more in interest expense for the most recent quarter. Additionally, interest expense on Fed Funds Purchased, Securities Sold Under Agreement to Repurchase and FHLB borrowings was up $7 thousand in the first quarter 2017 over the same time frame in 2016.</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159"/>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5"/>
              </w:rPr>
              <w:t>Yield/Rate</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6"/>
          </w:tcPr>
          <w:p>
            <w:pPr>
              <w:jc w:val="right"/>
              <w:ind w:right="130"/>
              <w:spacing w:after="0" w:line="141" w:lineRule="exact"/>
              <w:rPr>
                <w:sz w:val="20"/>
                <w:szCs w:val="20"/>
                <w:color w:val="auto"/>
              </w:rPr>
            </w:pPr>
            <w:r>
              <w:rPr>
                <w:rFonts w:ascii="Arial" w:cs="Arial" w:eastAsia="Arial" w:hAnsi="Arial"/>
                <w:sz w:val="14"/>
                <w:szCs w:val="14"/>
                <w:color w:val="auto"/>
                <w:w w:val="94"/>
              </w:rPr>
              <w:t>Quarter to Date Ended March 31, 2017</w:t>
            </w:r>
          </w:p>
        </w:tc>
        <w:tc>
          <w:tcPr>
            <w:tcW w:w="5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00" w:type="dxa"/>
            <w:vAlign w:val="bottom"/>
          </w:tcPr>
          <w:p>
            <w:pPr>
              <w:spacing w:after="0"/>
              <w:rPr>
                <w:sz w:val="12"/>
                <w:szCs w:val="12"/>
                <w:color w:val="auto"/>
              </w:rPr>
            </w:pPr>
          </w:p>
        </w:tc>
        <w:tc>
          <w:tcPr>
            <w:tcW w:w="1280" w:type="dxa"/>
            <w:vAlign w:val="bottom"/>
            <w:gridSpan w:val="4"/>
          </w:tcPr>
          <w:p>
            <w:pPr>
              <w:ind w:left="20"/>
              <w:spacing w:after="0" w:line="141" w:lineRule="exact"/>
              <w:rPr>
                <w:sz w:val="20"/>
                <w:szCs w:val="20"/>
                <w:color w:val="auto"/>
              </w:rPr>
            </w:pPr>
            <w:r>
              <w:rPr>
                <w:rFonts w:ascii="Arial" w:cs="Arial" w:eastAsia="Arial" w:hAnsi="Arial"/>
                <w:sz w:val="14"/>
                <w:szCs w:val="14"/>
                <w:color w:val="auto"/>
              </w:rPr>
              <w:t>Average Balance</w:t>
            </w:r>
          </w:p>
        </w:tc>
        <w:tc>
          <w:tcPr>
            <w:tcW w:w="260" w:type="dxa"/>
            <w:vAlign w:val="bottom"/>
          </w:tcPr>
          <w:p>
            <w:pPr>
              <w:spacing w:after="0"/>
              <w:rPr>
                <w:sz w:val="12"/>
                <w:szCs w:val="12"/>
                <w:color w:val="auto"/>
              </w:rPr>
            </w:pPr>
          </w:p>
        </w:tc>
        <w:tc>
          <w:tcPr>
            <w:tcW w:w="1140" w:type="dxa"/>
            <w:vAlign w:val="bottom"/>
            <w:gridSpan w:val="2"/>
          </w:tcPr>
          <w:p>
            <w:pPr>
              <w:jc w:val="right"/>
              <w:spacing w:after="0" w:line="141" w:lineRule="exact"/>
              <w:rPr>
                <w:sz w:val="20"/>
                <w:szCs w:val="20"/>
                <w:color w:val="auto"/>
              </w:rPr>
            </w:pPr>
            <w:r>
              <w:rPr>
                <w:rFonts w:ascii="Arial" w:cs="Arial" w:eastAsia="Arial" w:hAnsi="Arial"/>
                <w:sz w:val="14"/>
                <w:szCs w:val="14"/>
                <w:color w:val="auto"/>
                <w:w w:val="96"/>
              </w:rPr>
              <w:t>Interest/Dividends</w:t>
            </w:r>
          </w:p>
        </w:tc>
        <w:tc>
          <w:tcPr>
            <w:tcW w:w="520" w:type="dxa"/>
            <w:vAlign w:val="bottom"/>
          </w:tcPr>
          <w:p>
            <w:pPr>
              <w:spacing w:after="0"/>
              <w:rPr>
                <w:sz w:val="12"/>
                <w:szCs w:val="12"/>
                <w:color w:val="auto"/>
              </w:rPr>
            </w:pPr>
          </w:p>
        </w:tc>
        <w:tc>
          <w:tcPr>
            <w:tcW w:w="1580" w:type="dxa"/>
            <w:vAlign w:val="bottom"/>
            <w:gridSpan w:val="2"/>
          </w:tcPr>
          <w:p>
            <w:pPr>
              <w:jc w:val="right"/>
              <w:ind w:right="588"/>
              <w:spacing w:after="0" w:line="141" w:lineRule="exact"/>
              <w:rPr>
                <w:sz w:val="20"/>
                <w:szCs w:val="20"/>
                <w:color w:val="auto"/>
              </w:rPr>
            </w:pPr>
            <w:r>
              <w:rPr>
                <w:rFonts w:ascii="Arial" w:cs="Arial" w:eastAsia="Arial" w:hAnsi="Arial"/>
                <w:sz w:val="14"/>
                <w:szCs w:val="14"/>
                <w:color w:val="auto"/>
                <w:w w:val="92"/>
              </w:rPr>
              <w:t>March 31, 2017</w:t>
            </w:r>
          </w:p>
        </w:tc>
        <w:tc>
          <w:tcPr>
            <w:tcW w:w="920" w:type="dxa"/>
            <w:vAlign w:val="bottom"/>
          </w:tcPr>
          <w:p>
            <w:pPr>
              <w:spacing w:after="0" w:line="141" w:lineRule="exact"/>
              <w:rPr>
                <w:sz w:val="20"/>
                <w:szCs w:val="20"/>
                <w:color w:val="auto"/>
              </w:rPr>
            </w:pPr>
            <w:r>
              <w:rPr>
                <w:rFonts w:ascii="Arial" w:cs="Arial" w:eastAsia="Arial" w:hAnsi="Arial"/>
                <w:sz w:val="14"/>
                <w:szCs w:val="14"/>
                <w:color w:val="auto"/>
                <w:w w:val="92"/>
              </w:rPr>
              <w:t>March 31, 2016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Bearing Liabilities:</w:t>
            </w: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495,556</w:t>
            </w:r>
          </w:p>
        </w:tc>
        <w:tc>
          <w:tcPr>
            <w:tcW w:w="240" w:type="dxa"/>
            <w:vAlign w:val="bottom"/>
          </w:tcPr>
          <w:p>
            <w:pPr>
              <w:spacing w:after="0"/>
              <w:rPr>
                <w:sz w:val="18"/>
                <w:szCs w:val="18"/>
                <w:color w:val="auto"/>
              </w:rPr>
            </w:pPr>
          </w:p>
        </w:tc>
        <w:tc>
          <w:tcPr>
            <w:tcW w:w="7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491</w:t>
            </w: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0.40%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5"/>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539</w:t>
            </w:r>
          </w:p>
        </w:tc>
        <w:tc>
          <w:tcPr>
            <w:tcW w:w="15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1.11%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Other Borrowed Money</w:t>
            </w:r>
          </w:p>
        </w:tc>
        <w:tc>
          <w:tcPr>
            <w:tcW w:w="1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1"/>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 Funds Purchased &amp; Securities Sold under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 to Repurch.</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31,409</w:t>
            </w:r>
          </w:p>
        </w:tc>
        <w:tc>
          <w:tcPr>
            <w:tcW w:w="260" w:type="dxa"/>
            <w:vAlign w:val="bottom"/>
            <w:gridSpan w:val="2"/>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1.44%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730,754</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1,179</w:t>
            </w:r>
          </w:p>
        </w:tc>
        <w:tc>
          <w:tcPr>
            <w:tcW w:w="520" w:type="dxa"/>
            <w:vAlign w:val="bottom"/>
            <w:vMerge w:val="continue"/>
          </w:tcPr>
          <w:p>
            <w:pPr>
              <w:spacing w:after="0"/>
              <w:rPr>
                <w:sz w:val="19"/>
                <w:szCs w:val="19"/>
                <w:color w:val="auto"/>
              </w:rPr>
            </w:pPr>
          </w:p>
        </w:tc>
        <w:tc>
          <w:tcPr>
            <w:tcW w:w="1580" w:type="dxa"/>
            <w:vAlign w:val="bottom"/>
            <w:gridSpan w:val="2"/>
          </w:tcPr>
          <w:p>
            <w:pPr>
              <w:jc w:val="right"/>
              <w:ind w:right="448"/>
              <w:spacing w:after="0"/>
              <w:rPr>
                <w:sz w:val="20"/>
                <w:szCs w:val="20"/>
                <w:color w:val="auto"/>
              </w:rPr>
            </w:pPr>
            <w:r>
              <w:rPr>
                <w:rFonts w:ascii="Arial" w:cs="Arial" w:eastAsia="Arial" w:hAnsi="Arial"/>
                <w:sz w:val="18"/>
                <w:szCs w:val="18"/>
                <w:color w:val="auto"/>
              </w:rPr>
              <w:t>0.65%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 in Quarter to Date March 31, 2017 Interest Expense Compared to March 31, 2016 (In Thousands)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Due to</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Volume</w:t>
            </w:r>
          </w:p>
        </w:tc>
        <w:tc>
          <w:tcPr>
            <w:tcW w:w="780" w:type="dxa"/>
            <w:vAlign w:val="bottom"/>
            <w:gridSpan w:val="3"/>
          </w:tcPr>
          <w:p>
            <w:pPr>
              <w:spacing w:after="0"/>
              <w:rPr>
                <w:sz w:val="20"/>
                <w:szCs w:val="20"/>
                <w:color w:val="auto"/>
              </w:rPr>
            </w:pPr>
            <w:r>
              <w:rPr>
                <w:rFonts w:ascii="Arial" w:cs="Arial" w:eastAsia="Arial" w:hAnsi="Arial"/>
                <w:sz w:val="14"/>
                <w:szCs w:val="14"/>
                <w:color w:val="auto"/>
              </w:rPr>
              <w:t>Due to Rate</w:t>
            </w:r>
          </w:p>
        </w:tc>
      </w:tr>
      <w:tr>
        <w:trPr>
          <w:trHeight w:val="195"/>
        </w:trPr>
        <w:tc>
          <w:tcPr>
            <w:tcW w:w="68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Bearing Liabilities: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Savings Deposits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62"/>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Time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Other Borrowed Money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Fed Funds Purchased &amp; Securities Sold under Agreement to Repurch.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w w:val="90"/>
              </w:rPr>
              <w:t>(127)</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jc w:val="right"/>
              <w:ind w:right="402"/>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Overall, net interest spread and net interest margin figures for the first quarter 2017 are lower than last year and down from last quarter. As the chart below illustrates, higher yields on interest and dividend income did not offset the higher interest expense in the most recent quarter when comparing to the same period a year ago or reach the levels of the previous quarter. Interest expense for the quarter as compared to last quarter increased more than the improvement to the asset yield, some of which can be attributed to a higher number of days in the last quarter compared to current quarter.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Fourth quarter 2016 recorded an asset yield of 4.05% for the quarter with cost of funds at 0.55%. Net interest spread and margin for fourth quarter 2016 were higher at 3.49% and 3.61% respectively as compared to current quarter shown below.</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3/31/2017</w:t>
            </w:r>
          </w:p>
        </w:tc>
        <w:tc>
          <w:tcPr>
            <w:tcW w:w="7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3/31/2016</w:t>
            </w:r>
          </w:p>
        </w:tc>
        <w:tc>
          <w:tcPr>
            <w:tcW w:w="7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3/31/2015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3.99%</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2"/>
            <w:vMerge w:val="continue"/>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3.51%</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3.54%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Net interest income was up $534 thousand for the first quarter 2017 over the same time frame in 2016 due to the increase in loan interest income and partially offset by higher interest expense, as previously mentioned. There has also been a $123 thousand decrease in net interest income under fourth quarter 2016. As the new loans added in 2016 and 2017 generate more income, management expects the benefits of the Company’s strategy of repositioning the balance sheet to continue to widen this margin as measured in dollars.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discussion will now be separated into two distinct quarter discussions – first quarter comparisons and the two most recent quarter comparisons.</w:t>
      </w:r>
    </w:p>
    <w:p>
      <w:pPr>
        <w:spacing w:after="0" w:line="339" w:lineRule="exact"/>
        <w:rPr>
          <w:sz w:val="20"/>
          <w:szCs w:val="20"/>
          <w:color w:val="auto"/>
        </w:rPr>
      </w:pPr>
    </w:p>
    <w:p>
      <w:pPr>
        <w:ind w:right="4320"/>
        <w:spacing w:after="0" w:line="376" w:lineRule="auto"/>
        <w:rPr>
          <w:sz w:val="20"/>
          <w:szCs w:val="20"/>
          <w:color w:val="auto"/>
        </w:rPr>
      </w:pPr>
      <w:r>
        <w:rPr>
          <w:rFonts w:ascii="Arial" w:cs="Arial" w:eastAsia="Arial" w:hAnsi="Arial"/>
          <w:sz w:val="18"/>
          <w:szCs w:val="18"/>
          <w:b w:val="1"/>
          <w:bCs w:val="1"/>
          <w:color w:val="auto"/>
        </w:rPr>
        <w:t xml:space="preserve">Comparison of Noninterest Results of Operations – First Quarter 2017 to First Quarter 2016 </w:t>
      </w:r>
      <w:r>
        <w:rPr>
          <w:rFonts w:ascii="Arial" w:cs="Arial" w:eastAsia="Arial" w:hAnsi="Arial"/>
          <w:sz w:val="18"/>
          <w:szCs w:val="18"/>
          <w:color w:val="auto"/>
        </w:rPr>
        <w:t>Provision Expense</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w:t>
      </w:r>
    </w:p>
    <w:p>
      <w:pPr>
        <w:spacing w:after="0" w:line="18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ALLL is attributed to each class of the loan portfolio, as well as the percent that each particular class of the loan portfolio represents to the entire loan portfolio in the aggregate. The consumer and consumer real estate loan portfolio accounted for the largest component of charge-offs and recoveries through third quarter of 2016. As was mentioned in previous discussion, the commercial real estate portfolio is currently creating a large impact on the ALLL due to the loan growth.</w:t>
      </w:r>
    </w:p>
    <w:p>
      <w:pPr>
        <w:spacing w:after="0" w:line="18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Total provision for loan losses was $204 thousand lower for the first quarter 2017 as compared to the same quarter 2016. Management continues to monitor asset quality, making adjustments to the provision as necessary. Loan charge-offs were $40 thousand higher in first quarter 2016 than the same quarter 2017, recoveries were lower by $2 thousand also. Combined net charge-offs were $42 thousand lower in first quarter 2017 than same time period 2016. Past due loans increased $378 thousand from March 31, 2016 to March 31, 2017, the bulk of which came from the commercial real estate portfolio but was in the 30-59 days bucket.</w:t>
      </w:r>
    </w:p>
    <w:p>
      <w:pPr>
        <w:spacing w:after="0" w:line="188"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March 31, 2017, 2016, and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8"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00"/>
              <w:spacing w:after="0" w:line="123" w:lineRule="exact"/>
              <w:rPr>
                <w:sz w:val="20"/>
                <w:szCs w:val="20"/>
                <w:color w:val="auto"/>
              </w:rPr>
            </w:pPr>
            <w:r>
              <w:rPr>
                <w:rFonts w:ascii="Arial" w:cs="Arial" w:eastAsia="Arial" w:hAnsi="Arial"/>
                <w:sz w:val="14"/>
                <w:szCs w:val="14"/>
                <w:color w:val="auto"/>
                <w:w w:val="92"/>
              </w:rPr>
              <w:t>Three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2"/>
              </w:rPr>
              <w:t>Three</w:t>
            </w:r>
          </w:p>
        </w:tc>
        <w:tc>
          <w:tcPr>
            <w:tcW w:w="100" w:type="dxa"/>
            <w:vAlign w:val="bottom"/>
          </w:tcPr>
          <w:p>
            <w:pPr>
              <w:spacing w:after="0"/>
              <w:rPr>
                <w:sz w:val="10"/>
                <w:szCs w:val="10"/>
                <w:color w:val="auto"/>
              </w:rPr>
            </w:pPr>
          </w:p>
        </w:tc>
        <w:tc>
          <w:tcPr>
            <w:tcW w:w="580" w:type="dxa"/>
            <w:vAlign w:val="bottom"/>
          </w:tcPr>
          <w:p>
            <w:pPr>
              <w:jc w:val="center"/>
              <w:ind w:right="12"/>
              <w:spacing w:after="0" w:line="123" w:lineRule="exact"/>
              <w:rPr>
                <w:sz w:val="20"/>
                <w:szCs w:val="20"/>
                <w:color w:val="auto"/>
              </w:rPr>
            </w:pPr>
            <w:r>
              <w:rPr>
                <w:rFonts w:ascii="Arial" w:cs="Arial" w:eastAsia="Arial" w:hAnsi="Arial"/>
                <w:sz w:val="14"/>
                <w:szCs w:val="14"/>
                <w:color w:val="auto"/>
                <w:w w:val="87"/>
              </w:rPr>
              <w:t>Three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8" w:lineRule="exact"/>
              <w:rPr>
                <w:sz w:val="20"/>
                <w:szCs w:val="20"/>
                <w:color w:val="auto"/>
              </w:rPr>
            </w:pPr>
            <w:r>
              <w:rPr>
                <w:rFonts w:ascii="Arial" w:cs="Arial" w:eastAsia="Arial" w:hAnsi="Arial"/>
                <w:sz w:val="14"/>
                <w:szCs w:val="14"/>
                <w:color w:val="auto"/>
                <w:w w:val="91"/>
              </w:rPr>
              <w:t>Months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20"/>
              <w:spacing w:after="0" w:line="148" w:lineRule="exact"/>
              <w:rPr>
                <w:sz w:val="20"/>
                <w:szCs w:val="20"/>
                <w:color w:val="auto"/>
              </w:rPr>
            </w:pPr>
            <w:r>
              <w:rPr>
                <w:rFonts w:ascii="Arial" w:cs="Arial" w:eastAsia="Arial" w:hAnsi="Arial"/>
                <w:sz w:val="14"/>
                <w:szCs w:val="14"/>
                <w:color w:val="auto"/>
                <w:w w:val="95"/>
              </w:rPr>
              <w:t>Months</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8"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00"/>
              <w:spacing w:after="0" w:line="148" w:lineRule="exact"/>
              <w:rPr>
                <w:sz w:val="20"/>
                <w:szCs w:val="20"/>
                <w:color w:val="auto"/>
              </w:rPr>
            </w:pPr>
            <w:r>
              <w:rPr>
                <w:rFonts w:ascii="Arial" w:cs="Arial" w:eastAsia="Arial" w:hAnsi="Arial"/>
                <w:sz w:val="14"/>
                <w:szCs w:val="14"/>
                <w:color w:val="auto"/>
                <w:w w:val="93"/>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20"/>
              <w:spacing w:after="0" w:line="148" w:lineRule="exact"/>
              <w:rPr>
                <w:sz w:val="20"/>
                <w:szCs w:val="20"/>
                <w:color w:val="auto"/>
              </w:rPr>
            </w:pPr>
            <w:r>
              <w:rPr>
                <w:rFonts w:ascii="Arial" w:cs="Arial" w:eastAsia="Arial" w:hAnsi="Arial"/>
                <w:sz w:val="14"/>
                <w:szCs w:val="14"/>
                <w:color w:val="auto"/>
                <w:w w:val="88"/>
              </w:rPr>
              <w:t>Ended</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8" w:lineRule="exact"/>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color w:val="auto"/>
                <w:w w:val="98"/>
              </w:rPr>
              <w:t>March-17</w:t>
            </w:r>
          </w:p>
        </w:tc>
        <w:tc>
          <w:tcPr>
            <w:tcW w:w="240" w:type="dxa"/>
            <w:vAlign w:val="bottom"/>
          </w:tcPr>
          <w:p>
            <w:pPr>
              <w:spacing w:after="0"/>
              <w:rPr>
                <w:sz w:val="14"/>
                <w:szCs w:val="1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4"/>
                <w:szCs w:val="14"/>
                <w:color w:val="auto"/>
                <w:w w:val="94"/>
              </w:rPr>
              <w:t>March-16</w:t>
            </w:r>
          </w:p>
        </w:tc>
        <w:tc>
          <w:tcPr>
            <w:tcW w:w="88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March-15</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including held for sale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772,273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707,660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614,709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762,126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692,638</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610,798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January 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5"/>
        </w:trPr>
        <w:tc>
          <w:tcPr>
            <w:tcW w:w="588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tcPr>
          <w:p>
            <w:pPr>
              <w:ind w:left="720"/>
              <w:spacing w:after="0"/>
              <w:rPr>
                <w:sz w:val="20"/>
                <w:szCs w:val="20"/>
                <w:color w:val="auto"/>
              </w:rPr>
            </w:pPr>
            <w:r>
              <w:rPr>
                <w:rFonts w:ascii="Arial" w:cs="Arial" w:eastAsia="Arial" w:hAnsi="Arial"/>
                <w:sz w:val="18"/>
                <w:szCs w:val="18"/>
                <w:color w:val="auto"/>
              </w:rPr>
              <w:t>Consumer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588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588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588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880" w:type="dxa"/>
            <w:vAlign w:val="bottom"/>
          </w:tcPr>
          <w:p>
            <w:pPr>
              <w:ind w:left="720"/>
              <w:spacing w:after="0"/>
              <w:rPr>
                <w:sz w:val="20"/>
                <w:szCs w:val="20"/>
                <w:color w:val="auto"/>
              </w:rPr>
            </w:pPr>
            <w:r>
              <w:rPr>
                <w:rFonts w:ascii="Arial" w:cs="Arial" w:eastAsia="Arial" w:hAnsi="Arial"/>
                <w:sz w:val="18"/>
                <w:szCs w:val="18"/>
                <w:color w:val="auto"/>
              </w:rPr>
              <w:t>Consumer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588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Allowance for Loan &amp; Lease Losses - March 31</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8"/>
              </w:rPr>
              <w:t>Allowance for Unfunded Loan Commitments &amp; Letters of Credit - March 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 Allowance for Credit Losses - March 31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Ratio of Allowance for Loan Loss to Nonperforming Loans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478.96%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1"/>
              </w:rPr>
              <w:t>310.50%</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8"/>
              </w:rPr>
              <w:t>246.56%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Nonperforming loans are defined as all loans on nonaccrual, plus any loans past 90 days not on nonaccrual.</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Loans classified as nonaccrual were significantly lower as of March 31, 2017 at $1.4 million compared to $2.0 million as of March 31, 2016.</w:t>
      </w:r>
    </w:p>
    <w:p>
      <w:pPr>
        <w:spacing w:after="0" w:line="22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8"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6"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balances for allowance of loan losses by loan type for three months ended March 31, 2017 and March 31, 2016.</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ind w:left="80"/>
              <w:spacing w:after="0" w:line="141" w:lineRule="exact"/>
              <w:rPr>
                <w:sz w:val="20"/>
                <w:szCs w:val="20"/>
                <w:color w:val="auto"/>
              </w:rPr>
            </w:pPr>
            <w:r>
              <w:rPr>
                <w:rFonts w:ascii="Arial" w:cs="Arial" w:eastAsia="Arial" w:hAnsi="Arial"/>
                <w:sz w:val="14"/>
                <w:szCs w:val="14"/>
                <w:color w:val="auto"/>
              </w:rPr>
              <w:t>March-2017</w:t>
            </w:r>
          </w:p>
        </w:tc>
        <w:tc>
          <w:tcPr>
            <w:tcW w:w="58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5"/>
              </w:rPr>
              <w:t>% of Loan</w:t>
            </w:r>
          </w:p>
        </w:tc>
        <w:tc>
          <w:tcPr>
            <w:tcW w:w="28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1" w:lineRule="exact"/>
              <w:rPr>
                <w:sz w:val="20"/>
                <w:szCs w:val="20"/>
                <w:color w:val="auto"/>
              </w:rPr>
            </w:pPr>
            <w:r>
              <w:rPr>
                <w:rFonts w:ascii="Arial" w:cs="Arial" w:eastAsia="Arial" w:hAnsi="Arial"/>
                <w:sz w:val="14"/>
                <w:szCs w:val="14"/>
                <w:color w:val="auto"/>
                <w:w w:val="96"/>
              </w:rPr>
              <w:t>March-2016</w:t>
            </w:r>
          </w:p>
        </w:tc>
        <w:tc>
          <w:tcPr>
            <w:tcW w:w="56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1"/>
              </w:rPr>
              <w:t>% of Loan</w:t>
            </w:r>
          </w:p>
        </w:tc>
        <w:tc>
          <w:tcPr>
            <w:tcW w:w="0" w:type="dxa"/>
            <w:vAlign w:val="bottom"/>
          </w:tcPr>
          <w:p>
            <w:pPr>
              <w:spacing w:after="0"/>
              <w:rPr>
                <w:sz w:val="1"/>
                <w:szCs w:val="1"/>
                <w:color w:val="auto"/>
              </w:rPr>
            </w:pPr>
          </w:p>
        </w:tc>
      </w:tr>
      <w:tr>
        <w:trPr>
          <w:trHeight w:val="109"/>
        </w:trPr>
        <w:tc>
          <w:tcPr>
            <w:tcW w:w="5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color w:val="auto"/>
              </w:rPr>
              <w:t>Amount</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Category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Category</w:t>
            </w:r>
          </w:p>
        </w:tc>
        <w:tc>
          <w:tcPr>
            <w:tcW w:w="0" w:type="dxa"/>
            <w:vAlign w:val="bottom"/>
          </w:tcPr>
          <w:p>
            <w:pPr>
              <w:spacing w:after="0"/>
              <w:rPr>
                <w:sz w:val="1"/>
                <w:szCs w:val="1"/>
                <w:color w:val="auto"/>
              </w:rPr>
            </w:pPr>
          </w:p>
        </w:tc>
      </w:tr>
      <w:tr>
        <w:trPr>
          <w:trHeight w:val="195"/>
        </w:trPr>
        <w:tc>
          <w:tcPr>
            <w:tcW w:w="58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Balance at End of Period Applicable To:</w:t>
            </w: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277</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10.93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457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244</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634</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548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3,008</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2,678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1,299</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1,251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991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6,850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6,285</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1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219</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220</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7,069</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6,505</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Noninterest income was down $86 thousand for the first quarter 2017 over the same time frame in 2016. The Company has seen an increase in its mortgage production volume, and as such the gain on the sale of these loans was $32 thousand higher for the first quarter 2017 over the same period in 2016. Loan originations on loans held for sale for the first quarter were $14.4 million with proceeds from sale at $16.3 million for 2017 which well exceeded 2016’s first quarter activity of $12.0 million in originations and $12.4 million in sales. The net result of the activity was 2017 had $32 thousand more revenue on gain of sale. The Company was able to better take advantage of market fluctuations in its available-for-sale portfolio and sales on securities in first quarter 2016 than first quarter 2017. The gain was $82 thousand lower in the most recent quarter than the same quarter prior year. The next largest fluctuation in noninterest income was in the combined service fee lines, which was $36 thousand under same quarter last year.</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first quarter of 2017, mortgage servicing rights caused a net $18 thousand in income, in comparison to $52 thousand for the first quarter of 2016. The lower capitalized additions for 2017 are attributed to a lower mortgage servicing rights value being applied to the originations in 2017 as compared to 2016. For loans of 15 years and less, the value was .647% in the first quarter 2017 versus .748% in first quarter 2016. For loans over 15 years, the value was .929% versus 1.257% for the same periods respectively. The carrying value is well below the market value of $2.9 million which indicates any large expense to fund the valuation allowance to be unlikely in 2017.</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8"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39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right"/>
              <w:ind w:right="380"/>
              <w:spacing w:after="0"/>
              <w:rPr>
                <w:sz w:val="20"/>
                <w:szCs w:val="20"/>
                <w:color w:val="auto"/>
              </w:rPr>
            </w:pPr>
            <w:r>
              <w:rPr>
                <w:rFonts w:ascii="Arial" w:cs="Arial" w:eastAsia="Arial" w:hAnsi="Arial"/>
                <w:sz w:val="14"/>
                <w:szCs w:val="14"/>
                <w:color w:val="auto"/>
              </w:rPr>
              <w:t>(In Thousands)</w:t>
            </w:r>
          </w:p>
        </w:tc>
      </w:tr>
      <w:tr>
        <w:trPr>
          <w:trHeight w:val="141"/>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1" w:lineRule="exact"/>
              <w:rPr>
                <w:sz w:val="20"/>
                <w:szCs w:val="20"/>
                <w:color w:val="auto"/>
              </w:rPr>
            </w:pPr>
            <w:r>
              <w:rPr>
                <w:rFonts w:ascii="Arial" w:cs="Arial" w:eastAsia="Arial" w:hAnsi="Arial"/>
                <w:sz w:val="14"/>
                <w:szCs w:val="14"/>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1"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$2,056</w:t>
            </w:r>
          </w:p>
        </w:tc>
        <w:tc>
          <w:tcPr>
            <w:tcW w:w="100" w:type="dxa"/>
            <w:vAlign w:val="bottom"/>
            <w:shd w:val="clear" w:color="auto" w:fill="CCEEFF"/>
          </w:tcPr>
          <w:p>
            <w:pPr>
              <w:spacing w:after="0"/>
              <w:rPr>
                <w:sz w:val="18"/>
                <w:szCs w:val="18"/>
                <w:color w:val="auto"/>
              </w:rPr>
            </w:pPr>
          </w:p>
        </w:tc>
      </w:tr>
      <w:tr>
        <w:trPr>
          <w:trHeight w:val="215"/>
        </w:trPr>
        <w:tc>
          <w:tcPr>
            <w:tcW w:w="7120" w:type="dxa"/>
            <w:vAlign w:val="bottom"/>
          </w:tcPr>
          <w:p>
            <w:pPr>
              <w:spacing w:after="0"/>
              <w:rPr>
                <w:sz w:val="20"/>
                <w:szCs w:val="20"/>
                <w:color w:val="auto"/>
              </w:rPr>
            </w:pPr>
            <w:r>
              <w:rPr>
                <w:rFonts w:ascii="Arial" w:cs="Arial" w:eastAsia="Arial" w:hAnsi="Arial"/>
                <w:sz w:val="18"/>
                <w:szCs w:val="18"/>
                <w:color w:val="auto"/>
              </w:rPr>
              <w:t>Capitalized Additions</w:t>
            </w: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101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5"/>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Ending Balance, March 31</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r>
      <w:tr>
        <w:trPr>
          <w:trHeight w:val="215"/>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Mortgage Servicing Rights, net March 31</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2,209</w:t>
            </w: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2,108</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quarter 2017, noninterest expenses were $85 thousand higher than for the same quarter in 2016. Salaries, wages, and employee benefits increased $221 thousand, with the addition of the Huntertown and Bowling Green offices, and normal merit increases. Data processing charges decreased $100 thousand for first quarter 2017 under the first quarter 2016. Two reasons for the improvement was the negotiation of an extended contract with our core processor and 2016 had the additional cost of upgrading Bank customer debit cards to incorporate EMV chip card technology. Both already better align with our future strategies while controlling costs.</w:t>
      </w:r>
    </w:p>
    <w:p>
      <w:pPr>
        <w:spacing w:after="0" w:line="1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Results overall, net income in the first quarter of 2017 was up $358 thousand as compared to the same quarter last year. The Company has done an exceptional job of growing loans while keeping past dues low. The Company remains strong, stable, and well capitalized and has the capacity to continue to cover the increased costs of expansion and doing business in a less than robust economy.</w:t>
      </w:r>
    </w:p>
    <w:p>
      <w:pPr>
        <w:spacing w:after="0" w:line="287" w:lineRule="exact"/>
        <w:rPr>
          <w:sz w:val="20"/>
          <w:szCs w:val="20"/>
          <w:color w:val="auto"/>
        </w:rPr>
      </w:pPr>
    </w:p>
    <w:p>
      <w:pPr>
        <w:ind w:right="4160"/>
        <w:spacing w:after="0" w:line="376" w:lineRule="auto"/>
        <w:rPr>
          <w:sz w:val="20"/>
          <w:szCs w:val="20"/>
          <w:color w:val="auto"/>
        </w:rPr>
      </w:pPr>
      <w:r>
        <w:rPr>
          <w:rFonts w:ascii="Arial" w:cs="Arial" w:eastAsia="Arial" w:hAnsi="Arial"/>
          <w:sz w:val="18"/>
          <w:szCs w:val="18"/>
          <w:b w:val="1"/>
          <w:bCs w:val="1"/>
          <w:color w:val="auto"/>
        </w:rPr>
        <w:t xml:space="preserve">Comparison of Noninterest Results of Operations – First Quarter 2017 to Fourth Quarter 2016 </w:t>
      </w:r>
      <w:r>
        <w:rPr>
          <w:rFonts w:ascii="Arial" w:cs="Arial" w:eastAsia="Arial" w:hAnsi="Arial"/>
          <w:sz w:val="18"/>
          <w:szCs w:val="18"/>
          <w:color w:val="auto"/>
        </w:rPr>
        <w:t>Provision Expense</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Total provision for loan losses was $124 thousand lower for first quarter 2017 than for fourth quarter 2016. While loan growth continued in first quarter, strong asset quality continued also. The strong asset quality and lower net charge-offs offset any need for additional provision above the $73 thousand that was expensed.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Since the fourth quarter 2016, past due loans have increased by $716 thousand. Though, net charge-offs were higher at $25 thousand for fourth quarter 2016 compared to first quarter 2017’s $7 thousand.</w:t>
      </w:r>
    </w:p>
    <w:p>
      <w:pPr>
        <w:spacing w:after="0" w:line="170"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Noninterest income for the first quarter 2017 also was below the fourth quarter by $315 thousand. The increased number of business days in the fourth quarter 2016 as compared to first quarter 2017, provided more opportunity to transact business and generate noninterest income. All line items in fourth quarter 2016 were higher than first quarter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Through the first quarter 2017, noninterest expenses were $205 thousand higher than in fourth quarter 2016. The effect of an increase of $42 thousand in salaries and wages was combined with an increase of $25 thousand in employee benefits. The increase in employee benefits was derived from higher costs related to medical claims for the period offset by lower pension costs due to a lower accrual for 2017 than what was paid in 2016 due to the record year and a higher profit sharing component being paid.</w:t>
      </w:r>
    </w:p>
    <w:p>
      <w:pPr>
        <w:spacing w:after="0" w:line="187"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Data processing fees were $34 thousand higher than last quarter due to the increased number of customers, accounts and updated services. The seven year contract extension signed in the third quarter of 2016 is expected to help lower the increases while adding new products and services to better align with our customers’ expectations in the coming years. We have already added additional products in 2017, mainly focused on mobile services.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8"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MATERIAL CHANGES IN RESULTS OF OPERATIONS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next largest increase for 2017 was in other general and administrative. This line item on the income statement was up by $43 thousand over fourth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the amount is not large, it is made up of many varying activities of which no single one is notable.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Overall, net income through the first quarter of 2017 was down $355 thousand as compared to the last quarter of 2016. The last quarter of the year tends to be a strong performance while the first quarter tends to lack. This is unchanged from last year. The more favorable result is the first quarter to first quarter comparison which shows 2017 off to a more profitable start by $358 thousand. The Company has done an exceptional job of growing loans while keeping past dues low. The growth in loans has spurred the large increase in net interest income that has flowed through to the bottom line. The opening of the new offices may create a slight drag in the short run; however, the Company remains focused on the long term.</w:t>
      </w:r>
    </w:p>
    <w:p>
      <w:pPr>
        <w:spacing w:after="0" w:line="176"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w:t>
      </w:r>
    </w:p>
    <w:p>
      <w:pPr>
        <w:spacing w:after="0" w:line="22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7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8"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 (Continued)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 covering a twelve month period: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Net Interest</w:t>
            </w: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 Change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 Change</w:t>
            </w:r>
          </w:p>
        </w:tc>
        <w:tc>
          <w:tcPr>
            <w:tcW w:w="0" w:type="dxa"/>
            <w:vAlign w:val="bottom"/>
          </w:tcPr>
          <w:p>
            <w:pPr>
              <w:spacing w:after="0"/>
              <w:rPr>
                <w:sz w:val="1"/>
                <w:szCs w:val="1"/>
                <w:color w:val="auto"/>
              </w:rPr>
            </w:pPr>
          </w:p>
        </w:tc>
      </w:tr>
      <w:tr>
        <w:trPr>
          <w:trHeight w:val="140"/>
        </w:trPr>
        <w:tc>
          <w:tcPr>
            <w:tcW w:w="6440" w:type="dxa"/>
            <w:vAlign w:val="bottom"/>
            <w:gridSpan w:val="2"/>
            <w:vMerge w:val="continue"/>
          </w:tcPr>
          <w:p>
            <w:pPr>
              <w:spacing w:after="0"/>
              <w:rPr>
                <w:sz w:val="12"/>
                <w:szCs w:val="12"/>
                <w:color w:val="auto"/>
              </w:rPr>
            </w:pPr>
          </w:p>
        </w:tc>
        <w:tc>
          <w:tcPr>
            <w:tcW w:w="1100" w:type="dxa"/>
            <w:vAlign w:val="bottom"/>
            <w:gridSpan w:val="2"/>
          </w:tcPr>
          <w:p>
            <w:pPr>
              <w:jc w:val="center"/>
              <w:ind w:right="500"/>
              <w:spacing w:after="0" w:line="140" w:lineRule="exact"/>
              <w:rPr>
                <w:sz w:val="20"/>
                <w:szCs w:val="20"/>
                <w:color w:val="auto"/>
              </w:rPr>
            </w:pPr>
            <w:r>
              <w:rPr>
                <w:rFonts w:ascii="Arial" w:cs="Arial" w:eastAsia="Arial" w:hAnsi="Arial"/>
                <w:sz w:val="14"/>
                <w:szCs w:val="14"/>
                <w:color w:val="auto"/>
              </w:rPr>
              <w:t>to</w:t>
            </w:r>
          </w:p>
        </w:tc>
        <w:tc>
          <w:tcPr>
            <w:tcW w:w="840" w:type="dxa"/>
            <w:vAlign w:val="bottom"/>
            <w:gridSpan w:val="2"/>
          </w:tcPr>
          <w:p>
            <w:pPr>
              <w:jc w:val="center"/>
              <w:ind w:right="300"/>
              <w:spacing w:after="0" w:line="140" w:lineRule="exact"/>
              <w:rPr>
                <w:sz w:val="20"/>
                <w:szCs w:val="20"/>
                <w:color w:val="auto"/>
              </w:rPr>
            </w:pPr>
            <w:r>
              <w:rPr>
                <w:rFonts w:ascii="Arial" w:cs="Arial" w:eastAsia="Arial" w:hAnsi="Arial"/>
                <w:sz w:val="14"/>
                <w:szCs w:val="14"/>
                <w:color w:val="auto"/>
                <w:w w:val="87"/>
              </w:rPr>
              <w:t>Rate</w:t>
            </w:r>
          </w:p>
        </w:tc>
        <w:tc>
          <w:tcPr>
            <w:tcW w:w="1160" w:type="dxa"/>
            <w:vAlign w:val="bottom"/>
            <w:gridSpan w:val="2"/>
          </w:tcPr>
          <w:p>
            <w:pPr>
              <w:jc w:val="right"/>
              <w:ind w:right="680"/>
              <w:spacing w:after="0" w:line="140" w:lineRule="exact"/>
              <w:rPr>
                <w:sz w:val="20"/>
                <w:szCs w:val="20"/>
                <w:color w:val="auto"/>
              </w:rPr>
            </w:pPr>
            <w:r>
              <w:rPr>
                <w:rFonts w:ascii="Arial" w:cs="Arial" w:eastAsia="Arial" w:hAnsi="Arial"/>
                <w:sz w:val="14"/>
                <w:szCs w:val="14"/>
                <w:color w:val="auto"/>
              </w:rPr>
              <w:t>Rate</w:t>
            </w:r>
          </w:p>
        </w:tc>
        <w:tc>
          <w:tcPr>
            <w:tcW w:w="1080" w:type="dxa"/>
            <w:vAlign w:val="bottom"/>
            <w:gridSpan w:val="2"/>
          </w:tcPr>
          <w:p>
            <w:pPr>
              <w:jc w:val="right"/>
              <w:ind w:right="380"/>
              <w:spacing w:after="0" w:line="140" w:lineRule="exact"/>
              <w:rPr>
                <w:sz w:val="20"/>
                <w:szCs w:val="20"/>
                <w:color w:val="auto"/>
              </w:rPr>
            </w:pPr>
            <w:r>
              <w:rPr>
                <w:rFonts w:ascii="Arial" w:cs="Arial" w:eastAsia="Arial" w:hAnsi="Arial"/>
                <w:sz w:val="14"/>
                <w:szCs w:val="14"/>
                <w:color w:val="auto"/>
                <w:w w:val="97"/>
              </w:rPr>
              <w:t>Cumulative</w:t>
            </w:r>
          </w:p>
        </w:tc>
        <w:tc>
          <w:tcPr>
            <w:tcW w:w="80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48"/>
        </w:trPr>
        <w:tc>
          <w:tcPr>
            <w:tcW w:w="6440" w:type="dxa"/>
            <w:vAlign w:val="bottom"/>
            <w:gridSpan w:val="2"/>
          </w:tcPr>
          <w:p>
            <w:pPr>
              <w:spacing w:after="0" w:line="128" w:lineRule="exact"/>
              <w:rPr>
                <w:sz w:val="20"/>
                <w:szCs w:val="20"/>
                <w:color w:val="auto"/>
              </w:rPr>
            </w:pPr>
            <w:r>
              <w:rPr>
                <w:rFonts w:ascii="Arial" w:cs="Arial" w:eastAsia="Arial" w:hAnsi="Arial"/>
                <w:sz w:val="14"/>
                <w:szCs w:val="14"/>
                <w:color w:val="auto"/>
              </w:rPr>
              <w:t>Margin (Ratio)</w:t>
            </w:r>
          </w:p>
        </w:tc>
        <w:tc>
          <w:tcPr>
            <w:tcW w:w="1100" w:type="dxa"/>
            <w:vAlign w:val="bottom"/>
            <w:gridSpan w:val="2"/>
          </w:tcPr>
          <w:p>
            <w:pPr>
              <w:jc w:val="center"/>
              <w:ind w:right="500"/>
              <w:spacing w:after="0" w:line="128" w:lineRule="exact"/>
              <w:rPr>
                <w:sz w:val="20"/>
                <w:szCs w:val="20"/>
                <w:color w:val="auto"/>
              </w:rPr>
            </w:pPr>
            <w:r>
              <w:rPr>
                <w:rFonts w:ascii="Arial" w:cs="Arial" w:eastAsia="Arial" w:hAnsi="Arial"/>
                <w:sz w:val="14"/>
                <w:szCs w:val="14"/>
                <w:color w:val="auto"/>
                <w:w w:val="91"/>
              </w:rPr>
              <w:t>Flat Rate</w:t>
            </w:r>
          </w:p>
        </w:tc>
        <w:tc>
          <w:tcPr>
            <w:tcW w:w="840" w:type="dxa"/>
            <w:vAlign w:val="bottom"/>
            <w:gridSpan w:val="2"/>
          </w:tcPr>
          <w:p>
            <w:pPr>
              <w:jc w:val="center"/>
              <w:ind w:right="300"/>
              <w:spacing w:after="0" w:line="128" w:lineRule="exact"/>
              <w:rPr>
                <w:sz w:val="20"/>
                <w:szCs w:val="20"/>
                <w:color w:val="auto"/>
              </w:rPr>
            </w:pPr>
            <w:r>
              <w:rPr>
                <w:rFonts w:ascii="Arial" w:cs="Arial" w:eastAsia="Arial" w:hAnsi="Arial"/>
                <w:sz w:val="14"/>
                <w:szCs w:val="14"/>
                <w:color w:val="auto"/>
                <w:w w:val="97"/>
              </w:rPr>
              <w:t>Direction</w:t>
            </w:r>
          </w:p>
        </w:tc>
        <w:tc>
          <w:tcPr>
            <w:tcW w:w="1160" w:type="dxa"/>
            <w:vAlign w:val="bottom"/>
            <w:gridSpan w:val="2"/>
          </w:tcPr>
          <w:p>
            <w:pPr>
              <w:jc w:val="right"/>
              <w:ind w:right="480"/>
              <w:spacing w:after="0" w:line="128" w:lineRule="exact"/>
              <w:rPr>
                <w:sz w:val="20"/>
                <w:szCs w:val="20"/>
                <w:color w:val="auto"/>
              </w:rPr>
            </w:pPr>
            <w:r>
              <w:rPr>
                <w:rFonts w:ascii="Arial" w:cs="Arial" w:eastAsia="Arial" w:hAnsi="Arial"/>
                <w:sz w:val="14"/>
                <w:szCs w:val="14"/>
                <w:color w:val="auto"/>
                <w:w w:val="88"/>
              </w:rPr>
              <w:t>Changes by</w:t>
            </w:r>
          </w:p>
        </w:tc>
        <w:tc>
          <w:tcPr>
            <w:tcW w:w="1080" w:type="dxa"/>
            <w:vAlign w:val="bottom"/>
            <w:gridSpan w:val="2"/>
          </w:tcPr>
          <w:p>
            <w:pPr>
              <w:jc w:val="right"/>
              <w:ind w:right="360"/>
              <w:spacing w:after="0" w:line="128" w:lineRule="exact"/>
              <w:rPr>
                <w:sz w:val="20"/>
                <w:szCs w:val="20"/>
                <w:color w:val="auto"/>
              </w:rPr>
            </w:pPr>
            <w:r>
              <w:rPr>
                <w:rFonts w:ascii="Arial" w:cs="Arial" w:eastAsia="Arial" w:hAnsi="Arial"/>
                <w:sz w:val="14"/>
                <w:szCs w:val="14"/>
                <w:color w:val="auto"/>
                <w:w w:val="92"/>
              </w:rPr>
              <w:t xml:space="preserve">Total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000)</w:t>
            </w:r>
          </w:p>
        </w:tc>
        <w:tc>
          <w:tcPr>
            <w:tcW w:w="800" w:type="dxa"/>
            <w:vAlign w:val="bottom"/>
            <w:gridSpan w:val="2"/>
          </w:tcPr>
          <w:p>
            <w:pPr>
              <w:jc w:val="center"/>
              <w:ind w:right="200"/>
              <w:spacing w:after="0" w:line="128" w:lineRule="exact"/>
              <w:rPr>
                <w:sz w:val="20"/>
                <w:szCs w:val="20"/>
                <w:color w:val="auto"/>
              </w:rPr>
            </w:pPr>
            <w:r>
              <w:rPr>
                <w:rFonts w:ascii="Arial" w:cs="Arial" w:eastAsia="Arial" w:hAnsi="Arial"/>
                <w:sz w:val="14"/>
                <w:szCs w:val="14"/>
                <w:color w:val="auto"/>
                <w:w w:val="91"/>
              </w:rPr>
              <w:t>Flat Rate</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3.16%</w:t>
            </w:r>
          </w:p>
        </w:tc>
        <w:tc>
          <w:tcPr>
            <w:tcW w:w="55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195" w:lineRule="exact"/>
              <w:rPr>
                <w:sz w:val="20"/>
                <w:szCs w:val="20"/>
                <w:color w:val="auto"/>
              </w:rPr>
            </w:pPr>
            <w:r>
              <w:rPr>
                <w:rFonts w:ascii="Arial" w:cs="Arial" w:eastAsia="Arial" w:hAnsi="Arial"/>
                <w:sz w:val="18"/>
                <w:szCs w:val="18"/>
                <w:color w:val="auto"/>
              </w:rPr>
              <w:t>-0.30%</w:t>
            </w:r>
          </w:p>
        </w:tc>
        <w:tc>
          <w:tcPr>
            <w:tcW w:w="5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Rising</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195" w:lineRule="exact"/>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32,696</w:t>
            </w: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3.18%</w:t>
            </w:r>
          </w:p>
        </w:tc>
        <w:tc>
          <w:tcPr>
            <w:tcW w:w="55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Rising</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32,566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5"/>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5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Rising</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32,439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3.17%</w:t>
            </w:r>
          </w:p>
        </w:tc>
        <w:tc>
          <w:tcPr>
            <w:tcW w:w="55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Flat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31,763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3.31%</w:t>
            </w:r>
          </w:p>
        </w:tc>
        <w:tc>
          <w:tcPr>
            <w:tcW w:w="5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Falling</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3.08%</w:t>
            </w:r>
          </w:p>
        </w:tc>
        <w:tc>
          <w:tcPr>
            <w:tcW w:w="55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-2.63%</w:t>
            </w: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Falling</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31,085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2.84%</w:t>
            </w:r>
          </w:p>
        </w:tc>
        <w:tc>
          <w:tcPr>
            <w:tcW w:w="5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-10.18%</w:t>
            </w:r>
          </w:p>
        </w:tc>
        <w:tc>
          <w:tcPr>
            <w:tcW w:w="8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Falling</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29,336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net interest margin represents the forecasted twelve month margin. The Company also reviews shocks with a 4.0% fluctuation with a delayed time frame of 10 months and over a 24 month time frame. It also shows what effect rate changes will have on both the margin and net interest income. The goal of the Company is to lengthen some of the liabilities or sources of funds to decrease the exposure to a rising rate environment. Of course, customer desires also drive the ability to capture longer term deposits. Currently, the majority of customers look for terms twelve months and under while the Bank would prefer 24 months and longer. Some movement into the longer term time deposits has occurred. Compared to five years ago, what the Bank has experienced over the years is a decrease in the time balances of our deposit portfolio, therefore a loss of term funding.</w:t>
      </w:r>
    </w:p>
    <w:p>
      <w:pPr>
        <w:spacing w:after="0" w:line="17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shock chart currently shows a slight tightening in net interest margin over the next twelve months in an increasing rate environment with an even lower tightening in a falling rate environment beginning at the 200 basis point shock level 3% with the Federal Reserve having raised its rates, the Company has room for widening should rates fall 1%. The model does not predict expansion of net interest income in any falling category below the 1%. Cost of funds are below 0.70% so at even the lowest shock of 100 basis points, the Bank cannot take full advantage and reprice funds to match the level of shock. Since the average duration of the majority of the assets is outside the 12 month shock period, the rising rate environment only shows minor improvement. The majority of the newer loans added to the commercial real estate portfolio begin with an initial fixed rate period of three to five years whose variable adjustment is outside of the current shock time frame. The Bank enhanced its use of the software model during 2012 by including decay rates and key rate ties on certain deposit accounts and continues to review and modify those rates as updated data is compiled. Both enhancements were based on historical performance data of the Bank. Both directional changes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69" w:lineRule="exact"/>
        <w:rPr>
          <w:sz w:val="20"/>
          <w:szCs w:val="20"/>
          <w:color w:val="auto"/>
        </w:rPr>
      </w:pPr>
    </w:p>
    <w:p>
      <w:pPr>
        <w:ind w:right="380"/>
        <w:spacing w:after="0" w:line="340" w:lineRule="auto"/>
        <w:rPr>
          <w:sz w:val="20"/>
          <w:szCs w:val="20"/>
          <w:color w:val="auto"/>
        </w:rPr>
      </w:pPr>
      <w:r>
        <w:rPr>
          <w:rFonts w:ascii="Arial" w:cs="Arial" w:eastAsia="Arial" w:hAnsi="Arial"/>
          <w:sz w:val="16"/>
          <w:szCs w:val="16"/>
          <w:color w:val="auto"/>
        </w:rPr>
        <w:t>Overall, what the chart shows is that the Company must concentrate on increasing loan spreads on variable loans and extend the duration on cost of funds where possible. Changes in portfolio and/or balance sheet composition are needed for the margin to improve regardless of any rate shock.</w:t>
      </w:r>
    </w:p>
    <w:p>
      <w:pPr>
        <w:spacing w:after="0" w:line="2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As of March 31, 2017,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March 31, 1027. There have been no changes in the Company’s internal control over financial reporting that occurred during the quarter ended March 31, 2017 that have materially affected, or are reasonably likely to materially affect, the registrant’s internal control over financial reporting.</w:t>
      </w:r>
    </w:p>
    <w:p>
      <w:pPr>
        <w:spacing w:after="0" w:line="3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1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8"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 (continued)</w:t>
      </w:r>
    </w:p>
    <w:p>
      <w:pPr>
        <w:spacing w:after="0" w:line="1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risk factors disclosed by Registrant in its Report on Form 10-K for the fiscal year ended December 31, 2016.</w:t>
      </w:r>
    </w:p>
    <w:p>
      <w:pPr>
        <w:spacing w:after="0" w:line="3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Treasury stock repurchased the quarter ended March 31, 2017 </w:t>
      </w:r>
      <w:r>
        <w:rPr>
          <w:rFonts w:ascii="Arial" w:cs="Arial" w:eastAsia="Arial" w:hAnsi="Arial"/>
          <w:sz w:val="15"/>
          <w:szCs w:val="15"/>
          <w:color w:val="auto"/>
        </w:rPr>
        <w:t>(1)</w:t>
      </w:r>
      <w:r>
        <w:rPr>
          <w:rFonts w:ascii="Arial" w:cs="Arial" w:eastAsia="Arial" w:hAnsi="Arial"/>
          <w:sz w:val="18"/>
          <w:szCs w:val="18"/>
          <w:color w:val="auto"/>
        </w:rPr>
        <w:t>.</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w w:val="94"/>
              </w:rPr>
              <w:t>(c) Total Number of Shares</w:t>
            </w:r>
          </w:p>
        </w:tc>
        <w:tc>
          <w:tcPr>
            <w:tcW w:w="740" w:type="dxa"/>
            <w:vAlign w:val="bottom"/>
          </w:tcPr>
          <w:p>
            <w:pPr>
              <w:spacing w:after="0"/>
              <w:rPr>
                <w:sz w:val="14"/>
                <w:szCs w:val="14"/>
                <w:color w:val="auto"/>
              </w:rPr>
            </w:pPr>
          </w:p>
        </w:tc>
        <w:tc>
          <w:tcPr>
            <w:tcW w:w="19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(d) Maximum Number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vMerge w:val="restart"/>
          </w:tcPr>
          <w:p>
            <w:pPr>
              <w:ind w:left="680"/>
              <w:spacing w:after="0"/>
              <w:rPr>
                <w:sz w:val="20"/>
                <w:szCs w:val="20"/>
                <w:color w:val="auto"/>
              </w:rPr>
            </w:pPr>
            <w:r>
              <w:rPr>
                <w:rFonts w:ascii="Arial" w:cs="Arial" w:eastAsia="Arial" w:hAnsi="Arial"/>
                <w:sz w:val="14"/>
                <w:szCs w:val="14"/>
                <w:color w:val="auto"/>
              </w:rPr>
              <w:t>Period</w:t>
            </w:r>
          </w:p>
        </w:tc>
        <w:tc>
          <w:tcPr>
            <w:tcW w:w="1180" w:type="dxa"/>
            <w:vAlign w:val="bottom"/>
          </w:tcPr>
          <w:p>
            <w:pPr>
              <w:jc w:val="right"/>
              <w:ind w:right="16"/>
              <w:spacing w:after="0" w:line="148" w:lineRule="exact"/>
              <w:rPr>
                <w:sz w:val="20"/>
                <w:szCs w:val="20"/>
                <w:color w:val="auto"/>
              </w:rPr>
            </w:pPr>
            <w:r>
              <w:rPr>
                <w:rFonts w:ascii="Arial" w:cs="Arial" w:eastAsia="Arial" w:hAnsi="Arial"/>
                <w:sz w:val="14"/>
                <w:szCs w:val="14"/>
                <w:color w:val="auto"/>
              </w:rPr>
              <w:t>(a) Total Number</w:t>
            </w:r>
          </w:p>
        </w:tc>
        <w:tc>
          <w:tcPr>
            <w:tcW w:w="74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w w:val="89"/>
              </w:rPr>
              <w:t>(b) Average Price</w:t>
            </w:r>
          </w:p>
        </w:tc>
        <w:tc>
          <w:tcPr>
            <w:tcW w:w="740" w:type="dxa"/>
            <w:vAlign w:val="bottom"/>
          </w:tcPr>
          <w:p>
            <w:pPr>
              <w:spacing w:after="0"/>
              <w:rPr>
                <w:sz w:val="12"/>
                <w:szCs w:val="12"/>
                <w:color w:val="auto"/>
              </w:rPr>
            </w:pPr>
          </w:p>
        </w:tc>
        <w:tc>
          <w:tcPr>
            <w:tcW w:w="1700" w:type="dxa"/>
            <w:vAlign w:val="bottom"/>
          </w:tcPr>
          <w:p>
            <w:pPr>
              <w:ind w:left="20"/>
              <w:spacing w:after="0" w:line="148" w:lineRule="exact"/>
              <w:rPr>
                <w:sz w:val="20"/>
                <w:szCs w:val="20"/>
                <w:color w:val="auto"/>
              </w:rPr>
            </w:pPr>
            <w:r>
              <w:rPr>
                <w:rFonts w:ascii="Arial" w:cs="Arial" w:eastAsia="Arial" w:hAnsi="Arial"/>
                <w:sz w:val="14"/>
                <w:szCs w:val="14"/>
                <w:color w:val="auto"/>
                <w:w w:val="90"/>
              </w:rPr>
              <w:t>Purchased as Part of Publicly</w:t>
            </w:r>
          </w:p>
        </w:tc>
        <w:tc>
          <w:tcPr>
            <w:tcW w:w="740" w:type="dxa"/>
            <w:vAlign w:val="bottom"/>
          </w:tcPr>
          <w:p>
            <w:pPr>
              <w:spacing w:after="0"/>
              <w:rPr>
                <w:sz w:val="12"/>
                <w:szCs w:val="12"/>
                <w:color w:val="auto"/>
              </w:rPr>
            </w:pPr>
          </w:p>
        </w:tc>
        <w:tc>
          <w:tcPr>
            <w:tcW w:w="1940" w:type="dxa"/>
            <w:vAlign w:val="bottom"/>
            <w:gridSpan w:val="2"/>
          </w:tcPr>
          <w:p>
            <w:pPr>
              <w:jc w:val="center"/>
              <w:ind w:right="40"/>
              <w:spacing w:after="0" w:line="148" w:lineRule="exact"/>
              <w:rPr>
                <w:sz w:val="20"/>
                <w:szCs w:val="20"/>
                <w:color w:val="auto"/>
              </w:rPr>
            </w:pPr>
            <w:r>
              <w:rPr>
                <w:rFonts w:ascii="Arial" w:cs="Arial" w:eastAsia="Arial" w:hAnsi="Arial"/>
                <w:sz w:val="14"/>
                <w:szCs w:val="14"/>
                <w:color w:val="auto"/>
                <w:w w:val="90"/>
              </w:rPr>
              <w:t>that may yet be purchased under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w w:val="88"/>
              </w:rPr>
              <w:t>of Shares Purchased</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6"/>
              </w:rPr>
              <w:t>Paid per Share</w:t>
            </w:r>
          </w:p>
        </w:tc>
        <w:tc>
          <w:tcPr>
            <w:tcW w:w="74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w w:val="90"/>
              </w:rPr>
              <w:t>Announced Plan or Programs</w:t>
            </w:r>
          </w:p>
        </w:tc>
        <w:tc>
          <w:tcPr>
            <w:tcW w:w="740" w:type="dxa"/>
            <w:vAlign w:val="bottom"/>
          </w:tcPr>
          <w:p>
            <w:pPr>
              <w:spacing w:after="0"/>
              <w:rPr>
                <w:sz w:val="14"/>
                <w:szCs w:val="14"/>
                <w:color w:val="auto"/>
              </w:rPr>
            </w:pPr>
          </w:p>
        </w:tc>
        <w:tc>
          <w:tcPr>
            <w:tcW w:w="194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the Plans or Programs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1/1/2017 to</w:t>
            </w:r>
          </w:p>
        </w:tc>
        <w:tc>
          <w:tcPr>
            <w:tcW w:w="6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6"/>
              </w:rPr>
              <w:t>200,000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1/31/2017</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2/1/2017 to</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6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2/28/2017</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3/1/2017 to</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68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3/31/2017</w:t>
            </w:r>
          </w:p>
        </w:tc>
        <w:tc>
          <w:tcPr>
            <w:tcW w:w="6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5"/>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hanging="452"/>
        <w:spacing w:after="0" w:line="340"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From time to time, the Company purchases shares in the market pursuant to a stock repurchase program publicly announced on January 20, 2017. On that date, the Board of Directors authorized the repurchase of 200,000 common shares between January 20, 2017 and December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DEFAULTS UPON SENIOR SECURITIES</w:t>
            </w:r>
          </w:p>
        </w:tc>
      </w:tr>
      <w:tr>
        <w:trPr>
          <w:trHeight w:val="323"/>
        </w:trPr>
        <w:tc>
          <w:tcPr>
            <w:tcW w:w="760" w:type="dxa"/>
            <w:vAlign w:val="bottom"/>
          </w:tcPr>
          <w:p>
            <w:pPr>
              <w:spacing w:after="0"/>
              <w:rPr>
                <w:sz w:val="24"/>
                <w:szCs w:val="24"/>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w w:val="92"/>
              </w:rPr>
              <w:t>None</w:t>
            </w:r>
          </w:p>
        </w:tc>
        <w:tc>
          <w:tcPr>
            <w:tcW w:w="8500" w:type="dxa"/>
            <w:vAlign w:val="bottom"/>
          </w:tcPr>
          <w:p>
            <w:pPr>
              <w:spacing w:after="0"/>
              <w:rPr>
                <w:sz w:val="24"/>
                <w:szCs w:val="24"/>
                <w:color w:val="auto"/>
              </w:rPr>
            </w:pPr>
          </w:p>
        </w:tc>
      </w:tr>
      <w:tr>
        <w:trPr>
          <w:trHeight w:val="552"/>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MINE SAFETY DISCLOSURES</w:t>
            </w:r>
          </w:p>
        </w:tc>
      </w:tr>
      <w:tr>
        <w:trPr>
          <w:trHeight w:val="323"/>
        </w:trPr>
        <w:tc>
          <w:tcPr>
            <w:tcW w:w="760" w:type="dxa"/>
            <w:vAlign w:val="bottom"/>
          </w:tcPr>
          <w:p>
            <w:pPr>
              <w:spacing w:after="0"/>
              <w:rPr>
                <w:sz w:val="24"/>
                <w:szCs w:val="24"/>
                <w:color w:val="auto"/>
              </w:rPr>
            </w:pPr>
          </w:p>
        </w:tc>
        <w:tc>
          <w:tcPr>
            <w:tcW w:w="9660" w:type="dxa"/>
            <w:vAlign w:val="bottom"/>
            <w:gridSpan w:val="2"/>
          </w:tcPr>
          <w:p>
            <w:pPr>
              <w:ind w:left="740"/>
              <w:spacing w:after="0"/>
              <w:rPr>
                <w:sz w:val="20"/>
                <w:szCs w:val="20"/>
                <w:color w:val="auto"/>
              </w:rPr>
            </w:pPr>
            <w:r>
              <w:rPr>
                <w:rFonts w:ascii="Arial" w:cs="Arial" w:eastAsia="Arial" w:hAnsi="Arial"/>
                <w:sz w:val="18"/>
                <w:szCs w:val="18"/>
                <w:color w:val="auto"/>
              </w:rPr>
              <w:t>Not applicable</w:t>
            </w:r>
          </w:p>
        </w:tc>
      </w:tr>
      <w:tr>
        <w:trPr>
          <w:trHeight w:val="552"/>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660" w:type="dxa"/>
            <w:vAlign w:val="bottom"/>
            <w:gridSpan w:val="2"/>
          </w:tcPr>
          <w:p>
            <w:pPr>
              <w:ind w:left="280"/>
              <w:spacing w:after="0"/>
              <w:rPr>
                <w:sz w:val="20"/>
                <w:szCs w:val="20"/>
                <w:color w:val="auto"/>
              </w:rPr>
            </w:pPr>
            <w:r>
              <w:rPr>
                <w:rFonts w:ascii="Arial" w:cs="Arial" w:eastAsia="Arial" w:hAnsi="Arial"/>
                <w:sz w:val="18"/>
                <w:szCs w:val="18"/>
                <w:color w:val="auto"/>
              </w:rPr>
              <w:t>OTHER INFORMATION</w:t>
            </w:r>
          </w:p>
        </w:tc>
      </w:tr>
      <w:tr>
        <w:trPr>
          <w:trHeight w:val="336"/>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1160" w:type="dxa"/>
            <w:vAlign w:val="bottom"/>
          </w:tcPr>
          <w:p>
            <w:pPr>
              <w:ind w:left="280"/>
              <w:spacing w:after="0"/>
              <w:rPr>
                <w:sz w:val="20"/>
                <w:szCs w:val="20"/>
                <w:color w:val="auto"/>
              </w:rPr>
            </w:pPr>
            <w:r>
              <w:rPr>
                <w:rFonts w:ascii="Arial" w:cs="Arial" w:eastAsia="Arial" w:hAnsi="Arial"/>
                <w:sz w:val="18"/>
                <w:szCs w:val="18"/>
                <w:color w:val="auto"/>
              </w:rPr>
              <w:t>EXHIBITS</w:t>
            </w:r>
          </w:p>
        </w:tc>
        <w:tc>
          <w:tcPr>
            <w:tcW w:w="8500" w:type="dxa"/>
            <w:vAlign w:val="bottom"/>
          </w:tcPr>
          <w:p>
            <w:pPr>
              <w:spacing w:after="0"/>
              <w:rPr>
                <w:sz w:val="24"/>
                <w:szCs w:val="24"/>
                <w:color w:val="auto"/>
              </w:rPr>
            </w:pPr>
          </w:p>
        </w:tc>
      </w:tr>
      <w:tr>
        <w:trPr>
          <w:trHeight w:val="322"/>
        </w:trPr>
        <w:tc>
          <w:tcPr>
            <w:tcW w:w="76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8500" w:type="dxa"/>
            <w:vAlign w:val="bottom"/>
          </w:tcPr>
          <w:p>
            <w:pPr>
              <w:ind w:left="40"/>
              <w:spacing w:after="0"/>
              <w:rPr>
                <w:sz w:val="20"/>
                <w:szCs w:val="20"/>
                <w:color w:val="auto"/>
              </w:rPr>
            </w:pPr>
            <w:r>
              <w:rPr>
                <w:rFonts w:ascii="Arial" w:cs="Arial" w:eastAsia="Arial" w:hAnsi="Arial"/>
                <w:sz w:val="18"/>
                <w:szCs w:val="18"/>
                <w:color w:val="auto"/>
                <w:w w:val="93"/>
              </w:rPr>
              <w:t>Amended Articles of Incorporation of the Registrant (incorporated by reference to Registrant’s Quarterly Report on</w:t>
            </w:r>
          </w:p>
        </w:tc>
      </w:tr>
      <w:tr>
        <w:trPr>
          <w:trHeight w:val="230"/>
        </w:trPr>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rPr>
              <w:t>Form 10-Q filed with the Commission on July 27, 2016)</w:t>
            </w:r>
          </w:p>
        </w:tc>
      </w:tr>
      <w:tr>
        <w:trPr>
          <w:trHeight w:val="308"/>
        </w:trPr>
        <w:tc>
          <w:tcPr>
            <w:tcW w:w="76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3.2</w:t>
            </w:r>
          </w:p>
        </w:tc>
        <w:tc>
          <w:tcPr>
            <w:tcW w:w="8500" w:type="dxa"/>
            <w:vAlign w:val="bottom"/>
          </w:tcPr>
          <w:p>
            <w:pPr>
              <w:ind w:left="40"/>
              <w:spacing w:after="0"/>
              <w:rPr>
                <w:sz w:val="20"/>
                <w:szCs w:val="20"/>
                <w:color w:val="auto"/>
              </w:rPr>
            </w:pPr>
            <w:r>
              <w:rPr>
                <w:rFonts w:ascii="Arial" w:cs="Arial" w:eastAsia="Arial" w:hAnsi="Arial"/>
                <w:sz w:val="18"/>
                <w:szCs w:val="18"/>
                <w:color w:val="auto"/>
                <w:w w:val="90"/>
              </w:rPr>
              <w:t>Code of Regulations of the Registrant (incorporated by reference to Registrant’s Quarterly Report on Form 10-Q filed</w:t>
            </w:r>
          </w:p>
        </w:tc>
      </w:tr>
      <w:tr>
        <w:trPr>
          <w:trHeight w:val="230"/>
        </w:trPr>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rPr>
              <w:t>with the Commission on May 10, 2004)</w:t>
            </w:r>
          </w:p>
        </w:tc>
      </w:tr>
      <w:tr>
        <w:trPr>
          <w:trHeight w:val="323"/>
        </w:trPr>
        <w:tc>
          <w:tcPr>
            <w:tcW w:w="76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31.1</w:t>
            </w:r>
          </w:p>
        </w:tc>
        <w:tc>
          <w:tcPr>
            <w:tcW w:w="8500" w:type="dxa"/>
            <w:vAlign w:val="bottom"/>
          </w:tcPr>
          <w:p>
            <w:pPr>
              <w:ind w:left="40"/>
              <w:spacing w:after="0"/>
              <w:rPr>
                <w:sz w:val="20"/>
                <w:szCs w:val="20"/>
                <w:color w:val="auto"/>
              </w:rPr>
            </w:pPr>
            <w:r>
              <w:rPr>
                <w:rFonts w:ascii="Arial" w:cs="Arial" w:eastAsia="Arial" w:hAnsi="Arial"/>
                <w:sz w:val="18"/>
                <w:szCs w:val="18"/>
                <w:color w:val="auto"/>
              </w:rPr>
              <w:t>Rule 13-a-14(a) Certification -CEO</w:t>
            </w:r>
          </w:p>
        </w:tc>
      </w:tr>
      <w:tr>
        <w:trPr>
          <w:trHeight w:val="323"/>
        </w:trPr>
        <w:tc>
          <w:tcPr>
            <w:tcW w:w="76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31.2</w:t>
            </w:r>
          </w:p>
        </w:tc>
        <w:tc>
          <w:tcPr>
            <w:tcW w:w="8500" w:type="dxa"/>
            <w:vAlign w:val="bottom"/>
          </w:tcPr>
          <w:p>
            <w:pPr>
              <w:ind w:left="40"/>
              <w:spacing w:after="0"/>
              <w:rPr>
                <w:sz w:val="20"/>
                <w:szCs w:val="20"/>
                <w:color w:val="auto"/>
              </w:rPr>
            </w:pPr>
            <w:r>
              <w:rPr>
                <w:rFonts w:ascii="Arial" w:cs="Arial" w:eastAsia="Arial" w:hAnsi="Arial"/>
                <w:sz w:val="18"/>
                <w:szCs w:val="18"/>
                <w:color w:val="auto"/>
              </w:rPr>
              <w:t>Rule 13-a-14(a) Certification -CFO</w:t>
            </w:r>
          </w:p>
        </w:tc>
      </w:tr>
      <w:tr>
        <w:trPr>
          <w:trHeight w:val="323"/>
        </w:trPr>
        <w:tc>
          <w:tcPr>
            <w:tcW w:w="76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32.1</w:t>
            </w:r>
          </w:p>
        </w:tc>
        <w:tc>
          <w:tcPr>
            <w:tcW w:w="8500" w:type="dxa"/>
            <w:vAlign w:val="bottom"/>
          </w:tcPr>
          <w:p>
            <w:pPr>
              <w:ind w:left="40"/>
              <w:spacing w:after="0"/>
              <w:rPr>
                <w:sz w:val="20"/>
                <w:szCs w:val="20"/>
                <w:color w:val="auto"/>
              </w:rPr>
            </w:pPr>
            <w:r>
              <w:rPr>
                <w:rFonts w:ascii="Arial" w:cs="Arial" w:eastAsia="Arial" w:hAnsi="Arial"/>
                <w:sz w:val="18"/>
                <w:szCs w:val="18"/>
                <w:color w:val="auto"/>
              </w:rPr>
              <w:t>Section 1350 Certification - CEO</w:t>
            </w:r>
          </w:p>
        </w:tc>
      </w:tr>
      <w:tr>
        <w:trPr>
          <w:trHeight w:val="323"/>
        </w:trPr>
        <w:tc>
          <w:tcPr>
            <w:tcW w:w="76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32.2</w:t>
            </w:r>
          </w:p>
        </w:tc>
        <w:tc>
          <w:tcPr>
            <w:tcW w:w="8500" w:type="dxa"/>
            <w:vAlign w:val="bottom"/>
          </w:tcPr>
          <w:p>
            <w:pPr>
              <w:ind w:left="40"/>
              <w:spacing w:after="0"/>
              <w:rPr>
                <w:sz w:val="20"/>
                <w:szCs w:val="20"/>
                <w:color w:val="auto"/>
              </w:rPr>
            </w:pPr>
            <w:r>
              <w:rPr>
                <w:rFonts w:ascii="Arial" w:cs="Arial" w:eastAsia="Arial" w:hAnsi="Arial"/>
                <w:sz w:val="18"/>
                <w:szCs w:val="18"/>
                <w:color w:val="auto"/>
              </w:rPr>
              <w:t>Section 1350 Certification - CFO</w:t>
            </w:r>
          </w:p>
        </w:tc>
      </w:tr>
      <w:tr>
        <w:trPr>
          <w:trHeight w:val="323"/>
        </w:trPr>
        <w:tc>
          <w:tcPr>
            <w:tcW w:w="76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101.INS</w:t>
            </w:r>
          </w:p>
        </w:tc>
        <w:tc>
          <w:tcPr>
            <w:tcW w:w="8500" w:type="dxa"/>
            <w:vAlign w:val="bottom"/>
          </w:tcPr>
          <w:p>
            <w:pPr>
              <w:ind w:left="40"/>
              <w:spacing w:after="0"/>
              <w:rPr>
                <w:sz w:val="20"/>
                <w:szCs w:val="20"/>
                <w:color w:val="auto"/>
              </w:rPr>
            </w:pPr>
            <w:r>
              <w:rPr>
                <w:rFonts w:ascii="Arial" w:cs="Arial" w:eastAsia="Arial" w:hAnsi="Arial"/>
                <w:sz w:val="18"/>
                <w:szCs w:val="18"/>
                <w:color w:val="auto"/>
              </w:rPr>
              <w:t>XBRL Instance Document (1)</w:t>
            </w:r>
          </w:p>
        </w:tc>
      </w:tr>
      <w:tr>
        <w:trPr>
          <w:trHeight w:val="323"/>
        </w:trPr>
        <w:tc>
          <w:tcPr>
            <w:tcW w:w="76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101.SCH</w:t>
            </w:r>
          </w:p>
        </w:tc>
        <w:tc>
          <w:tcPr>
            <w:tcW w:w="8500" w:type="dxa"/>
            <w:vAlign w:val="bottom"/>
          </w:tcPr>
          <w:p>
            <w:pPr>
              <w:ind w:left="40"/>
              <w:spacing w:after="0"/>
              <w:rPr>
                <w:sz w:val="20"/>
                <w:szCs w:val="20"/>
                <w:color w:val="auto"/>
              </w:rPr>
            </w:pPr>
            <w:r>
              <w:rPr>
                <w:rFonts w:ascii="Arial" w:cs="Arial" w:eastAsia="Arial" w:hAnsi="Arial"/>
                <w:sz w:val="18"/>
                <w:szCs w:val="18"/>
                <w:color w:val="auto"/>
              </w:rPr>
              <w:t>XBRL Taxonomy Extension Schem Document (1)</w:t>
            </w:r>
          </w:p>
        </w:tc>
      </w:tr>
      <w:tr>
        <w:trPr>
          <w:trHeight w:val="323"/>
        </w:trPr>
        <w:tc>
          <w:tcPr>
            <w:tcW w:w="76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101.CAL</w:t>
            </w:r>
          </w:p>
        </w:tc>
        <w:tc>
          <w:tcPr>
            <w:tcW w:w="85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323"/>
        </w:trPr>
        <w:tc>
          <w:tcPr>
            <w:tcW w:w="76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101.DEF</w:t>
            </w:r>
          </w:p>
        </w:tc>
        <w:tc>
          <w:tcPr>
            <w:tcW w:w="85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 (1)</w:t>
            </w:r>
          </w:p>
        </w:tc>
      </w:tr>
      <w:tr>
        <w:trPr>
          <w:trHeight w:val="323"/>
        </w:trPr>
        <w:tc>
          <w:tcPr>
            <w:tcW w:w="76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101.LAB</w:t>
            </w:r>
          </w:p>
        </w:tc>
        <w:tc>
          <w:tcPr>
            <w:tcW w:w="850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 (1)</w:t>
            </w:r>
          </w:p>
        </w:tc>
      </w:tr>
      <w:tr>
        <w:trPr>
          <w:trHeight w:val="323"/>
        </w:trPr>
        <w:tc>
          <w:tcPr>
            <w:tcW w:w="760" w:type="dxa"/>
            <w:vAlign w:val="bottom"/>
          </w:tcPr>
          <w:p>
            <w:pPr>
              <w:spacing w:after="0"/>
              <w:rPr>
                <w:sz w:val="24"/>
                <w:szCs w:val="24"/>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101.PRE</w:t>
            </w:r>
          </w:p>
        </w:tc>
        <w:tc>
          <w:tcPr>
            <w:tcW w:w="85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363"/>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500" w:type="dxa"/>
            <w:vAlign w:val="bottom"/>
          </w:tcPr>
          <w:p>
            <w:pPr>
              <w:ind w:left="370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180"/>
          </w:cols>
          <w:pgMar w:left="240" w:top="458"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Farmers &amp; Merchants Bancorp, Inc.,</w:t>
            </w:r>
          </w:p>
        </w:tc>
      </w:tr>
      <w:tr>
        <w:trPr>
          <w:trHeight w:val="430"/>
        </w:trPr>
        <w:tc>
          <w:tcPr>
            <w:tcW w:w="3560" w:type="dxa"/>
            <w:vAlign w:val="bottom"/>
          </w:tcPr>
          <w:p>
            <w:pPr>
              <w:spacing w:after="0"/>
              <w:rPr>
                <w:sz w:val="20"/>
                <w:szCs w:val="20"/>
                <w:color w:val="auto"/>
              </w:rPr>
            </w:pPr>
            <w:r>
              <w:rPr>
                <w:rFonts w:ascii="Arial" w:cs="Arial" w:eastAsia="Arial" w:hAnsi="Arial"/>
                <w:sz w:val="18"/>
                <w:szCs w:val="18"/>
                <w:color w:val="auto"/>
              </w:rPr>
              <w:t>Date: April 26, 2017</w:t>
            </w:r>
          </w:p>
        </w:tc>
        <w:tc>
          <w:tcPr>
            <w:tcW w:w="7860" w:type="dxa"/>
            <w:vAlign w:val="bottom"/>
            <w:gridSpan w:val="2"/>
          </w:tcPr>
          <w:p>
            <w:pPr>
              <w:ind w:left="2360"/>
              <w:spacing w:after="0"/>
              <w:rPr>
                <w:sz w:val="20"/>
                <w:szCs w:val="20"/>
                <w:color w:val="auto"/>
              </w:rPr>
            </w:pPr>
            <w:r>
              <w:rPr>
                <w:rFonts w:ascii="Arial" w:cs="Arial" w:eastAsia="Arial" w:hAnsi="Arial"/>
                <w:sz w:val="18"/>
                <w:szCs w:val="18"/>
                <w:color w:val="auto"/>
              </w:rPr>
              <w:t>By:  /s/ Paul S. Siebenmorgen</w:t>
            </w:r>
          </w:p>
        </w:tc>
      </w:tr>
      <w:tr>
        <w:trPr>
          <w:trHeight w:val="208"/>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w:t>
            </w:r>
          </w:p>
        </w:tc>
      </w:tr>
      <w:tr>
        <w:trPr>
          <w:trHeight w:val="230"/>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0"/>
        </w:trPr>
        <w:tc>
          <w:tcPr>
            <w:tcW w:w="3560" w:type="dxa"/>
            <w:vAlign w:val="bottom"/>
          </w:tcPr>
          <w:p>
            <w:pPr>
              <w:spacing w:after="0"/>
              <w:rPr>
                <w:sz w:val="20"/>
                <w:szCs w:val="20"/>
                <w:color w:val="auto"/>
              </w:rPr>
            </w:pPr>
            <w:r>
              <w:rPr>
                <w:rFonts w:ascii="Arial" w:cs="Arial" w:eastAsia="Arial" w:hAnsi="Arial"/>
                <w:sz w:val="18"/>
                <w:szCs w:val="18"/>
                <w:color w:val="auto"/>
              </w:rPr>
              <w:t>Date: April 26, 2017</w:t>
            </w:r>
          </w:p>
        </w:tc>
        <w:tc>
          <w:tcPr>
            <w:tcW w:w="7860" w:type="dxa"/>
            <w:vAlign w:val="bottom"/>
            <w:gridSpan w:val="2"/>
          </w:tcPr>
          <w:p>
            <w:pPr>
              <w:ind w:left="2360"/>
              <w:spacing w:after="0"/>
              <w:rPr>
                <w:sz w:val="20"/>
                <w:szCs w:val="20"/>
                <w:color w:val="auto"/>
              </w:rPr>
            </w:pPr>
            <w:r>
              <w:rPr>
                <w:rFonts w:ascii="Arial" w:cs="Arial" w:eastAsia="Arial" w:hAnsi="Arial"/>
                <w:sz w:val="18"/>
                <w:szCs w:val="18"/>
                <w:color w:val="auto"/>
              </w:rPr>
              <w:t>By:  /s/ Barbara J. Britenriker</w:t>
            </w:r>
          </w:p>
        </w:tc>
      </w:tr>
      <w:tr>
        <w:trPr>
          <w:trHeight w:val="208"/>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Exec. Vice-President and CFO</w:t>
            </w:r>
          </w:p>
        </w:tc>
      </w:tr>
      <w:tr>
        <w:trPr>
          <w:trHeight w:val="363"/>
        </w:trPr>
        <w:tc>
          <w:tcPr>
            <w:tcW w:w="3560" w:type="dxa"/>
            <w:vAlign w:val="bottom"/>
          </w:tcPr>
          <w:p>
            <w:pPr>
              <w:spacing w:after="0"/>
              <w:rPr>
                <w:sz w:val="24"/>
                <w:szCs w:val="24"/>
                <w:color w:val="auto"/>
              </w:rPr>
            </w:pPr>
          </w:p>
        </w:tc>
        <w:tc>
          <w:tcPr>
            <w:tcW w:w="274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31.1</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129" w:lineRule="exact"/>
        <w:rPr>
          <w:sz w:val="20"/>
          <w:szCs w:val="20"/>
          <w:color w:val="auto"/>
        </w:rPr>
      </w:pPr>
    </w:p>
    <w:p>
      <w:pPr>
        <w:ind w:left="900" w:hanging="448"/>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29" w:lineRule="exact"/>
        <w:rPr>
          <w:rFonts w:ascii="Arial" w:cs="Arial" w:eastAsia="Arial" w:hAnsi="Arial"/>
          <w:sz w:val="18"/>
          <w:szCs w:val="18"/>
          <w:color w:val="auto"/>
        </w:rPr>
      </w:pPr>
    </w:p>
    <w:p>
      <w:pPr>
        <w:jc w:val="both"/>
        <w:ind w:left="900" w:right="20" w:hanging="448"/>
        <w:spacing w:after="0" w:line="26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00" w:right="180" w:hanging="448"/>
        <w:spacing w:after="0" w:line="340"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6"/>
          <w:szCs w:val="16"/>
          <w:color w:val="auto"/>
        </w:rPr>
      </w:pPr>
    </w:p>
    <w:p>
      <w:pPr>
        <w:jc w:val="both"/>
        <w:ind w:left="900" w:right="40" w:hanging="448"/>
        <w:spacing w:after="0" w:line="290"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4" w:lineRule="exact"/>
        <w:rPr>
          <w:rFonts w:ascii="Arial" w:cs="Arial" w:eastAsia="Arial" w:hAnsi="Arial"/>
          <w:sz w:val="16"/>
          <w:szCs w:val="16"/>
          <w:color w:val="auto"/>
        </w:rPr>
      </w:pPr>
    </w:p>
    <w:p>
      <w:pPr>
        <w:ind w:left="1940" w:right="120" w:hanging="452"/>
        <w:spacing w:after="0" w:line="285" w:lineRule="auto"/>
        <w:tabs>
          <w:tab w:leader="none" w:pos="1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40" w:right="380" w:hanging="452"/>
        <w:spacing w:after="0" w:line="285" w:lineRule="auto"/>
        <w:tabs>
          <w:tab w:leader="none" w:pos="1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40" w:right="20" w:hanging="452"/>
        <w:spacing w:after="0" w:line="262" w:lineRule="auto"/>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40" w:right="120" w:hanging="452"/>
        <w:spacing w:after="0" w:line="285" w:lineRule="auto"/>
        <w:tabs>
          <w:tab w:leader="none" w:pos="1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8"/>
        <w:spacing w:after="0" w:line="340"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0" w:lineRule="exact"/>
        <w:rPr>
          <w:rFonts w:ascii="Arial" w:cs="Arial" w:eastAsia="Arial" w:hAnsi="Arial"/>
          <w:sz w:val="16"/>
          <w:szCs w:val="16"/>
          <w:color w:val="auto"/>
        </w:rPr>
      </w:pPr>
    </w:p>
    <w:p>
      <w:pPr>
        <w:ind w:left="1940" w:right="80" w:hanging="452"/>
        <w:spacing w:after="0" w:line="340" w:lineRule="auto"/>
        <w:tabs>
          <w:tab w:leader="none" w:pos="19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940" w:right="260" w:hanging="452"/>
        <w:spacing w:after="0" w:line="276" w:lineRule="auto"/>
        <w:tabs>
          <w:tab w:leader="none" w:pos="1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3333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60"/>
          </w:cols>
          <w:pgMar w:left="240" w:top="125"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31.2</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129" w:lineRule="exact"/>
        <w:rPr>
          <w:sz w:val="20"/>
          <w:szCs w:val="20"/>
          <w:color w:val="auto"/>
        </w:rPr>
      </w:pPr>
    </w:p>
    <w:p>
      <w:pPr>
        <w:ind w:left="900" w:hanging="448"/>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129" w:lineRule="exact"/>
        <w:rPr>
          <w:rFonts w:ascii="Arial" w:cs="Arial" w:eastAsia="Arial" w:hAnsi="Arial"/>
          <w:sz w:val="18"/>
          <w:szCs w:val="18"/>
          <w:color w:val="auto"/>
        </w:rPr>
      </w:pPr>
    </w:p>
    <w:p>
      <w:pPr>
        <w:jc w:val="both"/>
        <w:ind w:left="900" w:right="20" w:hanging="448"/>
        <w:spacing w:after="0" w:line="262"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00" w:right="180" w:hanging="448"/>
        <w:spacing w:after="0" w:line="34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30" w:lineRule="exact"/>
        <w:rPr>
          <w:rFonts w:ascii="Arial" w:cs="Arial" w:eastAsia="Arial" w:hAnsi="Arial"/>
          <w:sz w:val="16"/>
          <w:szCs w:val="16"/>
          <w:color w:val="auto"/>
        </w:rPr>
      </w:pPr>
    </w:p>
    <w:p>
      <w:pPr>
        <w:jc w:val="both"/>
        <w:ind w:left="900" w:right="40" w:hanging="448"/>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4" w:lineRule="exact"/>
        <w:rPr>
          <w:rFonts w:ascii="Arial" w:cs="Arial" w:eastAsia="Arial" w:hAnsi="Arial"/>
          <w:sz w:val="16"/>
          <w:szCs w:val="16"/>
          <w:color w:val="auto"/>
        </w:rPr>
      </w:pPr>
    </w:p>
    <w:p>
      <w:pPr>
        <w:ind w:left="1940" w:right="120" w:hanging="452"/>
        <w:spacing w:after="0" w:line="285" w:lineRule="auto"/>
        <w:tabs>
          <w:tab w:leader="none" w:pos="19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40" w:right="380" w:hanging="452"/>
        <w:spacing w:after="0" w:line="285" w:lineRule="auto"/>
        <w:tabs>
          <w:tab w:leader="none" w:pos="19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40" w:right="20" w:hanging="452"/>
        <w:spacing w:after="0" w:line="262" w:lineRule="auto"/>
        <w:tabs>
          <w:tab w:leader="none" w:pos="1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40" w:right="120" w:hanging="452"/>
        <w:spacing w:after="0" w:line="285" w:lineRule="auto"/>
        <w:tabs>
          <w:tab w:leader="none" w:pos="19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hanging="448"/>
        <w:spacing w:after="0" w:line="34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0" w:lineRule="exact"/>
        <w:rPr>
          <w:rFonts w:ascii="Arial" w:cs="Arial" w:eastAsia="Arial" w:hAnsi="Arial"/>
          <w:sz w:val="16"/>
          <w:szCs w:val="16"/>
          <w:color w:val="auto"/>
        </w:rPr>
      </w:pPr>
    </w:p>
    <w:p>
      <w:pPr>
        <w:ind w:left="1940" w:right="80" w:hanging="452"/>
        <w:spacing w:after="0" w:line="340" w:lineRule="auto"/>
        <w:tabs>
          <w:tab w:leader="none" w:pos="19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940" w:right="260" w:hanging="452"/>
        <w:spacing w:after="0" w:line="276" w:lineRule="auto"/>
        <w:tabs>
          <w:tab w:leader="none" w:pos="1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3333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Barbara J Britenriker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60"/>
          </w:cols>
          <w:pgMar w:left="240" w:top="125"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32.1</w:t>
      </w: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PURSUANT TO 18 U.S.C. SECTION 1350</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2017 as filed with the Securities and Exchange Commission (“the report”), I, Paul S. Siebenmorgen, President and Chief Executive Officer, certify, pursuant to 18 U.S.C. Section 1350, as adopted pursuant to Section 906 of the Sarbanes-Oxley Act of 2002, that:</w:t>
      </w:r>
    </w:p>
    <w:p>
      <w:pPr>
        <w:spacing w:after="0" w:line="89" w:lineRule="exact"/>
        <w:rPr>
          <w:sz w:val="20"/>
          <w:szCs w:val="20"/>
          <w:color w:val="auto"/>
        </w:rPr>
      </w:pPr>
    </w:p>
    <w:p>
      <w:pPr>
        <w:ind w:left="900" w:hanging="448"/>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900" w:hanging="448"/>
        <w:spacing w:after="0" w:line="27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3333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 President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ind w:right="420"/>
        <w:spacing w:after="0" w:line="306"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080"/>
          </w:cols>
          <w:pgMar w:left="240" w:top="125" w:right="5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March 31, 2017,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89" w:lineRule="exact"/>
        <w:rPr>
          <w:sz w:val="20"/>
          <w:szCs w:val="20"/>
          <w:color w:val="auto"/>
        </w:rPr>
      </w:pPr>
    </w:p>
    <w:p>
      <w:pPr>
        <w:ind w:left="900" w:hanging="448"/>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900" w:right="340" w:hanging="448"/>
        <w:spacing w:after="0" w:line="27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14605</wp:posOffset>
            </wp:positionV>
            <wp:extent cx="3333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Barbara J. Britenriker, Exec. Vice President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209" w:lineRule="exact"/>
        <w:rPr>
          <w:sz w:val="20"/>
          <w:szCs w:val="20"/>
          <w:color w:val="auto"/>
        </w:rPr>
      </w:pPr>
    </w:p>
    <w:p>
      <w:pPr>
        <w:ind w:right="760"/>
        <w:spacing w:after="0" w:line="306"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lvl w:ilvl="1">
      <w:lvlJc w:val="left"/>
      <w:lvlText w:val="%2."/>
      <w:numFmt w:val="lowerLetter"/>
      <w:start w:val="1"/>
    </w:lvl>
  </w:abstractNum>
  <w:abstractNum w:abstractNumId="6">
    <w:nsid w:val="109CF92E"/>
    <w:multiLevelType w:val="hybridMultilevel"/>
    <w:lvl w:ilvl="0">
      <w:lvlJc w:val="left"/>
      <w:lvlText w:val="%1."/>
      <w:numFmt w:val="decimal"/>
      <w:start w:val="5"/>
    </w:lvl>
    <w:lvl w:ilvl="1">
      <w:lvlJc w:val="left"/>
      <w:lvlText w:val="%2."/>
      <w:numFmt w:val="lowerLetter"/>
      <w:start w:val="1"/>
    </w:lvl>
  </w:abstractNum>
  <w:abstractNum w:abstractNumId="7">
    <w:nsid w:val="DED7263"/>
    <w:multiLevelType w:val="hybridMultilevel"/>
    <w:lvl w:ilvl="0">
      <w:lvlJc w:val="left"/>
      <w:lvlText w:val="%1"/>
      <w:numFmt w:val="decimal"/>
      <w:start w:val="1"/>
    </w:lvl>
    <w:lvl w:ilvl="1">
      <w:lvlJc w:val="left"/>
      <w:lvlText w:val="%2."/>
      <w:numFmt w:val="lowerLetter"/>
      <w:start w:val="3"/>
    </w:lvl>
  </w:abstractNum>
  <w:abstractNum w:abstractNumId="8">
    <w:nsid w:val="7FDCC233"/>
    <w:multiLevelType w:val="hybridMultilevel"/>
    <w:lvl w:ilvl="0">
      <w:lvlJc w:val="left"/>
      <w:lvlText w:val="%1."/>
      <w:numFmt w:val="decimal"/>
      <w:start w:val="8"/>
    </w:lvl>
    <w:lvl w:ilvl="1">
      <w:lvlJc w:val="left"/>
      <w:lvlText w:val="%2."/>
      <w:numFmt w:val="lowerLetter"/>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2020-01-17T02:38:32Z</dcterms:created>
  <dcterms:modified xsi:type="dcterms:W3CDTF">2020-01-17T02:38:32Z</dcterms:modified>
</cp:coreProperties>
</file>