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September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4147820</wp:posOffset>
            </wp:positionH>
            <wp:positionV relativeFrom="paragraph">
              <wp:posOffset>-7620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9" w:lineRule="exact"/>
        <w:rPr>
          <w:sz w:val="24"/>
          <w:szCs w:val="24"/>
          <w:color w:val="auto"/>
        </w:rPr>
      </w:pPr>
    </w:p>
    <w:tbl>
      <w:tblPr>
        <w:tblLayout w:type="fixed"/>
        <w:tblInd w:w="1180" w:type="dxa"/>
        <w:tblCellMar>
          <w:top w:w="0" w:type="dxa"/>
          <w:left w:w="0" w:type="dxa"/>
          <w:bottom w:w="0" w:type="dxa"/>
          <w:right w:w="0" w:type="dxa"/>
        </w:tblCellMar>
      </w:tblPr>
      <w:tr>
        <w:trPr>
          <w:trHeight w:val="225"/>
        </w:trPr>
        <w:tc>
          <w:tcPr>
            <w:tcW w:w="3580" w:type="dxa"/>
            <w:vAlign w:val="bottom"/>
          </w:tcPr>
          <w:p>
            <w:pPr>
              <w:jc w:val="center"/>
              <w:ind w:right="22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5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40" w:type="dxa"/>
            <w:vAlign w:val="bottom"/>
          </w:tcPr>
          <w:p>
            <w:pPr>
              <w:jc w:val="center"/>
              <w:ind w:left="301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221"/>
              <w:spacing w:after="0"/>
              <w:rPr>
                <w:sz w:val="20"/>
                <w:szCs w:val="20"/>
                <w:color w:val="auto"/>
              </w:rPr>
            </w:pPr>
            <w:r>
              <w:rPr>
                <w:rFonts w:ascii="Arial" w:cs="Arial" w:eastAsia="Arial" w:hAnsi="Arial"/>
                <w:sz w:val="14"/>
                <w:szCs w:val="14"/>
                <w:b w:val="1"/>
                <w:bCs w:val="1"/>
                <w:color w:val="auto"/>
                <w:w w:val="94"/>
              </w:rPr>
              <w:t>incorporation or organization)</w:t>
            </w:r>
          </w:p>
        </w:tc>
        <w:tc>
          <w:tcPr>
            <w:tcW w:w="4240" w:type="dxa"/>
            <w:vAlign w:val="bottom"/>
          </w:tcPr>
          <w:p>
            <w:pPr>
              <w:jc w:val="center"/>
              <w:ind w:left="3019"/>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358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80" w:type="dxa"/>
            <w:vAlign w:val="bottom"/>
          </w:tcPr>
          <w:p>
            <w:pPr>
              <w:jc w:val="center"/>
              <w:ind w:right="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tcPr>
          <w:p>
            <w:pPr>
              <w:jc w:val="center"/>
              <w:ind w:left="3019"/>
              <w:spacing w:after="0"/>
              <w:rPr>
                <w:sz w:val="20"/>
                <w:szCs w:val="20"/>
                <w:color w:val="auto"/>
              </w:rPr>
            </w:pPr>
            <w:r>
              <w:rPr>
                <w:rFonts w:ascii="Arial" w:cs="Arial" w:eastAsia="Arial" w:hAnsi="Arial"/>
                <w:sz w:val="14"/>
                <w:szCs w:val="14"/>
                <w:b w:val="1"/>
                <w:bCs w:val="1"/>
                <w:color w:val="auto"/>
                <w:w w:val="95"/>
              </w:rPr>
              <w:t>(Zip Code)</w:t>
            </w:r>
          </w:p>
        </w:tc>
      </w:tr>
      <w:tr>
        <w:trPr>
          <w:trHeight w:val="329"/>
        </w:trPr>
        <w:tc>
          <w:tcPr>
            <w:tcW w:w="3580" w:type="dxa"/>
            <w:vAlign w:val="bottom"/>
          </w:tcPr>
          <w:p>
            <w:pPr>
              <w:spacing w:after="0"/>
              <w:rPr>
                <w:sz w:val="24"/>
                <w:szCs w:val="24"/>
                <w:color w:val="auto"/>
              </w:rPr>
            </w:pPr>
          </w:p>
        </w:tc>
        <w:tc>
          <w:tcPr>
            <w:tcW w:w="4240" w:type="dxa"/>
            <w:vAlign w:val="bottom"/>
          </w:tcPr>
          <w:p>
            <w:pPr>
              <w:jc w:val="right"/>
              <w:ind w:right="2739"/>
              <w:spacing w:after="0"/>
              <w:rPr>
                <w:sz w:val="20"/>
                <w:szCs w:val="20"/>
                <w:color w:val="auto"/>
              </w:rPr>
            </w:pPr>
            <w:r>
              <w:rPr>
                <w:rFonts w:ascii="Arial" w:cs="Arial" w:eastAsia="Arial" w:hAnsi="Arial"/>
                <w:sz w:val="18"/>
                <w:szCs w:val="18"/>
                <w:b w:val="1"/>
                <w:bCs w:val="1"/>
                <w:color w:val="auto"/>
              </w:rPr>
              <w:t>(419) 446-2501</w:t>
            </w:r>
          </w:p>
        </w:tc>
      </w:tr>
    </w:tbl>
    <w:p>
      <w:pPr>
        <w:jc w:val="center"/>
        <w:ind w:right="-19"/>
        <w:spacing w:after="0" w:line="221"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3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Name of Each Exchange</w:t>
            </w:r>
          </w:p>
        </w:tc>
      </w:tr>
      <w:tr>
        <w:trPr>
          <w:trHeight w:val="20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60" w:type="dxa"/>
            <w:vAlign w:val="bottom"/>
          </w:tcPr>
          <w:p>
            <w:pPr>
              <w:spacing w:after="0"/>
              <w:rPr>
                <w:sz w:val="18"/>
                <w:szCs w:val="18"/>
                <w:color w:val="auto"/>
              </w:rPr>
            </w:pPr>
          </w:p>
        </w:tc>
        <w:tc>
          <w:tcPr>
            <w:tcW w:w="534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60" w:type="dxa"/>
            <w:vAlign w:val="bottom"/>
          </w:tcPr>
          <w:p>
            <w:pPr>
              <w:spacing w:after="0"/>
              <w:rPr>
                <w:sz w:val="18"/>
                <w:szCs w:val="18"/>
                <w:color w:val="auto"/>
              </w:rPr>
            </w:pPr>
          </w:p>
        </w:tc>
        <w:tc>
          <w:tcPr>
            <w:tcW w:w="534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ind w:left="20"/>
              <w:spacing w:after="0"/>
              <w:rPr>
                <w:sz w:val="20"/>
                <w:szCs w:val="20"/>
                <w:color w:val="auto"/>
              </w:rPr>
            </w:pPr>
            <w:r>
              <w:rPr>
                <w:rFonts w:ascii="Arial" w:cs="Arial" w:eastAsia="Arial" w:hAnsi="Arial"/>
                <w:sz w:val="16"/>
                <w:szCs w:val="16"/>
                <w:color w:val="auto"/>
                <w:w w:val="95"/>
              </w:rPr>
              <w:t>Emerging growth company</w:t>
            </w:r>
          </w:p>
        </w:tc>
        <w:tc>
          <w:tcPr>
            <w:tcW w:w="60" w:type="dxa"/>
            <w:vAlign w:val="bottom"/>
          </w:tcPr>
          <w:p>
            <w:pPr>
              <w:spacing w:after="0"/>
              <w:rPr>
                <w:sz w:val="23"/>
                <w:szCs w:val="23"/>
                <w:color w:val="auto"/>
              </w:rPr>
            </w:pPr>
          </w:p>
        </w:tc>
        <w:tc>
          <w:tcPr>
            <w:tcW w:w="534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27"/>
        </w:trPr>
        <w:tc>
          <w:tcPr>
            <w:tcW w:w="10840" w:type="dxa"/>
            <w:vAlign w:val="bottom"/>
            <w:gridSpan w:val="7"/>
          </w:tcPr>
          <w:p>
            <w:pPr>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complying with any new or revised</w:t>
            </w:r>
          </w:p>
        </w:tc>
        <w:tc>
          <w:tcPr>
            <w:tcW w:w="340" w:type="dxa"/>
            <w:vAlign w:val="bottom"/>
          </w:tcPr>
          <w:p>
            <w:pPr>
              <w:spacing w:after="0"/>
              <w:rPr>
                <w:sz w:val="19"/>
                <w:szCs w:val="19"/>
                <w:color w:val="auto"/>
              </w:rPr>
            </w:pPr>
          </w:p>
        </w:tc>
      </w:tr>
      <w:tr>
        <w:trPr>
          <w:trHeight w:val="272"/>
        </w:trPr>
        <w:tc>
          <w:tcPr>
            <w:tcW w:w="7260" w:type="dxa"/>
            <w:vAlign w:val="bottom"/>
            <w:gridSpan w:val="4"/>
          </w:tcPr>
          <w:p>
            <w:pPr>
              <w:spacing w:after="0" w:line="184" w:lineRule="exact"/>
              <w:rPr>
                <w:sz w:val="20"/>
                <w:szCs w:val="20"/>
                <w:color w:val="auto"/>
              </w:rPr>
            </w:pPr>
            <w:r>
              <w:rPr>
                <w:rFonts w:ascii="Arial" w:cs="Arial" w:eastAsia="Arial" w:hAnsi="Arial"/>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0840" w:type="dxa"/>
            <w:vAlign w:val="bottom"/>
            <w:gridSpan w:val="7"/>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340" w:type="dxa"/>
            <w:vAlign w:val="bottom"/>
          </w:tcPr>
          <w:p>
            <w:pPr>
              <w:spacing w:after="0"/>
              <w:rPr>
                <w:sz w:val="22"/>
                <w:szCs w:val="22"/>
                <w:color w:val="auto"/>
              </w:rPr>
            </w:pPr>
          </w:p>
        </w:tc>
      </w:tr>
      <w:tr>
        <w:trPr>
          <w:trHeight w:val="296"/>
        </w:trPr>
        <w:tc>
          <w:tcPr>
            <w:tcW w:w="186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7260" w:type="dxa"/>
            <w:vAlign w:val="bottom"/>
            <w:gridSpan w:val="4"/>
          </w:tcPr>
          <w:p>
            <w:pPr>
              <w:spacing w:after="0"/>
              <w:rPr>
                <w:sz w:val="20"/>
                <w:szCs w:val="20"/>
                <w:color w:val="auto"/>
              </w:rPr>
            </w:pPr>
            <w:r>
              <w:rPr>
                <w:rFonts w:ascii="Arial" w:cs="Arial" w:eastAsia="Arial" w:hAnsi="Arial"/>
                <w:sz w:val="16"/>
                <w:szCs w:val="16"/>
                <w:color w:val="auto"/>
                <w:w w:val="91"/>
              </w:rPr>
              <w:t>Indicate the number of shares of each of the issuers’ classes of common stock, as of the latest practicable date:</w:t>
            </w: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860" w:type="dxa"/>
            <w:vAlign w:val="bottom"/>
          </w:tcPr>
          <w:p>
            <w:pPr>
              <w:spacing w:after="0"/>
              <w:rPr>
                <w:sz w:val="22"/>
                <w:szCs w:val="22"/>
                <w:color w:val="auto"/>
              </w:rPr>
            </w:pPr>
          </w:p>
        </w:tc>
        <w:tc>
          <w:tcPr>
            <w:tcW w:w="5400" w:type="dxa"/>
            <w:vAlign w:val="bottom"/>
            <w:gridSpan w:val="3"/>
          </w:tcPr>
          <w:p>
            <w:pPr>
              <w:jc w:val="center"/>
              <w:ind w:right="3340"/>
              <w:spacing w:after="0"/>
              <w:rPr>
                <w:sz w:val="20"/>
                <w:szCs w:val="20"/>
                <w:color w:val="auto"/>
              </w:rPr>
            </w:pPr>
            <w:r>
              <w:rPr>
                <w:rFonts w:ascii="Arial" w:cs="Arial" w:eastAsia="Arial" w:hAnsi="Arial"/>
                <w:sz w:val="16"/>
                <w:szCs w:val="16"/>
                <w:color w:val="auto"/>
                <w:w w:val="90"/>
              </w:rPr>
              <w:t>Common Stock, No Par Value</w:t>
            </w:r>
          </w:p>
        </w:tc>
        <w:tc>
          <w:tcPr>
            <w:tcW w:w="3580" w:type="dxa"/>
            <w:vAlign w:val="bottom"/>
            <w:gridSpan w:val="3"/>
          </w:tcPr>
          <w:p>
            <w:pPr>
              <w:jc w:val="right"/>
              <w:ind w:right="1960"/>
              <w:spacing w:after="0"/>
              <w:rPr>
                <w:sz w:val="20"/>
                <w:szCs w:val="20"/>
                <w:color w:val="auto"/>
              </w:rPr>
            </w:pPr>
            <w:r>
              <w:rPr>
                <w:rFonts w:ascii="Arial" w:cs="Arial" w:eastAsia="Arial" w:hAnsi="Arial"/>
                <w:sz w:val="16"/>
                <w:szCs w:val="16"/>
                <w:color w:val="auto"/>
              </w:rPr>
              <w:t>13,666,182</w:t>
            </w:r>
          </w:p>
        </w:tc>
        <w:tc>
          <w:tcPr>
            <w:tcW w:w="340" w:type="dxa"/>
            <w:vAlign w:val="bottom"/>
          </w:tcPr>
          <w:p>
            <w:pPr>
              <w:spacing w:after="0"/>
              <w:rPr>
                <w:sz w:val="22"/>
                <w:szCs w:val="22"/>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4"/>
        </w:trPr>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4"/>
              </w:rPr>
              <w:t>Class</w:t>
            </w:r>
          </w:p>
        </w:tc>
        <w:tc>
          <w:tcPr>
            <w:tcW w:w="3400" w:type="dxa"/>
            <w:vAlign w:val="bottom"/>
          </w:tcPr>
          <w:p>
            <w:pPr>
              <w:spacing w:after="0"/>
              <w:rPr>
                <w:sz w:val="21"/>
                <w:szCs w:val="21"/>
                <w:color w:val="auto"/>
              </w:rPr>
            </w:pPr>
          </w:p>
        </w:tc>
        <w:tc>
          <w:tcPr>
            <w:tcW w:w="3580" w:type="dxa"/>
            <w:vAlign w:val="bottom"/>
            <w:gridSpan w:val="3"/>
          </w:tcPr>
          <w:p>
            <w:pPr>
              <w:jc w:val="center"/>
              <w:ind w:right="1100"/>
              <w:spacing w:after="0"/>
              <w:rPr>
                <w:sz w:val="20"/>
                <w:szCs w:val="20"/>
                <w:color w:val="auto"/>
              </w:rPr>
            </w:pPr>
            <w:r>
              <w:rPr>
                <w:rFonts w:ascii="Arial" w:cs="Arial" w:eastAsia="Arial" w:hAnsi="Arial"/>
                <w:sz w:val="16"/>
                <w:szCs w:val="16"/>
                <w:color w:val="auto"/>
                <w:w w:val="91"/>
              </w:rPr>
              <w:t>Outstanding as of October 27, 2023</w:t>
            </w:r>
          </w:p>
        </w:tc>
        <w:tc>
          <w:tcPr>
            <w:tcW w:w="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gridSpan w:val="28"/>
          </w:tcPr>
          <w:p>
            <w:pPr>
              <w:spacing w:after="0"/>
              <w:rPr>
                <w:sz w:val="20"/>
                <w:szCs w:val="20"/>
                <w:color w:val="auto"/>
              </w:rPr>
            </w:pPr>
            <w:r>
              <w:rPr>
                <w:rFonts w:ascii="Arial" w:cs="Arial" w:eastAsia="Arial" w:hAnsi="Arial"/>
                <w:sz w:val="18"/>
                <w:szCs w:val="18"/>
                <w:color w:val="auto"/>
              </w:rPr>
              <w:t>FARMERS &amp; MERCHANTS BANCORP, INC.</w:t>
            </w:r>
          </w:p>
        </w:tc>
        <w:tc>
          <w:tcPr>
            <w:tcW w:w="56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0"/>
        </w:trPr>
        <w:tc>
          <w:tcPr>
            <w:tcW w:w="680" w:type="dxa"/>
            <w:vAlign w:val="bottom"/>
          </w:tcPr>
          <w:p>
            <w:pPr>
              <w:spacing w:after="0"/>
              <w:rPr>
                <w:sz w:val="16"/>
                <w:szCs w:val="16"/>
                <w:color w:val="auto"/>
              </w:rPr>
            </w:pPr>
          </w:p>
        </w:tc>
        <w:tc>
          <w:tcPr>
            <w:tcW w:w="12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9"/>
              </w:rPr>
              <w:t>Form 10-Q Items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0" w:type="dxa"/>
            <w:vAlign w:val="bottom"/>
          </w:tcPr>
          <w:p>
            <w:pPr>
              <w:jc w:val="center"/>
              <w:ind w:left="50"/>
              <w:spacing w:after="0" w:line="190" w:lineRule="exact"/>
              <w:rPr>
                <w:sz w:val="20"/>
                <w:szCs w:val="20"/>
                <w:color w:val="auto"/>
              </w:rPr>
            </w:pPr>
            <w:r>
              <w:rPr>
                <w:rFonts w:ascii="Arial" w:cs="Arial" w:eastAsia="Arial" w:hAnsi="Arial"/>
                <w:sz w:val="18"/>
                <w:szCs w:val="18"/>
                <w:color w:val="auto"/>
                <w:w w:val="80"/>
              </w:rPr>
              <w:t>Page</w:t>
            </w:r>
          </w:p>
        </w:tc>
      </w:tr>
      <w:tr>
        <w:trPr>
          <w:trHeight w:val="210"/>
        </w:trPr>
        <w:tc>
          <w:tcPr>
            <w:tcW w:w="6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PART I.</w:t>
            </w:r>
          </w:p>
        </w:tc>
        <w:tc>
          <w:tcPr>
            <w:tcW w:w="340" w:type="dxa"/>
            <w:vAlign w:val="bottom"/>
          </w:tcPr>
          <w:p>
            <w:pPr>
              <w:spacing w:after="0"/>
              <w:rPr>
                <w:sz w:val="18"/>
                <w:szCs w:val="18"/>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FINANCIAL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Financial Statements (Unaudited)</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Condensed Consolidated Balance Sheets -</w:t>
            </w:r>
          </w:p>
        </w:tc>
        <w:tc>
          <w:tcPr>
            <w:tcW w:w="5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Arial" w:cs="Arial" w:eastAsia="Arial" w:hAnsi="Arial"/>
                <w:sz w:val="18"/>
                <w:szCs w:val="18"/>
                <w:color w:val="0000FF"/>
              </w:rPr>
              <w:t>September 30, 2023 and December 31, 2022</w:t>
            </w: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Income -</w:t>
            </w:r>
          </w:p>
        </w:tc>
        <w:tc>
          <w:tcPr>
            <w:tcW w:w="5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Arial" w:cs="Arial" w:eastAsia="Arial" w:hAnsi="Arial"/>
                <w:sz w:val="18"/>
                <w:szCs w:val="18"/>
                <w:color w:val="0000FF"/>
              </w:rPr>
              <w:t>Three and Nine Months Ended September 30, 2023 and September 30, 2022</w:t>
            </w: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Comprehensive Income (Loss) -</w:t>
            </w:r>
          </w:p>
        </w:tc>
        <w:tc>
          <w:tcPr>
            <w:tcW w:w="5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2"/>
          </w:tcPr>
          <w:p>
            <w:pPr>
              <w:ind w:left="20"/>
              <w:spacing w:after="0" w:line="196" w:lineRule="exact"/>
              <w:rPr>
                <w:sz w:val="20"/>
                <w:szCs w:val="20"/>
                <w:color w:val="auto"/>
              </w:rPr>
            </w:pPr>
            <w:r>
              <w:rPr>
                <w:rFonts w:ascii="Arial" w:cs="Arial" w:eastAsia="Arial" w:hAnsi="Arial"/>
                <w:sz w:val="18"/>
                <w:szCs w:val="18"/>
                <w:color w:val="0000FF"/>
              </w:rPr>
              <w:t>Three and Nine Months Ended September 30, 2023 and September 30, 2022</w:t>
            </w: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Changes to Stockholders’ Equity -</w:t>
            </w:r>
          </w:p>
        </w:tc>
        <w:tc>
          <w:tcPr>
            <w:tcW w:w="5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2"/>
          </w:tcPr>
          <w:p>
            <w:pPr>
              <w:ind w:left="20"/>
              <w:spacing w:after="0" w:line="196" w:lineRule="exact"/>
              <w:rPr>
                <w:sz w:val="20"/>
                <w:szCs w:val="20"/>
                <w:color w:val="auto"/>
              </w:rPr>
            </w:pPr>
            <w:r>
              <w:rPr>
                <w:rFonts w:ascii="Arial" w:cs="Arial" w:eastAsia="Arial" w:hAnsi="Arial"/>
                <w:sz w:val="18"/>
                <w:szCs w:val="18"/>
                <w:color w:val="0000FF"/>
              </w:rPr>
              <w:t>Three and Nine Months Ended September 30, 2023 and September 30, 2022</w:t>
            </w:r>
          </w:p>
        </w:tc>
        <w:tc>
          <w:tcPr>
            <w:tcW w:w="56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Cash Flows -</w:t>
            </w:r>
          </w:p>
        </w:tc>
        <w:tc>
          <w:tcPr>
            <w:tcW w:w="5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2"/>
          </w:tcPr>
          <w:p>
            <w:pPr>
              <w:spacing w:after="0" w:line="196" w:lineRule="exact"/>
              <w:rPr>
                <w:sz w:val="20"/>
                <w:szCs w:val="20"/>
                <w:color w:val="auto"/>
              </w:rPr>
            </w:pPr>
            <w:r>
              <w:rPr>
                <w:rFonts w:ascii="Arial" w:cs="Arial" w:eastAsia="Arial" w:hAnsi="Arial"/>
                <w:sz w:val="18"/>
                <w:szCs w:val="18"/>
                <w:color w:val="0000FF"/>
              </w:rPr>
              <w:t>Nine Months Ended September 30, 2023 and September 30, 2022</w:t>
            </w:r>
          </w:p>
        </w:tc>
        <w:tc>
          <w:tcPr>
            <w:tcW w:w="56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w:t>
            </w:r>
          </w:p>
        </w:tc>
        <w:tc>
          <w:tcPr>
            <w:tcW w:w="56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32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and Results of Operations</w:t>
            </w:r>
          </w:p>
        </w:tc>
        <w:tc>
          <w:tcPr>
            <w:tcW w:w="3600" w:type="dxa"/>
            <w:vAlign w:val="bottom"/>
            <w:gridSpan w:val="6"/>
          </w:tcPr>
          <w:p>
            <w:pPr>
              <w:spacing w:after="0"/>
              <w:rPr>
                <w:sz w:val="17"/>
                <w:szCs w:val="17"/>
                <w:color w:val="auto"/>
              </w:rPr>
            </w:pP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53-78</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Qualitative and Quantitative Disclosures About Market Risk</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79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384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Defaults Upon Senior Securities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58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0000FF"/>
              </w:rPr>
              <w:t>Exhibits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84</w:t>
            </w: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85</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16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9"/>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w:t>
            </w:r>
          </w:p>
        </w:tc>
        <w:tc>
          <w:tcPr>
            <w:tcW w:w="56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60" w:type="dxa"/>
            <w:vAlign w:val="bottom"/>
            <w:gridSpan w:val="23"/>
          </w:tcPr>
          <w:p>
            <w:pPr>
              <w:spacing w:after="0" w:line="229" w:lineRule="exact"/>
              <w:rPr>
                <w:sz w:val="20"/>
                <w:szCs w:val="20"/>
                <w:color w:val="auto"/>
              </w:rPr>
            </w:pPr>
            <w:r>
              <w:rPr>
                <w:rFonts w:ascii="Arial" w:cs="Arial" w:eastAsia="Arial" w:hAnsi="Arial"/>
                <w:sz w:val="18"/>
                <w:szCs w:val="18"/>
                <w:color w:val="auto"/>
              </w:rPr>
              <w:t xml:space="preserve">its XBRL tags are embedded within the Inline XBRL document. </w:t>
            </w:r>
            <w:r>
              <w:rPr>
                <w:rFonts w:ascii="Arial" w:cs="Arial" w:eastAsia="Arial" w:hAnsi="Arial"/>
                <w:sz w:val="24"/>
                <w:szCs w:val="24"/>
                <w:color w:val="auto"/>
                <w:vertAlign w:val="superscript"/>
              </w:rPr>
              <w:t>(1)</w:t>
            </w:r>
          </w:p>
        </w:tc>
        <w:tc>
          <w:tcPr>
            <w:tcW w:w="56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9"/>
                <w:szCs w:val="19"/>
                <w:color w:val="auto"/>
              </w:rPr>
            </w:pPr>
          </w:p>
        </w:tc>
        <w:tc>
          <w:tcPr>
            <w:tcW w:w="8160" w:type="dxa"/>
            <w:vAlign w:val="bottom"/>
            <w:gridSpan w:val="23"/>
          </w:tcPr>
          <w:p>
            <w:pPr>
              <w:spacing w:after="0" w:line="229" w:lineRule="exact"/>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4"/>
                <w:szCs w:val="24"/>
                <w:color w:val="auto"/>
                <w:vertAlign w:val="superscript"/>
              </w:rPr>
              <w:t>(1)</w:t>
            </w:r>
          </w:p>
        </w:tc>
        <w:tc>
          <w:tcPr>
            <w:tcW w:w="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9"/>
                <w:szCs w:val="19"/>
                <w:color w:val="auto"/>
              </w:rPr>
            </w:pPr>
          </w:p>
        </w:tc>
        <w:tc>
          <w:tcPr>
            <w:tcW w:w="8160" w:type="dxa"/>
            <w:vAlign w:val="bottom"/>
            <w:gridSpan w:val="23"/>
          </w:tcPr>
          <w:p>
            <w:pPr>
              <w:spacing w:after="0" w:line="229" w:lineRule="exact"/>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4"/>
                <w:szCs w:val="24"/>
                <w:color w:val="auto"/>
                <w:vertAlign w:val="superscript"/>
              </w:rPr>
              <w:t>(1)</w:t>
            </w:r>
          </w:p>
        </w:tc>
        <w:tc>
          <w:tcPr>
            <w:tcW w:w="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9"/>
                <w:szCs w:val="19"/>
                <w:color w:val="auto"/>
              </w:rPr>
            </w:pPr>
          </w:p>
        </w:tc>
        <w:tc>
          <w:tcPr>
            <w:tcW w:w="8160" w:type="dxa"/>
            <w:vAlign w:val="bottom"/>
            <w:gridSpan w:val="23"/>
          </w:tcPr>
          <w:p>
            <w:pPr>
              <w:spacing w:after="0" w:line="229" w:lineRule="exact"/>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4"/>
                <w:szCs w:val="24"/>
                <w:color w:val="auto"/>
                <w:vertAlign w:val="superscript"/>
              </w:rPr>
              <w:t>(1)</w:t>
            </w:r>
          </w:p>
        </w:tc>
        <w:tc>
          <w:tcPr>
            <w:tcW w:w="56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19"/>
                <w:szCs w:val="19"/>
                <w:color w:val="auto"/>
              </w:rPr>
            </w:pPr>
          </w:p>
        </w:tc>
        <w:tc>
          <w:tcPr>
            <w:tcW w:w="8160" w:type="dxa"/>
            <w:vAlign w:val="bottom"/>
            <w:gridSpan w:val="23"/>
          </w:tcPr>
          <w:p>
            <w:pPr>
              <w:spacing w:after="0" w:line="229" w:lineRule="exact"/>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4"/>
                <w:szCs w:val="24"/>
                <w:color w:val="auto"/>
                <w:vertAlign w:val="superscript"/>
              </w:rPr>
              <w:t>(1)</w:t>
            </w:r>
          </w:p>
        </w:tc>
        <w:tc>
          <w:tcPr>
            <w:tcW w:w="560" w:type="dxa"/>
            <w:vAlign w:val="bottom"/>
          </w:tcPr>
          <w:p>
            <w:pPr>
              <w:spacing w:after="0"/>
              <w:rPr>
                <w:sz w:val="19"/>
                <w:szCs w:val="19"/>
                <w:color w:val="auto"/>
              </w:rPr>
            </w:pPr>
          </w:p>
        </w:tc>
      </w:tr>
      <w:tr>
        <w:trPr>
          <w:trHeight w:val="31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8160" w:type="dxa"/>
            <w:vAlign w:val="bottom"/>
            <w:gridSpan w:val="23"/>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4"/>
                <w:szCs w:val="24"/>
                <w:color w:val="auto"/>
                <w:vertAlign w:val="superscript"/>
              </w:rPr>
              <w:t>(1)</w:t>
            </w:r>
          </w:p>
        </w:tc>
        <w:tc>
          <w:tcPr>
            <w:tcW w:w="560" w:type="dxa"/>
            <w:vAlign w:val="bottom"/>
          </w:tcPr>
          <w:p>
            <w:pPr>
              <w:spacing w:after="0"/>
              <w:rPr>
                <w:sz w:val="24"/>
                <w:szCs w:val="24"/>
                <w:color w:val="auto"/>
              </w:rPr>
            </w:pPr>
          </w:p>
        </w:tc>
      </w:tr>
    </w:tbl>
    <w:p>
      <w:pPr>
        <w:spacing w:after="0" w:line="32" w:lineRule="exact"/>
        <w:rPr>
          <w:sz w:val="20"/>
          <w:szCs w:val="20"/>
          <w:color w:val="auto"/>
        </w:rPr>
      </w:pPr>
    </w:p>
    <w:p>
      <w:pPr>
        <w:jc w:val="both"/>
        <w:ind w:left="380" w:hanging="372"/>
        <w:spacing w:after="0" w:line="230" w:lineRule="auto"/>
        <w:tabs>
          <w:tab w:leader="none" w:pos="380"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PART 1 - FINANCIAL INFORMATION</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ITEM 1 FINANCIAL STATEMENTS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6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CONDENSED CONSOLIDATED BALANCE SHEETS</w:t>
            </w:r>
          </w:p>
        </w:tc>
        <w:tc>
          <w:tcPr>
            <w:tcW w:w="160" w:type="dxa"/>
            <w:vAlign w:val="bottom"/>
          </w:tcPr>
          <w:p>
            <w:pPr>
              <w:spacing w:after="0"/>
              <w:rPr>
                <w:sz w:val="20"/>
                <w:szCs w:val="20"/>
                <w:color w:val="auto"/>
              </w:rPr>
            </w:pPr>
          </w:p>
        </w:tc>
        <w:tc>
          <w:tcPr>
            <w:tcW w:w="4020" w:type="dxa"/>
            <w:vAlign w:val="bottom"/>
            <w:gridSpan w:val="4"/>
            <w:vMerge w:val="restart"/>
          </w:tcPr>
          <w:p>
            <w:pPr>
              <w:jc w:val="right"/>
              <w:ind w:right="117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0"/>
              </w:rPr>
              <w:t>September 30, 2023</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December 31, 2022</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151,711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83,085</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Federal funds sold</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1,471</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6"/>
        </w:trPr>
        <w:tc>
          <w:tcPr>
            <w:tcW w:w="7060" w:type="dxa"/>
            <w:vAlign w:val="bottom"/>
          </w:tcPr>
          <w:p>
            <w:pPr>
              <w:ind w:left="56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153,182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84,409</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Interest-bearing time deposits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Securities - available-for-sale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348,255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390,789</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securities, at cost</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16,995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net</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2,504,329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2,336,074</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31,723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28,381</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3,044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86,358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86,358</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5,687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Bank owned life insurance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33,691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33,073</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47,388</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37,372</w:t>
            </w: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3,234,680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3,015,351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560"/>
              <w:spacing w:after="0"/>
              <w:rPr>
                <w:sz w:val="20"/>
                <w:szCs w:val="20"/>
                <w:color w:val="auto"/>
              </w:rPr>
            </w:pPr>
            <w:r>
              <w:rPr>
                <w:rFonts w:ascii="Arial" w:cs="Arial" w:eastAsia="Arial" w:hAnsi="Arial"/>
                <w:sz w:val="18"/>
                <w:szCs w:val="18"/>
                <w:color w:val="auto"/>
              </w:rPr>
              <w:t>Noninterest-bearing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505,358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532,794</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Interest-bearing</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740"/>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778,133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750,887</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591,344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627,203</w:t>
            </w:r>
          </w:p>
        </w:tc>
        <w:tc>
          <w:tcPr>
            <w:tcW w:w="0" w:type="dxa"/>
            <w:vAlign w:val="bottom"/>
          </w:tcPr>
          <w:p>
            <w:pPr>
              <w:spacing w:after="0"/>
              <w:rPr>
                <w:sz w:val="1"/>
                <w:szCs w:val="1"/>
                <w:color w:val="auto"/>
              </w:rPr>
            </w:pPr>
          </w:p>
        </w:tc>
      </w:tr>
      <w:tr>
        <w:trPr>
          <w:trHeight w:val="237"/>
        </w:trPr>
        <w:tc>
          <w:tcPr>
            <w:tcW w:w="7060" w:type="dxa"/>
            <w:vAlign w:val="bottom"/>
          </w:tcPr>
          <w:p>
            <w:pPr>
              <w:ind w:left="74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700,445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557,980</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2,575,280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2,468,864</w:t>
            </w:r>
          </w:p>
        </w:tc>
        <w:tc>
          <w:tcPr>
            <w:tcW w:w="0" w:type="dxa"/>
            <w:vAlign w:val="bottom"/>
          </w:tcPr>
          <w:p>
            <w:pPr>
              <w:spacing w:after="0"/>
              <w:rPr>
                <w:sz w:val="1"/>
                <w:szCs w:val="1"/>
                <w:color w:val="auto"/>
              </w:rPr>
            </w:pPr>
          </w:p>
        </w:tc>
      </w:tr>
      <w:tr>
        <w:trPr>
          <w:trHeight w:val="215"/>
        </w:trPr>
        <w:tc>
          <w:tcPr>
            <w:tcW w:w="7060" w:type="dxa"/>
            <w:vAlign w:val="bottom"/>
          </w:tcPr>
          <w:p>
            <w:pPr>
              <w:ind w:left="380"/>
              <w:spacing w:after="0"/>
              <w:rPr>
                <w:sz w:val="20"/>
                <w:szCs w:val="20"/>
                <w:color w:val="auto"/>
              </w:rPr>
            </w:pPr>
            <w:r>
              <w:rPr>
                <w:rFonts w:ascii="Arial" w:cs="Arial" w:eastAsia="Arial" w:hAnsi="Arial"/>
                <w:sz w:val="18"/>
                <w:szCs w:val="18"/>
                <w:color w:val="auto"/>
              </w:rPr>
              <w:t>Federal funds purchased and securities sold under agreements to</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520"/>
              <w:spacing w:after="0"/>
              <w:rPr>
                <w:sz w:val="20"/>
                <w:szCs w:val="20"/>
                <w:color w:val="auto"/>
              </w:rPr>
            </w:pPr>
            <w:r>
              <w:rPr>
                <w:rFonts w:ascii="Arial" w:cs="Arial" w:eastAsia="Arial" w:hAnsi="Arial"/>
                <w:sz w:val="18"/>
                <w:szCs w:val="18"/>
                <w:color w:val="auto"/>
              </w:rPr>
              <w:t>repurchase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30,527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54,206</w:t>
            </w: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Federal Home Loan Bank (FHLB) advances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266,286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127,485</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Subordinated notes, net of unamortized issuance costs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34,673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34,586</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Dividend payable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2,838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21,892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19,238</w:t>
            </w:r>
          </w:p>
        </w:tc>
        <w:tc>
          <w:tcPr>
            <w:tcW w:w="0" w:type="dxa"/>
            <w:vAlign w:val="bottom"/>
          </w:tcPr>
          <w:p>
            <w:pPr>
              <w:spacing w:after="0"/>
              <w:rPr>
                <w:sz w:val="1"/>
                <w:szCs w:val="1"/>
                <w:color w:val="auto"/>
              </w:rPr>
            </w:pPr>
          </w:p>
        </w:tc>
      </w:tr>
      <w:tr>
        <w:trPr>
          <w:trHeight w:val="237"/>
        </w:trPr>
        <w:tc>
          <w:tcPr>
            <w:tcW w:w="7060" w:type="dxa"/>
            <w:vAlign w:val="bottom"/>
          </w:tcPr>
          <w:p>
            <w:pPr>
              <w:ind w:left="11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2,931,496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2,717,211</w:t>
            </w: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Common stock - No par value 20,000,000 shares authorized; issued and outstanding</w:t>
            </w: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14,564,425 shares 9/30/23 and 12/31/22</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135,171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135,497</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Treasury stock - 898,843 shares 9/30/23, 956,003 shares 12/31/22</w:t>
            </w:r>
          </w:p>
        </w:tc>
        <w:tc>
          <w:tcPr>
            <w:tcW w:w="1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(11,008 )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(11,573 )</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218,510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212,449</w:t>
            </w:r>
          </w:p>
        </w:tc>
        <w:tc>
          <w:tcPr>
            <w:tcW w:w="0" w:type="dxa"/>
            <w:vAlign w:val="bottom"/>
          </w:tcPr>
          <w:p>
            <w:pPr>
              <w:spacing w:after="0"/>
              <w:rPr>
                <w:sz w:val="1"/>
                <w:szCs w:val="1"/>
                <w:color w:val="auto"/>
              </w:rPr>
            </w:pPr>
          </w:p>
        </w:tc>
      </w:tr>
      <w:tr>
        <w:trPr>
          <w:trHeight w:val="237"/>
        </w:trPr>
        <w:tc>
          <w:tcPr>
            <w:tcW w:w="70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(39,489 )</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(38,233 )</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303,184</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298,140</w:t>
            </w:r>
          </w:p>
        </w:tc>
        <w:tc>
          <w:tcPr>
            <w:tcW w:w="0" w:type="dxa"/>
            <w:vAlign w:val="bottom"/>
          </w:tcPr>
          <w:p>
            <w:pPr>
              <w:spacing w:after="0"/>
              <w:rPr>
                <w:sz w:val="1"/>
                <w:szCs w:val="1"/>
                <w:color w:val="auto"/>
              </w:rPr>
            </w:pPr>
          </w:p>
        </w:tc>
      </w:tr>
      <w:tr>
        <w:trPr>
          <w:trHeight w:val="23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3,234,680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3,015,351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-6711315</wp:posOffset>
            </wp:positionV>
            <wp:extent cx="11112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-4851400</wp:posOffset>
            </wp:positionV>
            <wp:extent cx="11112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34290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-1893570</wp:posOffset>
            </wp:positionV>
            <wp:extent cx="11112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3257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1111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The December 31, 2022, Condensed Consolidated Balance Sheet has been derived from the audited Condensed Consolidated Balance Sheet as of that date.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FARMERS &amp; MERCHANTS BANCORP, INC. AND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341" w:right="339" w:bottom="1440" w:gutter="0" w:footer="0" w:header="0"/>
        </w:sectPr>
      </w:pP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6"/>
          <w:szCs w:val="16"/>
          <w:color w:val="auto"/>
        </w:rPr>
        <w:t>(in thousands of dollars, except per</w:t>
      </w:r>
    </w:p>
    <w:p>
      <w:pPr>
        <w:spacing w:after="0" w:line="46"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share data)</w:t>
      </w:r>
    </w:p>
    <w:p>
      <w:pPr>
        <w:spacing w:after="0" w:line="22"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23495</wp:posOffset>
            </wp:positionV>
            <wp:extent cx="18256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ind w:left="5260"/>
        <w:spacing w:after="0"/>
        <w:tabs>
          <w:tab w:leader="none" w:pos="6820" w:val="left"/>
        </w:tabs>
        <w:rPr>
          <w:sz w:val="20"/>
          <w:szCs w:val="20"/>
          <w:color w:val="auto"/>
        </w:rPr>
      </w:pPr>
      <w:r>
        <w:rPr>
          <w:rFonts w:ascii="Arial" w:cs="Arial" w:eastAsia="Arial" w:hAnsi="Arial"/>
          <w:sz w:val="18"/>
          <w:szCs w:val="18"/>
          <w:color w:val="auto"/>
        </w:rPr>
        <w:t>September 30,</w:t>
      </w:r>
      <w:r>
        <w:rPr>
          <w:sz w:val="20"/>
          <w:szCs w:val="20"/>
          <w:color w:val="auto"/>
        </w:rPr>
        <w:tab/>
      </w:r>
      <w:r>
        <w:rPr>
          <w:rFonts w:ascii="Arial" w:cs="Arial" w:eastAsia="Arial" w:hAnsi="Arial"/>
          <w:sz w:val="15"/>
          <w:szCs w:val="15"/>
          <w:color w:val="auto"/>
        </w:rPr>
        <w:t>September 30,</w:t>
      </w:r>
    </w:p>
    <w:p>
      <w:pPr>
        <w:spacing w:after="0" w:line="23" w:lineRule="exact"/>
        <w:rPr>
          <w:sz w:val="20"/>
          <w:szCs w:val="20"/>
          <w:color w:val="auto"/>
        </w:rPr>
      </w:pPr>
    </w:p>
    <w:p>
      <w:pPr>
        <w:ind w:left="5620"/>
        <w:spacing w:after="0"/>
        <w:tabs>
          <w:tab w:leader="none" w:pos="71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6"/>
          <w:szCs w:val="16"/>
          <w:color w:val="auto"/>
        </w:rPr>
        <w:t>(in thousands of dollars, except per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share data)</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23495</wp:posOffset>
            </wp:positionV>
            <wp:extent cx="177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September 30,</w:t>
      </w:r>
      <w:r>
        <w:rPr>
          <w:sz w:val="20"/>
          <w:szCs w:val="20"/>
          <w:color w:val="auto"/>
        </w:rPr>
        <w:tab/>
      </w:r>
      <w:r>
        <w:rPr>
          <w:rFonts w:ascii="Arial" w:cs="Arial" w:eastAsia="Arial" w:hAnsi="Arial"/>
          <w:sz w:val="15"/>
          <w:szCs w:val="15"/>
          <w:color w:val="auto"/>
        </w:rPr>
        <w:t>September 30,</w:t>
      </w:r>
    </w:p>
    <w:p>
      <w:pPr>
        <w:spacing w:after="0" w:line="23" w:lineRule="exact"/>
        <w:rPr>
          <w:sz w:val="20"/>
          <w:szCs w:val="20"/>
          <w:color w:val="auto"/>
        </w:rPr>
      </w:pPr>
    </w:p>
    <w:p>
      <w:pPr>
        <w:ind w:left="360"/>
        <w:spacing w:after="0"/>
        <w:tabs>
          <w:tab w:leader="none" w:pos="186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p>
    <w:p>
      <w:pPr>
        <w:spacing w:after="0" w:line="9" w:lineRule="exact"/>
        <w:rPr>
          <w:sz w:val="20"/>
          <w:szCs w:val="20"/>
          <w:color w:val="auto"/>
        </w:rPr>
      </w:pPr>
    </w:p>
    <w:p>
      <w:pPr>
        <w:sectPr>
          <w:pgSz w:w="11900" w:h="16838" w:orient="portrait"/>
          <w:cols w:equalWidth="0" w:num="2">
            <w:col w:w="7860" w:space="580"/>
            <w:col w:w="280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Interest Income</w:t>
            </w: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33,783</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24,119</w:t>
            </w:r>
          </w:p>
        </w:tc>
        <w:tc>
          <w:tcPr>
            <w:tcW w:w="3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94,851</w:t>
            </w:r>
          </w:p>
        </w:tc>
        <w:tc>
          <w:tcPr>
            <w:tcW w:w="2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securities: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and government agencies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Municipalities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funds sold</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interest income</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25,847</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101,538</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31,908</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agreements to repurchase</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Borrowed funds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Subordinated notes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interest expense</w:t>
            </w: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16,697</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3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40,076</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Net Interest Income - Before Provision for Credit Losses*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19,662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22,583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61,462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Provision for Credit Losses - Loans*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Provision for Credit Losses - Off Balance Sheet Credit</w:t>
            </w:r>
          </w:p>
        </w:tc>
        <w:tc>
          <w:tcPr>
            <w:tcW w:w="440" w:type="dxa"/>
            <w:vAlign w:val="bottom"/>
          </w:tcPr>
          <w:p>
            <w:pPr>
              <w:spacing w:after="0"/>
              <w:rPr>
                <w:sz w:val="18"/>
                <w:szCs w:val="18"/>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(76 )</w:t>
            </w:r>
          </w:p>
        </w:tc>
        <w:tc>
          <w:tcPr>
            <w:tcW w:w="4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(143 )</w:t>
            </w:r>
          </w:p>
        </w:tc>
        <w:tc>
          <w:tcPr>
            <w:tcW w:w="4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5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Exposures*</w:t>
            </w:r>
          </w:p>
        </w:tc>
        <w:tc>
          <w:tcPr>
            <w:tcW w:w="4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160" w:type="dxa"/>
            <w:vAlign w:val="bottom"/>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20,946</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60,185</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Noninterest Income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service fees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 service charges and fees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gain on sale of loans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Net loss on sale of available-for-sale securities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(891 )</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noninterest income</w:t>
            </w: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6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3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12,113</w:t>
            </w:r>
          </w:p>
        </w:tc>
        <w:tc>
          <w:tcPr>
            <w:tcW w:w="22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wages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19,934</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occupancy expense</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Furniture and equipment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Data processing</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Franchise taxes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ATM expense</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(gain) loss on sale of other assets owned</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FDIC assessment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Servicing rights amortization - net</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(50 )</w:t>
            </w: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Consulting fees</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Total noninterest expense</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13,471</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50,819</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11,207</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Dividends Declared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0.2100</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0.2100</w:t>
            </w:r>
          </w:p>
        </w:tc>
        <w:tc>
          <w:tcPr>
            <w:tcW w:w="3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0.6300</w:t>
            </w:r>
          </w:p>
        </w:tc>
        <w:tc>
          <w:tcPr>
            <w:tcW w:w="2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-5034280</wp:posOffset>
            </wp:positionV>
            <wp:extent cx="7747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-5034280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-5034280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-5034280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-1176655</wp:posOffset>
            </wp:positionV>
            <wp:extent cx="7747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-1176655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-1176655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-1176655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-534035</wp:posOffset>
            </wp:positionV>
            <wp:extent cx="303466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4665" cy="2057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-173990</wp:posOffset>
            </wp:positionV>
            <wp:extent cx="386588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65880" cy="2057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-97790</wp:posOffset>
            </wp:positionV>
            <wp:extent cx="3797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*ASU 2016-13 adopted during the first quarter of 2023; therefore, September 30, 2022 provision amount reflects the incurred loss method.</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 of dollars)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4"/>
          </w:tcPr>
          <w:p>
            <w:pPr>
              <w:jc w:val="right"/>
              <w:ind w:right="51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5"/>
        </w:trPr>
        <w:tc>
          <w:tcPr>
            <w:tcW w:w="536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September 30,</w:t>
            </w: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September 30,</w:t>
            </w: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September 30,</w:t>
            </w: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500" w:type="dxa"/>
            <w:vAlign w:val="bottom"/>
            <w:gridSpan w:val="3"/>
          </w:tcPr>
          <w:p>
            <w:pPr>
              <w:jc w:val="right"/>
              <w:ind w:right="4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4,777</w:t>
            </w:r>
          </w:p>
        </w:tc>
        <w:tc>
          <w:tcPr>
            <w:tcW w:w="14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8,954</w:t>
            </w:r>
          </w:p>
        </w:tc>
        <w:tc>
          <w:tcPr>
            <w:tcW w:w="1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17,244</w:t>
            </w:r>
          </w:p>
        </w:tc>
        <w:tc>
          <w:tcPr>
            <w:tcW w:w="1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25,327</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loss on available-for-sale</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(8,197 )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(43,738 )</w:t>
            </w:r>
          </w:p>
        </w:tc>
        <w:tc>
          <w:tcPr>
            <w:tcW w:w="0" w:type="dxa"/>
            <w:vAlign w:val="bottom"/>
          </w:tcPr>
          <w:p>
            <w:pPr>
              <w:spacing w:after="0"/>
              <w:rPr>
                <w:sz w:val="1"/>
                <w:szCs w:val="1"/>
                <w:color w:val="auto"/>
              </w:rPr>
            </w:pPr>
          </w:p>
        </w:tc>
      </w:tr>
      <w:tr>
        <w:trPr>
          <w:trHeight w:val="215"/>
        </w:trPr>
        <w:tc>
          <w:tcPr>
            <w:tcW w:w="5360" w:type="dxa"/>
            <w:vAlign w:val="bottom"/>
          </w:tcPr>
          <w:p>
            <w:pPr>
              <w:ind w:left="200"/>
              <w:spacing w:after="0"/>
              <w:rPr>
                <w:sz w:val="20"/>
                <w:szCs w:val="20"/>
                <w:color w:val="auto"/>
              </w:rPr>
            </w:pPr>
            <w:r>
              <w:rPr>
                <w:rFonts w:ascii="Arial" w:cs="Arial" w:eastAsia="Arial" w:hAnsi="Arial"/>
                <w:sz w:val="18"/>
                <w:szCs w:val="18"/>
                <w:color w:val="auto"/>
              </w:rPr>
              <w:t>Reclassification adjustment for realized loss on sale</w:t>
            </w:r>
          </w:p>
        </w:tc>
        <w:tc>
          <w:tcPr>
            <w:tcW w:w="28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of available-for-sale securities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loss on available-for-sale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(8,197 )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(43,738 )</w:t>
            </w: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Tax benefit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(947 )</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(1,721 )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(9,185 )</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(3,567 )</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(6,476 )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9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2,478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15,988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(9,226 )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-187960</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2023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Comprehensiv</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Stockholder</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color w:val="auto"/>
                <w:w w:val="87"/>
              </w:rPr>
              <w:t>Treasury</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Retained</w:t>
            </w:r>
          </w:p>
        </w:tc>
        <w:tc>
          <w:tcPr>
            <w:tcW w:w="220" w:type="dxa"/>
            <w:vAlign w:val="bottom"/>
          </w:tcPr>
          <w:p>
            <w:pPr>
              <w:spacing w:after="0"/>
              <w:rPr>
                <w:sz w:val="20"/>
                <w:szCs w:val="20"/>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8"/>
                <w:szCs w:val="18"/>
                <w:color w:val="auto"/>
                <w:w w:val="79"/>
              </w:rPr>
              <w:t>e</w:t>
            </w:r>
          </w:p>
        </w:tc>
        <w:tc>
          <w:tcPr>
            <w:tcW w:w="18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s'</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1"/>
                <w:szCs w:val="21"/>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00" w:type="dxa"/>
            <w:vAlign w:val="bottom"/>
            <w:gridSpan w:val="2"/>
          </w:tcPr>
          <w:p>
            <w:pPr>
              <w:jc w:val="right"/>
              <w:ind w:right="39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21"/>
                <w:szCs w:val="21"/>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January 1, 2023</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13,608,422</w:t>
            </w: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135,497</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212,449</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w w:val="94"/>
              </w:rPr>
              <w:t>Cumulative effect of change in accounting principle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(ASU</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(3,371 )</w:t>
            </w: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(3,371 )</w:t>
            </w:r>
          </w:p>
        </w:tc>
        <w:tc>
          <w:tcPr>
            <w:tcW w:w="0" w:type="dxa"/>
            <w:vAlign w:val="bottom"/>
          </w:tcPr>
          <w:p>
            <w:pPr>
              <w:spacing w:after="0"/>
              <w:rPr>
                <w:sz w:val="1"/>
                <w:szCs w:val="1"/>
                <w:color w:val="auto"/>
              </w:rPr>
            </w:pPr>
          </w:p>
        </w:tc>
      </w:tr>
      <w:tr>
        <w:trPr>
          <w:trHeight w:val="234"/>
        </w:trPr>
        <w:tc>
          <w:tcPr>
            <w:tcW w:w="4240" w:type="dxa"/>
            <w:vAlign w:val="bottom"/>
          </w:tcPr>
          <w:p>
            <w:pPr>
              <w:ind w:left="160"/>
              <w:spacing w:after="0"/>
              <w:rPr>
                <w:sz w:val="20"/>
                <w:szCs w:val="20"/>
                <w:color w:val="auto"/>
              </w:rPr>
            </w:pPr>
            <w:r>
              <w:rPr>
                <w:rFonts w:ascii="Arial" w:cs="Arial" w:eastAsia="Arial" w:hAnsi="Arial"/>
                <w:sz w:val="18"/>
                <w:szCs w:val="18"/>
                <w:b w:val="1"/>
                <w:bCs w:val="1"/>
                <w:color w:val="auto"/>
              </w:rPr>
              <w:t>2016-13)</w:t>
            </w:r>
          </w:p>
        </w:tc>
        <w:tc>
          <w:tcPr>
            <w:tcW w:w="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w w:val="95"/>
              </w:rPr>
              <w:t>Balance - January 1, 2023 as adjusted for change in</w:t>
            </w: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accounting principle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13,608,422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135,497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(11,573 )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209,078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(38,233 )</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21,700 shares of restricted stock</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(2,831 )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(2,831 )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 March 31, 2023</w:t>
            </w:r>
          </w:p>
        </w:tc>
        <w:tc>
          <w:tcPr>
            <w:tcW w:w="980" w:type="dxa"/>
            <w:vAlign w:val="bottom"/>
          </w:tcPr>
          <w:p>
            <w:pPr>
              <w:jc w:val="right"/>
              <w:spacing w:after="0"/>
              <w:rPr>
                <w:sz w:val="20"/>
                <w:szCs w:val="20"/>
                <w:color w:val="auto"/>
              </w:rPr>
            </w:pPr>
            <w:r>
              <w:rPr>
                <w:rFonts w:ascii="Arial" w:cs="Arial" w:eastAsia="Arial" w:hAnsi="Arial"/>
                <w:sz w:val="18"/>
                <w:szCs w:val="18"/>
                <w:color w:val="auto"/>
              </w:rPr>
              <w:t>13,630,122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(11,310 )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(31,186 )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(4,736 )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(4,736 )</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Forfeiture of 4,050 shares of restricted stock</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(4,050 )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Director stock award</w:t>
            </w:r>
          </w:p>
        </w:tc>
        <w:tc>
          <w:tcPr>
            <w:tcW w:w="980" w:type="dxa"/>
            <w:vAlign w:val="bottom"/>
          </w:tcPr>
          <w:p>
            <w:pPr>
              <w:jc w:val="right"/>
              <w:spacing w:after="0"/>
              <w:rPr>
                <w:sz w:val="20"/>
                <w:szCs w:val="20"/>
                <w:color w:val="auto"/>
              </w:rPr>
            </w:pPr>
            <w:r>
              <w:rPr>
                <w:rFonts w:ascii="Arial" w:cs="Arial" w:eastAsia="Arial" w:hAnsi="Arial"/>
                <w:sz w:val="18"/>
                <w:szCs w:val="18"/>
                <w:color w:val="auto"/>
              </w:rPr>
              <w:t>9,048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(2,834 )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(2,834 )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2023</w:t>
            </w:r>
          </w:p>
        </w:tc>
        <w:tc>
          <w:tcPr>
            <w:tcW w:w="980" w:type="dxa"/>
            <w:vAlign w:val="bottom"/>
          </w:tcPr>
          <w:p>
            <w:pPr>
              <w:jc w:val="right"/>
              <w:spacing w:after="0"/>
              <w:rPr>
                <w:sz w:val="20"/>
                <w:szCs w:val="20"/>
                <w:color w:val="auto"/>
              </w:rPr>
            </w:pPr>
            <w:r>
              <w:rPr>
                <w:rFonts w:ascii="Arial" w:cs="Arial" w:eastAsia="Arial" w:hAnsi="Arial"/>
                <w:sz w:val="18"/>
                <w:szCs w:val="18"/>
                <w:color w:val="auto"/>
              </w:rPr>
              <w:t>13,634,912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(11,298 )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(35,922 )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(3,567 )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(3,567 )</w:t>
            </w: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(9,605 )</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15"/>
        </w:trPr>
        <w:tc>
          <w:tcPr>
            <w:tcW w:w="4240" w:type="dxa"/>
            <w:vAlign w:val="bottom"/>
          </w:tcPr>
          <w:p>
            <w:pPr>
              <w:ind w:left="200"/>
              <w:spacing w:after="0"/>
              <w:rPr>
                <w:sz w:val="20"/>
                <w:szCs w:val="20"/>
                <w:color w:val="auto"/>
              </w:rPr>
            </w:pPr>
            <w:r>
              <w:rPr>
                <w:rFonts w:ascii="Arial" w:cs="Arial" w:eastAsia="Arial" w:hAnsi="Arial"/>
                <w:sz w:val="18"/>
                <w:szCs w:val="18"/>
                <w:color w:val="auto"/>
              </w:rPr>
              <w:t>Issuance of 41,225 shares of restricted stock</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(Net of forfeitures - 950)</w:t>
            </w:r>
          </w:p>
        </w:tc>
        <w:tc>
          <w:tcPr>
            <w:tcW w:w="980" w:type="dxa"/>
            <w:vAlign w:val="bottom"/>
          </w:tcPr>
          <w:p>
            <w:pPr>
              <w:jc w:val="right"/>
              <w:spacing w:after="0"/>
              <w:rPr>
                <w:sz w:val="20"/>
                <w:szCs w:val="20"/>
                <w:color w:val="auto"/>
              </w:rPr>
            </w:pPr>
            <w:r>
              <w:rPr>
                <w:rFonts w:ascii="Arial" w:cs="Arial" w:eastAsia="Arial" w:hAnsi="Arial"/>
                <w:sz w:val="18"/>
                <w:szCs w:val="18"/>
                <w:color w:val="auto"/>
              </w:rPr>
              <w:t>40,275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(819 )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(2,838 )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(2,838 )</w:t>
            </w:r>
          </w:p>
        </w:tc>
        <w:tc>
          <w:tcPr>
            <w:tcW w:w="0" w:type="dxa"/>
            <w:vAlign w:val="bottom"/>
          </w:tcPr>
          <w:p>
            <w:pPr>
              <w:spacing w:after="0"/>
              <w:rPr>
                <w:sz w:val="1"/>
                <w:szCs w:val="1"/>
                <w:color w:val="auto"/>
              </w:rPr>
            </w:pPr>
          </w:p>
        </w:tc>
      </w:tr>
      <w:tr>
        <w:trPr>
          <w:trHeight w:val="278"/>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 September 30, 2023</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13,665,582</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135,171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218,510</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-2656840</wp:posOffset>
            </wp:positionV>
            <wp:extent cx="7683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-2656840</wp:posOffset>
            </wp:positionV>
            <wp:extent cx="7683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-2656840</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-2656840</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-2656840</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-1414145</wp:posOffset>
            </wp:positionV>
            <wp:extent cx="7683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-1414145</wp:posOffset>
            </wp:positionV>
            <wp:extent cx="7683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-1414145</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-1414145</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-1414145</wp:posOffset>
            </wp:positionV>
            <wp:extent cx="685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382333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23335" cy="1803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2022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29"/>
        </w:trPr>
        <w:tc>
          <w:tcPr>
            <w:tcW w:w="4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Comprehensiv</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Stockholder</w:t>
            </w:r>
          </w:p>
        </w:tc>
      </w:tr>
      <w:tr>
        <w:trPr>
          <w:trHeight w:val="230"/>
        </w:trPr>
        <w:tc>
          <w:tcPr>
            <w:tcW w:w="4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color w:val="auto"/>
                <w:w w:val="87"/>
              </w:rPr>
              <w:t>Treasury</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Retained</w:t>
            </w:r>
          </w:p>
        </w:tc>
        <w:tc>
          <w:tcPr>
            <w:tcW w:w="220" w:type="dxa"/>
            <w:vAlign w:val="bottom"/>
          </w:tcPr>
          <w:p>
            <w:pPr>
              <w:spacing w:after="0"/>
              <w:rPr>
                <w:sz w:val="20"/>
                <w:szCs w:val="20"/>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8"/>
                <w:szCs w:val="18"/>
                <w:color w:val="auto"/>
                <w:w w:val="79"/>
              </w:rPr>
              <w:t>e</w:t>
            </w:r>
          </w:p>
        </w:tc>
        <w:tc>
          <w:tcPr>
            <w:tcW w:w="18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s'</w:t>
            </w:r>
          </w:p>
        </w:tc>
      </w:tr>
      <w:tr>
        <w:trPr>
          <w:trHeight w:val="250"/>
        </w:trPr>
        <w:tc>
          <w:tcPr>
            <w:tcW w:w="424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1"/>
                <w:szCs w:val="21"/>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00" w:type="dxa"/>
            <w:vAlign w:val="bottom"/>
            <w:gridSpan w:val="2"/>
          </w:tcPr>
          <w:p>
            <w:pPr>
              <w:jc w:val="right"/>
              <w:ind w:right="39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21"/>
                <w:szCs w:val="21"/>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 January 1, 2022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13,066,233</w:t>
            </w:r>
          </w:p>
        </w:tc>
        <w:tc>
          <w:tcPr>
            <w:tcW w:w="2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122,674</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189,401</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297,167</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(16,542 )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(16,542 )</w:t>
            </w:r>
          </w:p>
        </w:tc>
      </w:tr>
      <w:tr>
        <w:trPr>
          <w:trHeight w:val="221"/>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500 shares of restricted stock</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forfeitures - 650)</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$0.19 per share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(2,462 )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(2,462 )</w:t>
            </w:r>
          </w:p>
        </w:tc>
      </w:tr>
      <w:tr>
        <w:trPr>
          <w:trHeight w:val="20"/>
        </w:trPr>
        <w:tc>
          <w:tcPr>
            <w:tcW w:w="4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980" w:type="dxa"/>
            <w:vAlign w:val="bottom"/>
          </w:tcPr>
          <w:p>
            <w:pPr>
              <w:jc w:val="right"/>
              <w:spacing w:after="0"/>
              <w:rPr>
                <w:sz w:val="20"/>
                <w:szCs w:val="20"/>
                <w:color w:val="auto"/>
              </w:rPr>
            </w:pPr>
            <w:r>
              <w:rPr>
                <w:rFonts w:ascii="Arial" w:cs="Arial" w:eastAsia="Arial" w:hAnsi="Arial"/>
                <w:sz w:val="18"/>
                <w:szCs w:val="18"/>
                <w:color w:val="auto"/>
              </w:rPr>
              <w:t>13,066,083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122,886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(11,739 )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195,057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(19,726 )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286,478</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(11,535 )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(11,535 )</w:t>
            </w: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(1,388 )</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(54 )</w:t>
            </w: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Forfeiture of 1,750 shares of restricted stock</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(1,750 )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Director stock award</w:t>
            </w:r>
          </w:p>
        </w:tc>
        <w:tc>
          <w:tcPr>
            <w:tcW w:w="980" w:type="dxa"/>
            <w:vAlign w:val="bottom"/>
          </w:tcPr>
          <w:p>
            <w:pPr>
              <w:jc w:val="right"/>
              <w:spacing w:after="0"/>
              <w:rPr>
                <w:sz w:val="20"/>
                <w:szCs w:val="20"/>
                <w:color w:val="auto"/>
              </w:rPr>
            </w:pPr>
            <w:r>
              <w:rPr>
                <w:rFonts w:ascii="Arial" w:cs="Arial" w:eastAsia="Arial" w:hAnsi="Arial"/>
                <w:sz w:val="18"/>
                <w:szCs w:val="18"/>
                <w:color w:val="auto"/>
              </w:rPr>
              <w:t>2,880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$0.2025 per share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(2,626 )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(2,626 )</w:t>
            </w:r>
          </w:p>
        </w:tc>
      </w:tr>
      <w:tr>
        <w:trPr>
          <w:trHeight w:val="20"/>
        </w:trPr>
        <w:tc>
          <w:tcPr>
            <w:tcW w:w="4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980" w:type="dxa"/>
            <w:vAlign w:val="bottom"/>
          </w:tcPr>
          <w:p>
            <w:pPr>
              <w:jc w:val="right"/>
              <w:spacing w:after="0"/>
              <w:rPr>
                <w:sz w:val="20"/>
                <w:szCs w:val="20"/>
                <w:color w:val="auto"/>
              </w:rPr>
            </w:pPr>
            <w:r>
              <w:rPr>
                <w:rFonts w:ascii="Arial" w:cs="Arial" w:eastAsia="Arial" w:hAnsi="Arial"/>
                <w:sz w:val="18"/>
                <w:szCs w:val="18"/>
                <w:color w:val="auto"/>
              </w:rPr>
              <w:t>13,065,825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(11,822 )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200,811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(31,261 )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280,873</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(6,476 )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(6,476 )</w:t>
            </w:r>
          </w:p>
        </w:tc>
      </w:tr>
      <w:tr>
        <w:trPr>
          <w:trHeight w:val="249"/>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(8,100 )</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(254 )</w:t>
            </w:r>
          </w:p>
        </w:tc>
      </w:tr>
      <w:tr>
        <w:trPr>
          <w:trHeight w:val="215"/>
        </w:trPr>
        <w:tc>
          <w:tcPr>
            <w:tcW w:w="4240" w:type="dxa"/>
            <w:vAlign w:val="bottom"/>
          </w:tcPr>
          <w:p>
            <w:pPr>
              <w:ind w:left="200"/>
              <w:spacing w:after="0"/>
              <w:rPr>
                <w:sz w:val="20"/>
                <w:szCs w:val="20"/>
                <w:color w:val="auto"/>
              </w:rPr>
            </w:pPr>
            <w:r>
              <w:rPr>
                <w:rFonts w:ascii="Arial" w:cs="Arial" w:eastAsia="Arial" w:hAnsi="Arial"/>
                <w:sz w:val="18"/>
                <w:szCs w:val="18"/>
                <w:color w:val="auto"/>
              </w:rPr>
              <w:t>Issuance of 53,375 shares of restricted stock</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(Net of forfeitures - 3,600)</w:t>
            </w:r>
          </w:p>
        </w:tc>
        <w:tc>
          <w:tcPr>
            <w:tcW w:w="980" w:type="dxa"/>
            <w:vAlign w:val="bottom"/>
          </w:tcPr>
          <w:p>
            <w:pPr>
              <w:jc w:val="right"/>
              <w:spacing w:after="0"/>
              <w:rPr>
                <w:sz w:val="20"/>
                <w:szCs w:val="20"/>
                <w:color w:val="auto"/>
              </w:rPr>
            </w:pPr>
            <w:r>
              <w:rPr>
                <w:rFonts w:ascii="Arial" w:cs="Arial" w:eastAsia="Arial" w:hAnsi="Arial"/>
                <w:sz w:val="18"/>
                <w:szCs w:val="18"/>
                <w:color w:val="auto"/>
              </w:rPr>
              <w:t>49,775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(1,542 )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(2,727 )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(2,727 )</w:t>
            </w:r>
          </w:p>
        </w:tc>
      </w:tr>
      <w:tr>
        <w:trPr>
          <w:trHeight w:val="278"/>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 September 30, 2022</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13,107,500</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121,811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208,051</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280,578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-2656840</wp:posOffset>
            </wp:positionV>
            <wp:extent cx="7683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-2656840</wp:posOffset>
            </wp:positionV>
            <wp:extent cx="7683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-2656840</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-2656840</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-2656840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-1413510</wp:posOffset>
            </wp:positionV>
            <wp:extent cx="7683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-1413510</wp:posOffset>
            </wp:positionV>
            <wp:extent cx="7683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-1413510</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-1413510</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-1413510</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3823335"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23335" cy="1803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jc w:val="right"/>
              <w:ind w:right="1260"/>
              <w:spacing w:after="0"/>
              <w:rPr>
                <w:sz w:val="20"/>
                <w:szCs w:val="20"/>
                <w:color w:val="auto"/>
              </w:rPr>
            </w:pPr>
            <w:r>
              <w:rPr>
                <w:rFonts w:ascii="Arial" w:cs="Arial" w:eastAsia="Arial" w:hAnsi="Arial"/>
                <w:sz w:val="18"/>
                <w:szCs w:val="18"/>
                <w:color w:val="auto"/>
              </w:rPr>
              <w:t>(in thousands of dollars)</w:t>
            </w:r>
          </w:p>
        </w:tc>
      </w:tr>
      <w:tr>
        <w:trPr>
          <w:trHeight w:val="250"/>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gridSpan w:val="5"/>
          </w:tcPr>
          <w:p>
            <w:pPr>
              <w:jc w:val="right"/>
              <w:ind w:right="1420"/>
              <w:spacing w:after="0"/>
              <w:rPr>
                <w:sz w:val="20"/>
                <w:szCs w:val="20"/>
                <w:color w:val="auto"/>
              </w:rPr>
            </w:pPr>
            <w:r>
              <w:rPr>
                <w:rFonts w:ascii="Arial" w:cs="Arial" w:eastAsia="Arial" w:hAnsi="Arial"/>
                <w:sz w:val="18"/>
                <w:szCs w:val="18"/>
                <w:color w:val="auto"/>
              </w:rPr>
              <w:t>Nine Months Ended</w:t>
            </w:r>
          </w:p>
        </w:tc>
      </w:tr>
      <w:tr>
        <w:trPr>
          <w:trHeight w:val="237"/>
        </w:trPr>
        <w:tc>
          <w:tcPr>
            <w:tcW w:w="7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0"/>
              </w:rPr>
              <w:t>September 30, 2023</w:t>
            </w: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0"/>
              </w:rPr>
              <w:t>September 30, 2022</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17,244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25,327</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2,587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premiums on available-for-sale securities, net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Capitalized additions to servicing rights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(2,567 )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(461 )</w:t>
            </w: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Servicing rights amortization and impairment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Amortization of core deposit intangible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customer list intangible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Net accretion of fair value adjustments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(2,909 )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(3,392 )</w:t>
            </w: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subordinated note issuance costs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 stock award</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Provision for credit losses - loans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credit losses - off balance sheet credit exposures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(143 )</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Gain on sale of loans held for sale</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(469 )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(1,188 )</w:t>
            </w: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Originations of loans held for sale</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(26,337 )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(61,285 )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Proceeds from sale of loans held for sale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26,594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other assets owned</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Loss on sales of securities available-for-sale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cash surrender value of bank owned life insurance</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(618 )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Change in other assets and other liabilities, net</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(8,307 )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(13,468 )</w:t>
            </w:r>
          </w:p>
        </w:tc>
      </w:tr>
      <w:tr>
        <w:trPr>
          <w:trHeight w:val="237"/>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Activity in available-for-sale securities: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Maturities, prepayments and calls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16,940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25,061</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(35,986 )</w:t>
            </w: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Activity in other securities, at cost: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(8,769 )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Change in interest-bearing time deposits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 of other assets owned</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Additions to premises and equipment</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(8,995 )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(1,706 )</w:t>
            </w: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originations and principal collections, net</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(170,471 )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(283,836 )</w:t>
            </w: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0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(146,090 )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(290,376 )</w:t>
            </w: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Net change in deposits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106,820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91,432</w:t>
            </w:r>
          </w:p>
        </w:tc>
        <w:tc>
          <w:tcPr>
            <w:tcW w:w="100" w:type="dxa"/>
            <w:vAlign w:val="bottom"/>
          </w:tcPr>
          <w:p>
            <w:pPr>
              <w:spacing w:after="0"/>
              <w:rPr>
                <w:sz w:val="20"/>
                <w:szCs w:val="20"/>
                <w:color w:val="auto"/>
              </w:rPr>
            </w:pPr>
          </w:p>
        </w:tc>
      </w:tr>
      <w:tr>
        <w:trPr>
          <w:trHeight w:val="221"/>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repurchase</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(23,679 )</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Proceeds from FHLB advances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345,000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FHLB advances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(206,146 )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(21,855 )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Repayment of other borrowings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(10,000 )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(30,000 )</w:t>
            </w: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(308 )</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(8,497 )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(7,549 )</w:t>
            </w:r>
          </w:p>
        </w:tc>
      </w:tr>
      <w:tr>
        <w:trPr>
          <w:trHeight w:val="236"/>
        </w:trPr>
        <w:tc>
          <w:tcPr>
            <w:tcW w:w="7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203,299</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68,773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(110,153 )</w:t>
            </w: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 Beginning of year</w:t>
            </w: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153,182</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70,670</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-4070985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-2211070</wp:posOffset>
            </wp:positionV>
            <wp:extent cx="685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-504825</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342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gridSpan w:val="4"/>
          </w:tcPr>
          <w:p>
            <w:pPr>
              <w:jc w:val="right"/>
              <w:ind w:right="107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r>
      <w:tr>
        <w:trPr>
          <w:trHeight w:val="250"/>
        </w:trPr>
        <w:tc>
          <w:tcPr>
            <w:tcW w:w="7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1"/>
                <w:szCs w:val="21"/>
                <w:color w:val="auto"/>
              </w:rPr>
            </w:pPr>
          </w:p>
        </w:tc>
      </w:tr>
      <w:tr>
        <w:trPr>
          <w:trHeight w:val="237"/>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September 30, 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September 30, 2022</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noncash disclosures: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Cash dividends declared not paid</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17"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2023 are not necessarily indicative of the results that are expected for the year ended December 31, 2023. The Condensed Consolidated Balance Sheet of the Company as of December 31, 2022, has been derived from the audited Condensed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2022.</w:t>
      </w:r>
    </w:p>
    <w:p>
      <w:pPr>
        <w:spacing w:after="0" w:line="1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33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61"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was deductible for tax purposes. The following table summarizes the consideration paid for Peoples Federal Savings and Loan Association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4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Common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repurchased (125 shares)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64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w w:val="99"/>
              </w:rPr>
              <w:t>Recognized amounts of identifiable assets acquired and liabilities assumed</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Other securities, at cost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141,818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Noninterest bearing</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360"/>
              <w:spacing w:after="0"/>
              <w:rPr>
                <w:sz w:val="20"/>
                <w:szCs w:val="20"/>
                <w:color w:val="auto"/>
              </w:rPr>
            </w:pPr>
            <w:r>
              <w:rPr>
                <w:rFonts w:ascii="Arial" w:cs="Arial" w:eastAsia="Arial" w:hAnsi="Arial"/>
                <w:sz w:val="18"/>
                <w:szCs w:val="18"/>
                <w:color w:val="auto"/>
              </w:rPr>
              <w:t>Interest bearing</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111,858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Federal Home Loan Bank (FHLB) advances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-3350895</wp:posOffset>
            </wp:positionV>
            <wp:extent cx="43180" cy="805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058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the assets acquired included loans with a fair value of $101.8 million. The gross principal and contractual interest due under the contracts was $116.1 million of which none was expected to be uncollectible. The loans have a weighted average life of 44.4 months.</w:t>
      </w:r>
    </w:p>
    <w:p>
      <w:pPr>
        <w:spacing w:after="0" w:line="29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buildings and land included in premises and equipment was written up $581 thousand with $597 thousand attributable to the buildings and is being amortized over the remaining life of each building. The combined average remaining life of the buildings is 12.8 years.</w:t>
      </w:r>
    </w:p>
    <w:p>
      <w:pPr>
        <w:spacing w:after="0" w:line="313"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for certificates of deposit incorporated a valuation amount of $662 thousand which is being amortized over 1.1 years. The fair value of Federal Home Loan Bank (FHLB) advances included a valuation amount of $69 thousand which is being amortized over 5.2 years.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1"/>
              </w:rPr>
              <w:t>Three Months Ended</w:t>
            </w:r>
          </w:p>
        </w:tc>
        <w:tc>
          <w:tcPr>
            <w:tcW w:w="300" w:type="dxa"/>
            <w:vAlign w:val="bottom"/>
          </w:tcPr>
          <w:p>
            <w:pPr>
              <w:spacing w:after="0"/>
              <w:rPr>
                <w:sz w:val="18"/>
                <w:szCs w:val="18"/>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Nine Months Ended</w:t>
            </w:r>
          </w:p>
        </w:tc>
        <w:tc>
          <w:tcPr>
            <w:tcW w:w="100" w:type="dxa"/>
            <w:vAlign w:val="bottom"/>
          </w:tcPr>
          <w:p>
            <w:pPr>
              <w:spacing w:after="0"/>
              <w:rPr>
                <w:sz w:val="18"/>
                <w:szCs w:val="18"/>
                <w:color w:val="auto"/>
              </w:rPr>
            </w:pPr>
          </w:p>
        </w:tc>
      </w:tr>
      <w:tr>
        <w:trPr>
          <w:trHeight w:val="237"/>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2023</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87"/>
              </w:rPr>
              <w:t>September 30, 2022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2023</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2022</w:t>
            </w:r>
          </w:p>
        </w:tc>
        <w:tc>
          <w:tcPr>
            <w:tcW w:w="100" w:type="dxa"/>
            <w:vAlign w:val="bottom"/>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(174 )</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15"/>
        </w:trPr>
        <w:tc>
          <w:tcPr>
            <w:tcW w:w="328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328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9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has had an opportunity to increase its deposit base and reduce transaction costs. In addition, the Company has reduced costs through economies of scale.</w:t>
      </w:r>
    </w:p>
    <w:p>
      <w:pPr>
        <w:spacing w:after="0" w:line="168"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 The following table summarizes the consideration paid for Perpetual Federal Savings Bank and the amounts of the assets acquired and liabilities assumed recognized at the acquisition date.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4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21"/>
                <w:szCs w:val="21"/>
                <w:color w:val="auto"/>
              </w:rPr>
            </w:pPr>
          </w:p>
        </w:tc>
      </w:tr>
      <w:tr>
        <w:trPr>
          <w:trHeight w:val="24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59,234</w:t>
            </w: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41,078</w:t>
            </w:r>
          </w:p>
        </w:tc>
        <w:tc>
          <w:tcPr>
            <w:tcW w:w="80" w:type="dxa"/>
            <w:vAlign w:val="bottom"/>
          </w:tcPr>
          <w:p>
            <w:pPr>
              <w:spacing w:after="0"/>
              <w:rPr>
                <w:sz w:val="20"/>
                <w:szCs w:val="20"/>
                <w:color w:val="auto"/>
              </w:rPr>
            </w:pPr>
          </w:p>
        </w:tc>
      </w:tr>
      <w:tr>
        <w:trPr>
          <w:trHeight w:val="283"/>
        </w:trPr>
        <w:tc>
          <w:tcPr>
            <w:tcW w:w="6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53"/>
        </w:trPr>
        <w:tc>
          <w:tcPr>
            <w:tcW w:w="6480" w:type="dxa"/>
            <w:vAlign w:val="bottom"/>
          </w:tcPr>
          <w:p>
            <w:pPr>
              <w:spacing w:after="0"/>
              <w:rPr>
                <w:sz w:val="20"/>
                <w:szCs w:val="20"/>
                <w:color w:val="auto"/>
              </w:rPr>
            </w:pPr>
            <w:r>
              <w:rPr>
                <w:rFonts w:ascii="Arial" w:cs="Arial" w:eastAsia="Arial" w:hAnsi="Arial"/>
                <w:sz w:val="18"/>
                <w:szCs w:val="18"/>
                <w:b w:val="1"/>
                <w:bCs w:val="1"/>
                <w:color w:val="auto"/>
                <w:w w:val="99"/>
              </w:rPr>
              <w:t>Recognized amounts of identifiable assets acquired and liabilities assumed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6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44,975</w:t>
            </w:r>
          </w:p>
        </w:tc>
        <w:tc>
          <w:tcPr>
            <w:tcW w:w="80" w:type="dxa"/>
            <w:vAlign w:val="bottom"/>
          </w:tcPr>
          <w:p>
            <w:pPr>
              <w:spacing w:after="0"/>
              <w:rPr>
                <w:sz w:val="20"/>
                <w:szCs w:val="20"/>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Interest-bearing time deposits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20"/>
                <w:szCs w:val="20"/>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securities, at cost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334,661</w:t>
            </w:r>
          </w:p>
        </w:tc>
        <w:tc>
          <w:tcPr>
            <w:tcW w:w="80" w:type="dxa"/>
            <w:vAlign w:val="bottom"/>
          </w:tcPr>
          <w:p>
            <w:pPr>
              <w:spacing w:after="0"/>
              <w:rPr>
                <w:sz w:val="20"/>
                <w:szCs w:val="20"/>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25,220</w:t>
            </w:r>
          </w:p>
        </w:tc>
        <w:tc>
          <w:tcPr>
            <w:tcW w:w="80" w:type="dxa"/>
            <w:vAlign w:val="bottom"/>
          </w:tcPr>
          <w:p>
            <w:pPr>
              <w:spacing w:after="0"/>
              <w:rPr>
                <w:sz w:val="20"/>
                <w:szCs w:val="20"/>
                <w:color w:val="auto"/>
              </w:rPr>
            </w:pPr>
          </w:p>
        </w:tc>
      </w:tr>
      <w:tr>
        <w:trPr>
          <w:trHeight w:val="243"/>
        </w:trPr>
        <w:tc>
          <w:tcPr>
            <w:tcW w:w="6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420,162</w:t>
            </w:r>
          </w:p>
        </w:tc>
        <w:tc>
          <w:tcPr>
            <w:tcW w:w="80" w:type="dxa"/>
            <w:vAlign w:val="bottom"/>
          </w:tcPr>
          <w:p>
            <w:pPr>
              <w:spacing w:after="0"/>
              <w:rPr>
                <w:sz w:val="21"/>
                <w:szCs w:val="2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6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360"/>
              <w:spacing w:after="0"/>
              <w:rPr>
                <w:sz w:val="20"/>
                <w:szCs w:val="20"/>
                <w:color w:val="auto"/>
              </w:rPr>
            </w:pPr>
            <w:r>
              <w:rPr>
                <w:rFonts w:ascii="Arial" w:cs="Arial" w:eastAsia="Arial" w:hAnsi="Arial"/>
                <w:sz w:val="18"/>
                <w:szCs w:val="18"/>
                <w:color w:val="auto"/>
              </w:rPr>
              <w:t>Noninterest bearing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43"/>
        </w:trPr>
        <w:tc>
          <w:tcPr>
            <w:tcW w:w="64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Interest bearing</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309,090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48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311,108</w:t>
            </w:r>
          </w:p>
        </w:tc>
        <w:tc>
          <w:tcPr>
            <w:tcW w:w="80" w:type="dxa"/>
            <w:vAlign w:val="bottom"/>
          </w:tcPr>
          <w:p>
            <w:pPr>
              <w:spacing w:after="0"/>
              <w:rPr>
                <w:sz w:val="20"/>
                <w:szCs w:val="20"/>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w:t>
            </w:r>
          </w:p>
        </w:tc>
        <w:tc>
          <w:tcPr>
            <w:tcW w:w="80" w:type="dxa"/>
            <w:vAlign w:val="bottom"/>
            <w:shd w:val="clear" w:color="auto" w:fill="CFF0FC"/>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20"/>
                <w:szCs w:val="20"/>
                <w:color w:val="auto"/>
              </w:rPr>
            </w:pPr>
          </w:p>
        </w:tc>
      </w:tr>
      <w:tr>
        <w:trPr>
          <w:trHeight w:val="28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-3496945</wp:posOffset>
            </wp:positionV>
            <wp:extent cx="43180" cy="488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4883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-1619885</wp:posOffset>
            </wp:positionV>
            <wp:extent cx="431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-659765</wp:posOffset>
            </wp:positionV>
            <wp:extent cx="431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the assets acquired included loans with a fair value of $334.7 million. The gross principal and contractual interest due under the contracts was $403.3 million, of which $5.6 million was expected to be uncollectible. The loans have a weighted average life of 52 months.</w:t>
      </w:r>
    </w:p>
    <w:p>
      <w:pPr>
        <w:spacing w:after="0" w:line="8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43"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for certificates of deposit incorporated a valuation amount of $3.9 million which was accreted over 1.6 years. The fair value of Federal Home Loan Bank (FHLB) advances included a valuation amount of $218 thousand which is being accreted over 2.6 years.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Nine Months Ended</w:t>
            </w:r>
          </w:p>
        </w:tc>
        <w:tc>
          <w:tcPr>
            <w:tcW w:w="28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2023</w:t>
            </w: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September 30, 2022</w:t>
            </w:r>
          </w:p>
        </w:tc>
        <w:tc>
          <w:tcPr>
            <w:tcW w:w="10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2023</w:t>
            </w:r>
          </w:p>
        </w:tc>
        <w:tc>
          <w:tcPr>
            <w:tcW w:w="16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September 30, 2022</w:t>
            </w:r>
          </w:p>
        </w:tc>
        <w:tc>
          <w:tcPr>
            <w:tcW w:w="2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(456 )</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(330 )</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(1,145 )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(979 )</w:t>
            </w:r>
          </w:p>
        </w:tc>
        <w:tc>
          <w:tcPr>
            <w:tcW w:w="280" w:type="dxa"/>
            <w:vAlign w:val="bottom"/>
          </w:tcPr>
          <w:p>
            <w:pPr>
              <w:spacing w:after="0"/>
              <w:rPr>
                <w:sz w:val="21"/>
                <w:szCs w:val="21"/>
                <w:color w:val="auto"/>
              </w:rPr>
            </w:pPr>
          </w:p>
        </w:tc>
      </w:tr>
      <w:tr>
        <w:trPr>
          <w:trHeight w:val="215"/>
        </w:trPr>
        <w:tc>
          <w:tcPr>
            <w:tcW w:w="30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3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30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3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Borders>
              <w:top w:val="single" w:sz="8" w:color="CFF0FC"/>
            </w:tcBorders>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-616585</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-616585</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-616585</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-616585</wp:posOffset>
            </wp:positionV>
            <wp:extent cx="603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 As a result of the acquisition, the Company has increased its deposit base and reduced transaction costs. The Company has also reduced costs through economies of scale.</w:t>
      </w:r>
    </w:p>
    <w:p>
      <w:pPr>
        <w:spacing w:after="0" w:line="136"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w w:val="99"/>
              </w:rPr>
              <w:t>Recognized amounts of identifiable assets acquired and liabilities assumed</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Interest-bearing time deposits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Securities - available-for-sale</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Other securities, at cost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Noninterest bearing</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360"/>
              <w:spacing w:after="0"/>
              <w:rPr>
                <w:sz w:val="20"/>
                <w:szCs w:val="20"/>
                <w:color w:val="auto"/>
              </w:rPr>
            </w:pPr>
            <w:r>
              <w:rPr>
                <w:rFonts w:ascii="Arial" w:cs="Arial" w:eastAsia="Arial" w:hAnsi="Arial"/>
                <w:sz w:val="18"/>
                <w:szCs w:val="18"/>
                <w:color w:val="auto"/>
              </w:rPr>
              <w:t>Interest bearing</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54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-1302385</wp:posOffset>
            </wp:positionV>
            <wp:extent cx="4318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18034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the assets acquired included loans with a fair value of $52.4 million. The gross principal and contractual interest due under the contracts was $63.7 million, of which $1.1 million was expected to be uncollectible. The loans have a weighted average life of 52 months.</w:t>
      </w:r>
    </w:p>
    <w:p>
      <w:pPr>
        <w:spacing w:after="0" w:line="9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for certificates of deposit incorporated a valuation amount of $59 thousand which was accreted over 1.4 years.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2023</w:t>
            </w: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2022</w:t>
            </w:r>
          </w:p>
        </w:tc>
        <w:tc>
          <w:tcPr>
            <w:tcW w:w="10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2023</w:t>
            </w:r>
          </w:p>
        </w:tc>
        <w:tc>
          <w:tcPr>
            <w:tcW w:w="16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September 30, 2022</w:t>
            </w:r>
          </w:p>
        </w:tc>
      </w:tr>
      <w:tr>
        <w:trPr>
          <w:trHeight w:val="237"/>
        </w:trPr>
        <w:tc>
          <w:tcPr>
            <w:tcW w:w="3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(132 )</w:t>
            </w:r>
          </w:p>
        </w:tc>
      </w:tr>
      <w:tr>
        <w:trPr>
          <w:trHeight w:val="215"/>
        </w:trPr>
        <w:tc>
          <w:tcPr>
            <w:tcW w:w="328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328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The results of operations of Ossian State Bank, Perpetual Federal Savings Bank and Peoples Federal Savings and Loan Bank have been included in the Company’s consolidated financial statements since the acquisition dates of April 30, 2021, October 1, 2021 and October 1, 2022, respectively. The following schedule includes pro-forma results for the three and nine months ended September 30, 2023 and 2022 as if the Peoples Federal Savings and Loan Bank acquisition had occurred as of the beginning of the comparable prior reporting period. The acquisitions of Ossian State Bank and Perpetual Federal Savings Bank are already included as they had occurred prior to that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Operations</w:t>
      </w:r>
    </w:p>
    <w:p>
      <w:pPr>
        <w:spacing w:after="0" w:line="40" w:lineRule="exact"/>
        <w:rPr>
          <w:sz w:val="20"/>
          <w:szCs w:val="20"/>
          <w:color w:val="auto"/>
        </w:rPr>
      </w:pPr>
    </w:p>
    <w:p>
      <w:pPr>
        <w:ind w:left="440" w:right="1380" w:hanging="134"/>
        <w:spacing w:after="0" w:line="266" w:lineRule="auto"/>
        <w:rPr>
          <w:sz w:val="20"/>
          <w:szCs w:val="20"/>
          <w:color w:val="auto"/>
        </w:rPr>
      </w:pPr>
      <w:r>
        <w:rPr>
          <w:rFonts w:ascii="Arial" w:cs="Arial" w:eastAsia="Arial" w:hAnsi="Arial"/>
          <w:sz w:val="18"/>
          <w:szCs w:val="18"/>
          <w:color w:val="auto"/>
        </w:rPr>
        <w:t>Net Interest Income - Before Provision for Credit Losses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spacing w:after="0"/>
              <w:rPr>
                <w:sz w:val="20"/>
                <w:szCs w:val="20"/>
                <w:color w:val="auto"/>
              </w:rPr>
            </w:pPr>
            <w:r>
              <w:rPr>
                <w:rFonts w:ascii="Arial" w:cs="Arial" w:eastAsia="Arial" w:hAnsi="Arial"/>
                <w:sz w:val="18"/>
                <w:szCs w:val="18"/>
                <w:color w:val="auto"/>
                <w:w w:val="90"/>
              </w:rPr>
              <w:t>(in thousands of dollars, except per</w:t>
            </w:r>
          </w:p>
        </w:tc>
        <w:tc>
          <w:tcPr>
            <w:tcW w:w="300" w:type="dxa"/>
            <w:vAlign w:val="bottom"/>
          </w:tcPr>
          <w:p>
            <w:pPr>
              <w:spacing w:after="0"/>
              <w:rPr>
                <w:sz w:val="18"/>
                <w:szCs w:val="18"/>
                <w:color w:val="auto"/>
              </w:rPr>
            </w:pPr>
          </w:p>
        </w:tc>
        <w:tc>
          <w:tcPr>
            <w:tcW w:w="2640" w:type="dxa"/>
            <w:vAlign w:val="bottom"/>
            <w:gridSpan w:val="5"/>
          </w:tcPr>
          <w:p>
            <w:pPr>
              <w:jc w:val="center"/>
              <w:spacing w:after="0"/>
              <w:rPr>
                <w:sz w:val="20"/>
                <w:szCs w:val="20"/>
                <w:color w:val="auto"/>
              </w:rPr>
            </w:pPr>
            <w:r>
              <w:rPr>
                <w:rFonts w:ascii="Arial" w:cs="Arial" w:eastAsia="Arial" w:hAnsi="Arial"/>
                <w:sz w:val="18"/>
                <w:szCs w:val="18"/>
                <w:color w:val="auto"/>
                <w:w w:val="89"/>
              </w:rPr>
              <w:t>(in thousands of dollars, except per</w:t>
            </w:r>
          </w:p>
        </w:tc>
      </w:tr>
      <w:tr>
        <w:trPr>
          <w:trHeight w:val="230"/>
        </w:trPr>
        <w:tc>
          <w:tcPr>
            <w:tcW w:w="260" w:type="dxa"/>
            <w:vAlign w:val="bottom"/>
          </w:tcPr>
          <w:p>
            <w:pPr>
              <w:spacing w:after="0"/>
              <w:rPr>
                <w:sz w:val="20"/>
                <w:szCs w:val="20"/>
                <w:color w:val="auto"/>
              </w:rPr>
            </w:pPr>
          </w:p>
        </w:tc>
        <w:tc>
          <w:tcPr>
            <w:tcW w:w="1580" w:type="dxa"/>
            <w:vAlign w:val="bottom"/>
            <w:gridSpan w:val="3"/>
          </w:tcPr>
          <w:p>
            <w:pPr>
              <w:jc w:val="center"/>
              <w:ind w:left="510"/>
              <w:spacing w:after="0"/>
              <w:rPr>
                <w:sz w:val="20"/>
                <w:szCs w:val="20"/>
                <w:color w:val="auto"/>
              </w:rPr>
            </w:pPr>
            <w:r>
              <w:rPr>
                <w:rFonts w:ascii="Arial" w:cs="Arial" w:eastAsia="Arial" w:hAnsi="Arial"/>
                <w:sz w:val="18"/>
                <w:szCs w:val="18"/>
                <w:color w:val="auto"/>
                <w:w w:val="85"/>
              </w:rPr>
              <w:t>share data)</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share data)</w:t>
            </w:r>
          </w:p>
        </w:tc>
        <w:tc>
          <w:tcPr>
            <w:tcW w:w="860" w:type="dxa"/>
            <w:vAlign w:val="bottom"/>
          </w:tcPr>
          <w:p>
            <w:pPr>
              <w:spacing w:after="0"/>
              <w:rPr>
                <w:sz w:val="20"/>
                <w:szCs w:val="20"/>
                <w:color w:val="auto"/>
              </w:rPr>
            </w:pPr>
          </w:p>
        </w:tc>
      </w:tr>
      <w:tr>
        <w:trPr>
          <w:trHeight w:val="243"/>
        </w:trPr>
        <w:tc>
          <w:tcPr>
            <w:tcW w:w="260" w:type="dxa"/>
            <w:vAlign w:val="bottom"/>
          </w:tcPr>
          <w:p>
            <w:pPr>
              <w:spacing w:after="0"/>
              <w:rPr>
                <w:sz w:val="21"/>
                <w:szCs w:val="21"/>
                <w:color w:val="auto"/>
              </w:rPr>
            </w:pPr>
          </w:p>
        </w:tc>
        <w:tc>
          <w:tcPr>
            <w:tcW w:w="246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29"/>
        </w:trPr>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September 30,</w:t>
            </w:r>
          </w:p>
        </w:tc>
      </w:tr>
      <w:tr>
        <w:trPr>
          <w:trHeight w:val="237"/>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r>
      <w:tr>
        <w:trPr>
          <w:trHeight w:val="58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19,662</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24,060</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61,462</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-213995</wp:posOffset>
            </wp:positionV>
            <wp:extent cx="6772275"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2275" cy="29146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tbl>
      <w:tblPr>
        <w:tblLayout w:type="fixed"/>
        <w:tblInd w:w="30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0"/>
                <w:szCs w:val="20"/>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Credit Losses</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60,247</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64,365</w:t>
            </w: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Noninterest Income</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17,044</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14,235</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50,697</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21,663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31,249</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w:t>
            </w: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c>
          <w:tcPr>
            <w:tcW w:w="10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-685165</wp:posOffset>
            </wp:positionV>
            <wp:extent cx="685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-685165</wp:posOffset>
            </wp:positionV>
            <wp:extent cx="6032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-685165</wp:posOffset>
            </wp:positionV>
            <wp:extent cx="5969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-685165</wp:posOffset>
            </wp:positionV>
            <wp:extent cx="60325"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-367665</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-367665</wp:posOffset>
            </wp:positionV>
            <wp:extent cx="603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-367665</wp:posOffset>
            </wp:positionV>
            <wp:extent cx="5969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-367665</wp:posOffset>
            </wp:positionV>
            <wp:extent cx="603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three and nine months ended September 30, 2023 includes approximately $316 thousand and $1.0 million, net of tax, respectively, of operating revenue from Peoples Federal Savings and Loan Bank since January 1, 2023.</w:t>
      </w:r>
    </w:p>
    <w:p>
      <w:pPr>
        <w:spacing w:after="0" w:line="144"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spacing w:after="0" w:line="83"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 As a result of the acquisition,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Company has had an opportunity to increase its deposit base and reduce transaction costs. The Company has also reduced costs through economies of scale.</w:t>
      </w:r>
    </w:p>
    <w:p>
      <w:pPr>
        <w:spacing w:after="0" w:line="143"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Three Months Ended</w:t>
            </w: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2023</w:t>
            </w: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September 30, 2022</w:t>
            </w:r>
          </w:p>
        </w:tc>
        <w:tc>
          <w:tcPr>
            <w:tcW w:w="10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2023</w:t>
            </w:r>
          </w:p>
        </w:tc>
        <w:tc>
          <w:tcPr>
            <w:tcW w:w="16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September 30, 2022</w:t>
            </w:r>
          </w:p>
        </w:tc>
      </w:tr>
      <w:tr>
        <w:trPr>
          <w:trHeight w:val="237"/>
        </w:trPr>
        <w:tc>
          <w:tcPr>
            <w:tcW w:w="3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(324 )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(319 )</w:t>
            </w:r>
          </w:p>
        </w:tc>
      </w:tr>
      <w:tr>
        <w:trPr>
          <w:trHeight w:val="215"/>
        </w:trPr>
        <w:tc>
          <w:tcPr>
            <w:tcW w:w="328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328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9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core deposit intangible for the nine months ended September 30, 2022 was $597 thousand. Of the approximately $1.7 million to be expensed in 2023, $1.2 million has been expensed for the nine months ended September 30, 2023. Annual amortization of core deposit intangible assets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Geneva</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Ossian</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0"/>
              </w:rPr>
              <w:t>Perpetual</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2"/>
              </w:rPr>
              <w:t>Peoples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1,096</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16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1680" w:type="dxa"/>
            <w:vAlign w:val="bottom"/>
          </w:tcPr>
          <w:p>
            <w:pPr>
              <w:spacing w:after="0"/>
              <w:rPr>
                <w:sz w:val="24"/>
                <w:szCs w:val="24"/>
                <w:color w:val="auto"/>
              </w:rPr>
            </w:pPr>
          </w:p>
        </w:tc>
      </w:tr>
      <w:tr>
        <w:trPr>
          <w:trHeight w:val="743"/>
        </w:trPr>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-591185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-574040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-591185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-574040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-591185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-574040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-591185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-574040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provided clients and their families with financial confidence through personalized investment planning and services. As of November 30, 2020, ACFR had approximately $83 million of assets under management and over 450 clients.</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4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customer list intangible for the nine months ended September 30, 2022 was $92 thousand. Of the $123 thousand to be expensed in 2023, $92 thousand has been expensed for the nine months ended September 30, 2023. Annual amortization expense of customer list intangible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3"/>
              </w:rPr>
              <w:t>Adams County Financial Resources</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2026</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230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7"/>
        </w:trPr>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-436880</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 3 SECURITIES</w:t>
      </w:r>
    </w:p>
    <w:p>
      <w:pPr>
        <w:spacing w:after="0" w:line="22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September 30, 2023 and December 31, 2022, are as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color w:val="auto"/>
                <w:w w:val="88"/>
              </w:rPr>
              <w:t>September 30, 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U.S. Treasury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91,356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(9,378 )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81,978</w:t>
            </w: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140,993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(17,231 )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123,762</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92,356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(15,876 )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76,480</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73,536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(7,504 )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66,035</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398,241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(49,989 )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348,255</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82"/>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color w:val="auto"/>
                <w:w w:val="88"/>
              </w:rPr>
              <w:t>December 31, 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5"/>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U.S. Treasury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104,507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(9,829 )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94,678</w:t>
            </w: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156,817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139,767</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101,068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86,927</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76,794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69,417</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439,186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(48,466 )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390,789</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-2219325</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-2219325</wp:posOffset>
            </wp:positionV>
            <wp:extent cx="7683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-2219325</wp:posOffset>
            </wp:positionV>
            <wp:extent cx="774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-187960</wp:posOffset>
            </wp:positionV>
            <wp:extent cx="857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3" w:lineRule="exact"/>
        <w:rPr>
          <w:sz w:val="20"/>
          <w:szCs w:val="20"/>
          <w:color w:val="auto"/>
        </w:rPr>
      </w:pPr>
    </w:p>
    <w:p>
      <w:pPr>
        <w:ind w:left="2260" w:hanging="75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60" w:right="20" w:hanging="755"/>
        <w:spacing w:after="0" w:line="250"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60" w:hanging="75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60" w:right="20" w:hanging="755"/>
        <w:spacing w:after="0" w:line="260"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5"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consolidated income statement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attributable to changes in interest rates, not credit quality.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2023 and December 31, 2022, aggregated by investment category and length of time that individual securities have been in a continuous loss position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8"/>
              </w:rPr>
              <w:t>September 30, 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Twelve Months &amp; Over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15"/>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1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Arial" w:cs="Arial" w:eastAsia="Arial" w:hAnsi="Arial"/>
                <w:sz w:val="18"/>
                <w:szCs w:val="18"/>
                <w:color w:val="auto"/>
                <w:w w:val="90"/>
              </w:rPr>
              <w:t>Fair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r>
      <w:tr>
        <w:trPr>
          <w:trHeight w:val="250"/>
        </w:trPr>
        <w:tc>
          <w:tcPr>
            <w:tcW w:w="2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Value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r>
      <w:tr>
        <w:trPr>
          <w:trHeight w:val="24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(9,378 )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81,978</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(9,378 )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81,978</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(17,231 )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123,762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123,762</w:t>
            </w:r>
          </w:p>
        </w:tc>
      </w:tr>
      <w:tr>
        <w:trPr>
          <w:trHeight w:val="24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(15,876 )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76,480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(15,876 )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76,480</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64,782</w:t>
            </w:r>
          </w:p>
        </w:tc>
      </w:tr>
      <w:tr>
        <w:trPr>
          <w:trHeight w:val="277"/>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(148 )</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(49,841 )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341,325</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(49,989 )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347,002</w:t>
            </w:r>
          </w:p>
        </w:tc>
      </w:tr>
      <w:tr>
        <w:trPr>
          <w:trHeight w:val="655"/>
        </w:trPr>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8"/>
              </w:rPr>
              <w:t>December 31, 2022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w w:val="93"/>
              </w:rPr>
              <w:t>Less Than Twelve Months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Twelve Months &amp; Over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15"/>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Arial" w:cs="Arial" w:eastAsia="Arial" w:hAnsi="Arial"/>
                <w:sz w:val="18"/>
                <w:szCs w:val="18"/>
                <w:color w:val="auto"/>
                <w:w w:val="90"/>
              </w:rPr>
              <w:t>Fair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r>
      <w:tr>
        <w:trPr>
          <w:trHeight w:val="250"/>
        </w:trPr>
        <w:tc>
          <w:tcPr>
            <w:tcW w:w="2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Losses</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Value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r>
      <w:tr>
        <w:trPr>
          <w:trHeight w:val="24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(207 )</w:t>
            </w:r>
          </w:p>
        </w:tc>
        <w:tc>
          <w:tcPr>
            <w:tcW w:w="3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9,121</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(9,622 )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85,557</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(9,829 )</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94,678</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24,560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(15,969 )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114,906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139,466</w:t>
            </w:r>
          </w:p>
        </w:tc>
      </w:tr>
      <w:tr>
        <w:trPr>
          <w:trHeight w:val="24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26,905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(11,687 )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60,022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86,927</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(3,223 )</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38,771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25,610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64,381</w:t>
            </w:r>
          </w:p>
        </w:tc>
      </w:tr>
      <w:tr>
        <w:trPr>
          <w:trHeight w:val="277"/>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(6,965 )</w:t>
            </w:r>
          </w:p>
        </w:tc>
        <w:tc>
          <w:tcPr>
            <w:tcW w:w="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99,357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(41,501 )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286,095</w:t>
            </w: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385,452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-2047875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-2030730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-2047875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-2030730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-2047875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-2030730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-2047875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-2030730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-2047875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-2030730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nine months ended September 30, 2023 and September 30, 2022.</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64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4"/>
          </w:tcPr>
          <w:p>
            <w:pPr>
              <w:jc w:val="right"/>
              <w:ind w:right="410"/>
              <w:spacing w:after="0"/>
              <w:rPr>
                <w:sz w:val="20"/>
                <w:szCs w:val="20"/>
                <w:color w:val="auto"/>
              </w:rPr>
            </w:pPr>
            <w:r>
              <w:rPr>
                <w:rFonts w:ascii="Arial" w:cs="Arial" w:eastAsia="Arial" w:hAnsi="Arial"/>
                <w:sz w:val="18"/>
                <w:szCs w:val="18"/>
                <w:color w:val="auto"/>
              </w:rPr>
              <w:t>Nine Months</w:t>
            </w:r>
          </w:p>
        </w:tc>
      </w:tr>
      <w:tr>
        <w:trPr>
          <w:trHeight w:val="250"/>
        </w:trPr>
        <w:tc>
          <w:tcPr>
            <w:tcW w:w="4020" w:type="dxa"/>
            <w:vAlign w:val="bottom"/>
          </w:tcPr>
          <w:p>
            <w:pPr>
              <w:spacing w:after="0"/>
              <w:rPr>
                <w:sz w:val="21"/>
                <w:szCs w:val="21"/>
                <w:color w:val="auto"/>
              </w:rPr>
            </w:pPr>
          </w:p>
        </w:tc>
        <w:tc>
          <w:tcPr>
            <w:tcW w:w="1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(In Thousands)</w:t>
            </w:r>
          </w:p>
        </w:tc>
      </w:tr>
      <w:tr>
        <w:trPr>
          <w:trHeight w:val="237"/>
        </w:trPr>
        <w:tc>
          <w:tcPr>
            <w:tcW w:w="40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Gross realized losses</w:t>
            </w:r>
          </w:p>
        </w:tc>
        <w:tc>
          <w:tcPr>
            <w:tcW w:w="64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(903 )</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realized losses</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(891 )</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Tax benefit related to net realized losses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-205105</wp:posOffset>
            </wp:positionV>
            <wp:extent cx="129413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94130" cy="205740"/>
                    </a:xfrm>
                    <a:prstGeom prst="rect">
                      <a:avLst/>
                    </a:prstGeom>
                    <a:noFill/>
                  </pic:spPr>
                </pic:pic>
              </a:graphicData>
            </a:graphic>
          </wp:anchor>
        </w:drawing>
      </w:r>
    </w:p>
    <w:p>
      <w:pPr>
        <w:spacing w:after="0" w:line="20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losses on sales and related tax benefit is a reclassification out of accumulated other comprehensive loss. The net realized losses are included in net loss on sale of available-for-sale securities and the related tax benefit is included in income taxes in the condensed consolidated statements of income and comprehensive income (loss).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amortized cost and fair value of debt securities at September 30, 2023, by contractual maturity, are shown below. Expected maturities will differ from contractual maturities because borrowers may have the right to call or prepay obligations with or without call or prepayment penalties.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r>
      <w:tr>
        <w:trPr>
          <w:trHeight w:val="230"/>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6"/>
              </w:rPr>
              <w:t>Amortized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5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Fair Value</w:t>
            </w: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16,708</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249,459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220,779</w:t>
            </w: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30,574</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r>
      <w:tr>
        <w:trPr>
          <w:trHeight w:val="243"/>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305,885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271,775</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76,480</w:t>
            </w:r>
          </w:p>
        </w:tc>
      </w:tr>
      <w:tr>
        <w:trPr>
          <w:trHeight w:val="283"/>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398,241</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946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946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Investments with a carrying value of $185.0 million and $134.8 million at September 30, 2023 and December 31, 2022, respectively, were pledged to secure public deposits and securities sold under repurchase agreements. Investments with a carrying value of $60.5 million were pledged to the Federal Reserve's Bank Term Funding Program (BTFP) to secure additional borrowing capacity as of September 30, 2023.</w:t>
      </w:r>
    </w:p>
    <w:p>
      <w:pPr>
        <w:spacing w:after="0" w:line="122" w:lineRule="exact"/>
        <w:rPr>
          <w:sz w:val="20"/>
          <w:szCs w:val="20"/>
          <w:color w:val="auto"/>
        </w:rPr>
      </w:pPr>
    </w:p>
    <w:p>
      <w:pPr>
        <w:jc w:val="both"/>
        <w:ind w:left="760" w:firstLine="47"/>
        <w:spacing w:after="0" w:line="286" w:lineRule="auto"/>
        <w:rPr>
          <w:sz w:val="20"/>
          <w:szCs w:val="20"/>
          <w:color w:val="auto"/>
        </w:rPr>
      </w:pPr>
      <w:r>
        <w:rPr>
          <w:rFonts w:ascii="Arial" w:cs="Arial" w:eastAsia="Arial" w:hAnsi="Arial"/>
          <w:sz w:val="17"/>
          <w:szCs w:val="17"/>
          <w:color w:val="auto"/>
        </w:rPr>
        <w:t>Other securities include Federal Home Loan Bank of Cincinnati and Indianapolis stock in the amount of $14.8 million as of September 30, 2023 and $8.1 million as of December 31, 2022. Other securities also includes Ohio Equity Fund for Housing Limited Partnership funding of $2.1 million and $1.7 million out of a total of $4.0 million committed as of September 30, 2023 and December 31, 2022, respectively.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balances as of September 30, 2023 and December 31, 2022 are summarized below:</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5"/>
          </w:tcPr>
          <w:p>
            <w:pPr>
              <w:ind w:left="1140"/>
              <w:spacing w:after="0"/>
              <w:rPr>
                <w:sz w:val="20"/>
                <w:szCs w:val="20"/>
                <w:color w:val="auto"/>
              </w:rPr>
            </w:pPr>
            <w:r>
              <w:rPr>
                <w:rFonts w:ascii="Arial" w:cs="Arial" w:eastAsia="Arial" w:hAnsi="Arial"/>
                <w:sz w:val="18"/>
                <w:szCs w:val="18"/>
                <w:color w:val="auto"/>
              </w:rPr>
              <w:t>(In Thousands)</w:t>
            </w:r>
          </w:p>
        </w:tc>
      </w:tr>
      <w:tr>
        <w:trPr>
          <w:trHeight w:val="189"/>
        </w:trPr>
        <w:tc>
          <w:tcPr>
            <w:tcW w:w="4160" w:type="dxa"/>
            <w:vAlign w:val="bottom"/>
            <w:gridSpan w:val="2"/>
          </w:tcPr>
          <w:p>
            <w:pPr>
              <w:spacing w:after="0" w:line="189" w:lineRule="exact"/>
              <w:rPr>
                <w:sz w:val="20"/>
                <w:szCs w:val="20"/>
                <w:color w:val="auto"/>
              </w:rPr>
            </w:pPr>
            <w:r>
              <w:rPr>
                <w:rFonts w:ascii="Arial" w:cs="Arial" w:eastAsia="Arial" w:hAnsi="Arial"/>
                <w:sz w:val="18"/>
                <w:szCs w:val="18"/>
                <w:color w:val="auto"/>
              </w:rPr>
              <w:t>Loans:</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w w:val="88"/>
              </w:rPr>
              <w:t>September 30, 2023</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w w:val="88"/>
              </w:rPr>
              <w:t>December 31, 2022</w:t>
            </w:r>
          </w:p>
        </w:tc>
        <w:tc>
          <w:tcPr>
            <w:tcW w:w="20" w:type="dxa"/>
            <w:vAlign w:val="bottom"/>
          </w:tcPr>
          <w:p>
            <w:pPr>
              <w:spacing w:after="0"/>
              <w:rPr>
                <w:sz w:val="16"/>
                <w:szCs w:val="16"/>
                <w:color w:val="auto"/>
              </w:rPr>
            </w:pPr>
          </w:p>
        </w:tc>
      </w:tr>
      <w:tr>
        <w:trPr>
          <w:trHeight w:val="34"/>
        </w:trPr>
        <w:tc>
          <w:tcPr>
            <w:tcW w:w="50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1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512,973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494,423</w:t>
            </w:r>
          </w:p>
        </w:tc>
        <w:tc>
          <w:tcPr>
            <w:tcW w:w="20" w:type="dxa"/>
            <w:vAlign w:val="bottom"/>
          </w:tcPr>
          <w:p>
            <w:pPr>
              <w:spacing w:after="0"/>
              <w:rPr>
                <w:sz w:val="20"/>
                <w:szCs w:val="20"/>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225,672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220,819</w:t>
            </w:r>
          </w:p>
        </w:tc>
        <w:tc>
          <w:tcPr>
            <w:tcW w:w="20" w:type="dxa"/>
            <w:vAlign w:val="bottom"/>
          </w:tcPr>
          <w:p>
            <w:pPr>
              <w:spacing w:after="0"/>
              <w:rPr>
                <w:sz w:val="20"/>
                <w:szCs w:val="20"/>
                <w:color w:val="auto"/>
              </w:rPr>
            </w:pPr>
          </w:p>
        </w:tc>
      </w:tr>
      <w:tr>
        <w:trPr>
          <w:trHeight w:val="249"/>
        </w:trPr>
        <w:tc>
          <w:tcPr>
            <w:tcW w:w="41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123,735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128,733</w:t>
            </w:r>
          </w:p>
        </w:tc>
        <w:tc>
          <w:tcPr>
            <w:tcW w:w="20" w:type="dxa"/>
            <w:vAlign w:val="bottom"/>
          </w:tcPr>
          <w:p>
            <w:pPr>
              <w:spacing w:after="0"/>
              <w:rPr>
                <w:sz w:val="21"/>
                <w:szCs w:val="2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1,304,118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1,152,603</w:t>
            </w:r>
          </w:p>
        </w:tc>
        <w:tc>
          <w:tcPr>
            <w:tcW w:w="20" w:type="dxa"/>
            <w:vAlign w:val="bottom"/>
          </w:tcPr>
          <w:p>
            <w:pPr>
              <w:spacing w:after="0"/>
              <w:rPr>
                <w:sz w:val="20"/>
                <w:szCs w:val="20"/>
                <w:color w:val="auto"/>
              </w:rPr>
            </w:pPr>
          </w:p>
        </w:tc>
      </w:tr>
      <w:tr>
        <w:trPr>
          <w:trHeight w:val="249"/>
        </w:trPr>
        <w:tc>
          <w:tcPr>
            <w:tcW w:w="41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250,891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242,360</w:t>
            </w:r>
          </w:p>
        </w:tc>
        <w:tc>
          <w:tcPr>
            <w:tcW w:w="20" w:type="dxa"/>
            <w:vAlign w:val="bottom"/>
          </w:tcPr>
          <w:p>
            <w:pPr>
              <w:spacing w:after="0"/>
              <w:rPr>
                <w:sz w:val="21"/>
                <w:szCs w:val="2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83,024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89,147</w:t>
            </w:r>
          </w:p>
        </w:tc>
        <w:tc>
          <w:tcPr>
            <w:tcW w:w="20" w:type="dxa"/>
            <w:vAlign w:val="bottom"/>
          </w:tcPr>
          <w:p>
            <w:pPr>
              <w:spacing w:after="0"/>
              <w:rPr>
                <w:sz w:val="20"/>
                <w:szCs w:val="20"/>
                <w:color w:val="auto"/>
              </w:rPr>
            </w:pPr>
          </w:p>
        </w:tc>
      </w:tr>
      <w:tr>
        <w:trPr>
          <w:trHeight w:val="243"/>
        </w:trPr>
        <w:tc>
          <w:tcPr>
            <w:tcW w:w="41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31,083</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29,818</w:t>
            </w:r>
          </w:p>
        </w:tc>
        <w:tc>
          <w:tcPr>
            <w:tcW w:w="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2,531,496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2,357,903</w:t>
            </w:r>
          </w:p>
        </w:tc>
        <w:tc>
          <w:tcPr>
            <w:tcW w:w="20" w:type="dxa"/>
            <w:vAlign w:val="bottom"/>
          </w:tcPr>
          <w:p>
            <w:pPr>
              <w:spacing w:after="0"/>
              <w:rPr>
                <w:sz w:val="20"/>
                <w:szCs w:val="20"/>
                <w:color w:val="auto"/>
              </w:rPr>
            </w:pPr>
          </w:p>
        </w:tc>
      </w:tr>
      <w:tr>
        <w:trPr>
          <w:trHeight w:val="249"/>
        </w:trPr>
        <w:tc>
          <w:tcPr>
            <w:tcW w:w="41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Less: Net deferred loan fees and costs</w:t>
            </w:r>
          </w:p>
        </w:tc>
        <w:tc>
          <w:tcPr>
            <w:tcW w:w="1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(1,516 )</w:t>
            </w:r>
          </w:p>
        </w:tc>
        <w:tc>
          <w:tcPr>
            <w:tcW w:w="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2,529,606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2,356,387</w:t>
            </w:r>
          </w:p>
        </w:tc>
        <w:tc>
          <w:tcPr>
            <w:tcW w:w="20" w:type="dxa"/>
            <w:vAlign w:val="bottom"/>
          </w:tcPr>
          <w:p>
            <w:pPr>
              <w:spacing w:after="0"/>
              <w:rPr>
                <w:sz w:val="20"/>
                <w:szCs w:val="20"/>
                <w:color w:val="auto"/>
              </w:rPr>
            </w:pPr>
          </w:p>
        </w:tc>
      </w:tr>
      <w:tr>
        <w:trPr>
          <w:trHeight w:val="249"/>
        </w:trPr>
        <w:tc>
          <w:tcPr>
            <w:tcW w:w="41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Less: Allowance for credit losses</w:t>
            </w:r>
          </w:p>
        </w:tc>
        <w:tc>
          <w:tcPr>
            <w:tcW w:w="1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(25,277 )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(20,313 )</w:t>
            </w:r>
          </w:p>
        </w:tc>
        <w:tc>
          <w:tcPr>
            <w:tcW w:w="20" w:type="dxa"/>
            <w:vAlign w:val="bottom"/>
          </w:tcPr>
          <w:p>
            <w:pPr>
              <w:spacing w:after="0"/>
              <w:rPr>
                <w:sz w:val="21"/>
                <w:szCs w:val="21"/>
                <w:color w:val="auto"/>
              </w:rPr>
            </w:pPr>
          </w:p>
        </w:tc>
      </w:tr>
      <w:tr>
        <w:trPr>
          <w:trHeight w:val="243"/>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Loans -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2,504,329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2,336,074</w:t>
            </w:r>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-822325</wp:posOffset>
            </wp:positionV>
            <wp:extent cx="11112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-504825</wp:posOffset>
            </wp:positionV>
            <wp:extent cx="11112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1111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improvements in the Bank’s service area.</w:t>
      </w:r>
    </w:p>
    <w:p>
      <w:pPr>
        <w:spacing w:after="0" w:line="2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2023 and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September 30, 2023</w:t>
            </w:r>
          </w:p>
        </w:tc>
        <w:tc>
          <w:tcPr>
            <w:tcW w:w="6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8"/>
                <w:szCs w:val="18"/>
                <w:color w:val="auto"/>
              </w:rPr>
              <w:t>December 31, 2022</w:t>
            </w:r>
          </w:p>
        </w:tc>
      </w:tr>
      <w:tr>
        <w:trPr>
          <w:trHeight w:val="236"/>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color w:val="auto"/>
              </w:rPr>
              <w:t>Fixed</w:t>
            </w:r>
          </w:p>
        </w:tc>
        <w:tc>
          <w:tcPr>
            <w:tcW w:w="48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Variable</w:t>
            </w:r>
          </w:p>
        </w:tc>
        <w:tc>
          <w:tcPr>
            <w:tcW w:w="640" w:type="dxa"/>
            <w:vAlign w:val="bottom"/>
          </w:tcPr>
          <w:p>
            <w:pPr>
              <w:spacing w:after="0"/>
              <w:rPr>
                <w:sz w:val="20"/>
                <w:szCs w:val="20"/>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color w:val="auto"/>
              </w:rPr>
              <w:t>Fixed</w:t>
            </w:r>
          </w:p>
        </w:tc>
        <w:tc>
          <w:tcPr>
            <w:tcW w:w="4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Variable</w:t>
            </w: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330,689</w:t>
            </w:r>
          </w:p>
        </w:tc>
        <w:tc>
          <w:tcPr>
            <w:tcW w:w="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182,284</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354,420</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140,003</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128,681</w:t>
            </w:r>
          </w:p>
        </w:tc>
        <w:tc>
          <w:tcPr>
            <w:tcW w:w="48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96,991</w:t>
            </w:r>
          </w:p>
        </w:tc>
        <w:tc>
          <w:tcPr>
            <w:tcW w:w="6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144,702</w:t>
            </w:r>
          </w:p>
        </w:tc>
        <w:tc>
          <w:tcPr>
            <w:tcW w:w="4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76,117</w:t>
            </w: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57,301</w:t>
            </w:r>
          </w:p>
        </w:tc>
        <w:tc>
          <w:tcPr>
            <w:tcW w:w="4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66,434</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52,867</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75,866</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1,013,000</w:t>
            </w:r>
          </w:p>
        </w:tc>
        <w:tc>
          <w:tcPr>
            <w:tcW w:w="48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291,118</w:t>
            </w:r>
          </w:p>
        </w:tc>
        <w:tc>
          <w:tcPr>
            <w:tcW w:w="6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941,927</w:t>
            </w:r>
          </w:p>
        </w:tc>
        <w:tc>
          <w:tcPr>
            <w:tcW w:w="4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210,676</w:t>
            </w: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141,010</w:t>
            </w:r>
          </w:p>
        </w:tc>
        <w:tc>
          <w:tcPr>
            <w:tcW w:w="4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109,881</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130,513</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111,847</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82,956</w:t>
            </w:r>
          </w:p>
        </w:tc>
        <w:tc>
          <w:tcPr>
            <w:tcW w:w="48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88,972</w:t>
            </w:r>
          </w:p>
        </w:tc>
        <w:tc>
          <w:tcPr>
            <w:tcW w:w="4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175</w:t>
            </w:r>
          </w:p>
        </w:tc>
      </w:tr>
      <w:tr>
        <w:trPr>
          <w:trHeight w:val="24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21,499</w:t>
            </w:r>
          </w:p>
        </w:tc>
        <w:tc>
          <w:tcPr>
            <w:tcW w:w="4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9,584</w:t>
            </w:r>
          </w:p>
        </w:tc>
        <w:tc>
          <w:tcPr>
            <w:tcW w:w="6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20,029</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9,789</w:t>
            </w:r>
          </w:p>
        </w:tc>
      </w:tr>
    </w:tbl>
    <w:p>
      <w:pPr>
        <w:spacing w:after="0" w:line="20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As of September 30, 2023 and December 31, 2022 one to four family residential mortgage loans amounting to $213.0 million and $222.5 million, respectively, have been pledged as security for future loans and existing loans the Bank has received from the Federal Home Loan Bank. $11.2 million and $10.4 million of HELOCs were pledged as of September 30, 2023 and December 31, 2022 as well. During the second quarter of 2023 the Bank began pledging eligible commercial real estate to the FHLB. At September 30, 2023 the amount pledged was $161.2 million.</w:t>
      </w:r>
    </w:p>
    <w:p>
      <w:pPr>
        <w:spacing w:after="0" w:line="130" w:lineRule="exact"/>
        <w:rPr>
          <w:sz w:val="20"/>
          <w:szCs w:val="20"/>
          <w:color w:val="auto"/>
        </w:rPr>
      </w:pPr>
    </w:p>
    <w:p>
      <w:pPr>
        <w:jc w:val="center"/>
        <w:ind w:left="500" w:right="580"/>
        <w:spacing w:after="0" w:line="402" w:lineRule="auto"/>
        <w:rPr>
          <w:sz w:val="20"/>
          <w:szCs w:val="20"/>
          <w:color w:val="auto"/>
        </w:rPr>
      </w:pPr>
      <w:r>
        <w:rPr>
          <w:rFonts w:ascii="Arial" w:cs="Arial" w:eastAsia="Arial" w:hAnsi="Arial"/>
          <w:sz w:val="18"/>
          <w:szCs w:val="18"/>
          <w:color w:val="auto"/>
        </w:rPr>
        <w:t>Unless listed separately, Other loans are included in the Commercial and Industrial category for the remainder of the tables in this Note 4.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September 30, 2023 and December 31, 2022, net of deferred loan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104775</wp:posOffset>
            </wp:positionV>
            <wp:extent cx="4538980" cy="887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38980" cy="88709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4"/>
              </w:rPr>
              <w:t>Recorded</w:t>
            </w:r>
          </w:p>
        </w:tc>
        <w:tc>
          <w:tcPr>
            <w:tcW w:w="100" w:type="dxa"/>
            <w:vAlign w:val="bottom"/>
          </w:tcPr>
          <w:p>
            <w:pPr>
              <w:spacing w:after="0"/>
              <w:rPr>
                <w:sz w:val="19"/>
                <w:szCs w:val="19"/>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Investmen</w:t>
            </w: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Arial" w:cs="Arial" w:eastAsia="Arial" w:hAnsi="Arial"/>
                <w:sz w:val="18"/>
                <w:szCs w:val="18"/>
                <w:color w:val="auto"/>
                <w:w w:val="91"/>
              </w:rPr>
              <w:t>30-59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color w:val="auto"/>
                <w:w w:val="88"/>
              </w:rPr>
              <w:t>Greater</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Financing</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Than 90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Total Past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Receivabl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86"/>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240" w:type="dxa"/>
            <w:vAlign w:val="bottom"/>
          </w:tcPr>
          <w:p>
            <w:pPr>
              <w:ind w:left="20"/>
              <w:spacing w:after="0"/>
              <w:rPr>
                <w:sz w:val="20"/>
                <w:szCs w:val="20"/>
                <w:color w:val="auto"/>
              </w:rPr>
            </w:pPr>
            <w:r>
              <w:rPr>
                <w:rFonts w:ascii="Arial" w:cs="Arial" w:eastAsia="Arial" w:hAnsi="Arial"/>
                <w:sz w:val="18"/>
                <w:szCs w:val="18"/>
                <w:color w:val="auto"/>
              </w:rPr>
              <w:t>September 30, 2023</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Due</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Due</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Days</w:t>
            </w:r>
          </w:p>
        </w:tc>
        <w:tc>
          <w:tcPr>
            <w:tcW w:w="12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12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Current</w:t>
            </w:r>
          </w:p>
        </w:tc>
        <w:tc>
          <w:tcPr>
            <w:tcW w:w="12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3"/>
              </w:rPr>
              <w:t>es</w:t>
            </w:r>
          </w:p>
        </w:tc>
        <w:tc>
          <w:tcPr>
            <w:tcW w:w="12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Accruing</w:t>
            </w:r>
          </w:p>
        </w:tc>
        <w:tc>
          <w:tcPr>
            <w:tcW w:w="100" w:type="dxa"/>
            <w:vAlign w:val="bottom"/>
          </w:tcPr>
          <w:p>
            <w:pPr>
              <w:spacing w:after="0"/>
              <w:rPr>
                <w:sz w:val="21"/>
                <w:szCs w:val="21"/>
                <w:color w:val="auto"/>
              </w:rPr>
            </w:pPr>
          </w:p>
        </w:tc>
      </w:tr>
      <w:tr>
        <w:trPr>
          <w:trHeight w:val="236"/>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509,969</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$ 512,990</w:t>
            </w:r>
          </w:p>
        </w:tc>
        <w:tc>
          <w:tcPr>
            <w:tcW w:w="120" w:type="dxa"/>
            <w:vAlign w:val="bottom"/>
            <w:tcBorders>
              <w:right w:val="single" w:sz="8" w:color="auto"/>
            </w:tcBorders>
            <w:shd w:val="clear" w:color="auto" w:fill="CFF0FC"/>
          </w:tcPr>
          <w:p>
            <w:pPr>
              <w:spacing w:after="0"/>
              <w:rPr>
                <w:sz w:val="21"/>
                <w:szCs w:val="21"/>
                <w:color w:val="auto"/>
              </w:rPr>
            </w:pPr>
          </w:p>
        </w:tc>
        <w:tc>
          <w:tcPr>
            <w:tcW w:w="8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224,083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225,370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120,889</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123,971</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1,300,85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1,301,61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5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280,968</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281,839</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15"/>
        </w:trPr>
        <w:tc>
          <w:tcPr>
            <w:tcW w:w="4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2,520,40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2,529,60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4"/>
        </w:trPr>
        <w:tc>
          <w:tcPr>
            <w:tcW w:w="4240" w:type="dxa"/>
            <w:vAlign w:val="bottom"/>
            <w:tcBorders>
              <w:bottom w:val="single" w:sz="8" w:color="CFF0FC"/>
            </w:tcBorders>
            <w:shd w:val="clear" w:color="auto" w:fill="CFF0FC"/>
          </w:tcPr>
          <w:p>
            <w:pPr>
              <w:ind w:left="18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7"/>
        </w:trPr>
        <w:tc>
          <w:tcPr>
            <w:tcW w:w="4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4"/>
              </w:rPr>
              <w:t>Recorded</w:t>
            </w: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Investmen</w:t>
            </w: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9"/>
              </w:rPr>
              <w:t>Total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t &gt;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Arial" w:cs="Arial" w:eastAsia="Arial" w:hAnsi="Arial"/>
                <w:sz w:val="18"/>
                <w:szCs w:val="18"/>
                <w:color w:val="auto"/>
                <w:w w:val="91"/>
              </w:rPr>
              <w:t>30-59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color w:val="auto"/>
                <w:w w:val="88"/>
              </w:rPr>
              <w:t>Greater</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Financing</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Than 90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Total Past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Receivabl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left="1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24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Due</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Due</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Days</w:t>
            </w:r>
          </w:p>
        </w:tc>
        <w:tc>
          <w:tcPr>
            <w:tcW w:w="12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12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Current</w:t>
            </w:r>
          </w:p>
        </w:tc>
        <w:tc>
          <w:tcPr>
            <w:tcW w:w="12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3"/>
              </w:rPr>
              <w:t>es</w:t>
            </w:r>
          </w:p>
        </w:tc>
        <w:tc>
          <w:tcPr>
            <w:tcW w:w="120" w:type="dxa"/>
            <w:vAlign w:val="bottom"/>
            <w:tcBorders>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Accruing</w:t>
            </w:r>
          </w:p>
        </w:tc>
        <w:tc>
          <w:tcPr>
            <w:tcW w:w="100" w:type="dxa"/>
            <w:vAlign w:val="bottom"/>
          </w:tcPr>
          <w:p>
            <w:pPr>
              <w:spacing w:after="0"/>
              <w:rPr>
                <w:sz w:val="21"/>
                <w:szCs w:val="21"/>
                <w:color w:val="auto"/>
              </w:rPr>
            </w:pPr>
          </w:p>
        </w:tc>
      </w:tr>
      <w:tr>
        <w:trPr>
          <w:trHeight w:val="236"/>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80" w:type="dxa"/>
            <w:vAlign w:val="bottom"/>
            <w:gridSpan w:val="3"/>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492,162</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$ 494,423</w:t>
            </w:r>
          </w:p>
        </w:tc>
        <w:tc>
          <w:tcPr>
            <w:tcW w:w="120" w:type="dxa"/>
            <w:vAlign w:val="bottom"/>
            <w:tcBorders>
              <w:right w:val="single" w:sz="8" w:color="auto"/>
            </w:tcBorders>
            <w:shd w:val="clear" w:color="auto" w:fill="CFF0FC"/>
          </w:tcPr>
          <w:p>
            <w:pPr>
              <w:spacing w:after="0"/>
              <w:rPr>
                <w:sz w:val="21"/>
                <w:szCs w:val="21"/>
                <w:color w:val="auto"/>
              </w:rPr>
            </w:pPr>
          </w:p>
        </w:tc>
        <w:tc>
          <w:tcPr>
            <w:tcW w:w="8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218,844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220,514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128,341</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128,926</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1,150,25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1,150,51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5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270,984</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272,119</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r>
      <w:tr>
        <w:trPr>
          <w:trHeight w:val="215"/>
        </w:trPr>
        <w:tc>
          <w:tcPr>
            <w:tcW w:w="4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2,350,36</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2,356,38</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4"/>
        </w:trPr>
        <w:tc>
          <w:tcPr>
            <w:tcW w:w="4240" w:type="dxa"/>
            <w:vAlign w:val="bottom"/>
            <w:tcBorders>
              <w:bottom w:val="single" w:sz="8" w:color="CFF0FC"/>
            </w:tcBorders>
            <w:shd w:val="clear" w:color="auto" w:fill="CFF0FC"/>
          </w:tcPr>
          <w:p>
            <w:pPr>
              <w:ind w:left="18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-2990850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-2974340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-2990850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-2974340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-2990850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-2974340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-2990850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-2974340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-2990850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-2974340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-2990850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-2974340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-2840990</wp:posOffset>
            </wp:positionV>
            <wp:extent cx="4538980" cy="1024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38980" cy="1024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-453390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-436245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-453390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-436245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-453390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-436245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-453390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-436245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-453390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-436245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-453390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-436245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the amortized cost of nonaccrual loans by class of loans as of September 30, 2023 and the recorded investment of nonaccrual loans by class of loans as of December 31, 2022:</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0"/>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6"/>
              </w:rPr>
              <w:t>Loans Past</w:t>
            </w:r>
          </w:p>
        </w:tc>
        <w:tc>
          <w:tcPr>
            <w:tcW w:w="80" w:type="dxa"/>
            <w:vAlign w:val="bottom"/>
          </w:tcPr>
          <w:p>
            <w:pPr>
              <w:spacing w:after="0"/>
              <w:rPr>
                <w:sz w:val="20"/>
                <w:szCs w:val="20"/>
                <w:color w:val="auto"/>
              </w:rPr>
            </w:pPr>
          </w:p>
        </w:tc>
      </w:tr>
      <w:tr>
        <w:trPr>
          <w:trHeight w:val="242"/>
        </w:trPr>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6"/>
              </w:rPr>
              <w:t>With No</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0"/>
              </w:rPr>
              <w:t>Due Over</w:t>
            </w:r>
          </w:p>
        </w:tc>
        <w:tc>
          <w:tcPr>
            <w:tcW w:w="80" w:type="dxa"/>
            <w:vAlign w:val="bottom"/>
          </w:tcPr>
          <w:p>
            <w:pPr>
              <w:spacing w:after="0"/>
              <w:rPr>
                <w:sz w:val="21"/>
                <w:szCs w:val="21"/>
                <w:color w:val="auto"/>
              </w:rPr>
            </w:pPr>
          </w:p>
        </w:tc>
      </w:tr>
      <w:tr>
        <w:trPr>
          <w:trHeight w:val="243"/>
        </w:trPr>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5"/>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89 Days</w:t>
            </w:r>
          </w:p>
        </w:tc>
        <w:tc>
          <w:tcPr>
            <w:tcW w:w="80" w:type="dxa"/>
            <w:vAlign w:val="bottom"/>
          </w:tcPr>
          <w:p>
            <w:pPr>
              <w:spacing w:after="0"/>
              <w:rPr>
                <w:sz w:val="21"/>
                <w:szCs w:val="21"/>
                <w:color w:val="auto"/>
              </w:rPr>
            </w:pPr>
          </w:p>
        </w:tc>
      </w:tr>
      <w:tr>
        <w:trPr>
          <w:trHeight w:val="250"/>
        </w:trPr>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2"/>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8"/>
              </w:rPr>
              <w:t>Still Accruing</w:t>
            </w:r>
          </w:p>
        </w:tc>
        <w:tc>
          <w:tcPr>
            <w:tcW w:w="80" w:type="dxa"/>
            <w:vAlign w:val="bottom"/>
          </w:tcPr>
          <w:p>
            <w:pPr>
              <w:spacing w:after="0"/>
              <w:rPr>
                <w:sz w:val="21"/>
                <w:szCs w:val="21"/>
                <w:color w:val="auto"/>
              </w:rPr>
            </w:pPr>
          </w:p>
        </w:tc>
      </w:tr>
      <w:tr>
        <w:trPr>
          <w:trHeight w:val="243"/>
        </w:trPr>
        <w:tc>
          <w:tcPr>
            <w:tcW w:w="2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689</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15,948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Agricultural</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2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w:t>
            </w:r>
          </w:p>
        </w:tc>
        <w:tc>
          <w:tcPr>
            <w:tcW w:w="6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2180" w:type="dxa"/>
            <w:vAlign w:val="bottom"/>
          </w:tcPr>
          <w:p>
            <w:pPr>
              <w:ind w:left="11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w:t>
            </w:r>
          </w:p>
        </w:tc>
        <w:tc>
          <w:tcPr>
            <w:tcW w:w="28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22,447</w:t>
            </w:r>
          </w:p>
        </w:tc>
        <w:tc>
          <w:tcPr>
            <w:tcW w:w="24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4"/>
                <w:szCs w:val="24"/>
                <w:color w:val="auto"/>
              </w:rPr>
            </w:pPr>
          </w:p>
        </w:tc>
      </w:tr>
      <w:tr>
        <w:trPr>
          <w:trHeight w:val="215"/>
        </w:trPr>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r>
      <w:tr>
        <w:trPr>
          <w:trHeight w:val="237"/>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89"/>
              </w:rPr>
              <w:t>2022</w:t>
            </w:r>
          </w:p>
        </w:tc>
        <w:tc>
          <w:tcPr>
            <w:tcW w:w="80" w:type="dxa"/>
            <w:vAlign w:val="bottom"/>
            <w:tcBorders>
              <w:bottom w:val="single" w:sz="8" w:color="auto"/>
            </w:tcBorders>
          </w:tcPr>
          <w:p>
            <w:pPr>
              <w:spacing w:after="0"/>
              <w:rPr>
                <w:sz w:val="20"/>
                <w:szCs w:val="20"/>
                <w:color w:val="auto"/>
              </w:rPr>
            </w:pPr>
          </w:p>
        </w:tc>
      </w:tr>
      <w:tr>
        <w:trPr>
          <w:trHeight w:val="243"/>
        </w:trPr>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21"/>
                <w:szCs w:val="2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20"/>
                <w:szCs w:val="20"/>
                <w:color w:val="auto"/>
              </w:rPr>
            </w:pPr>
          </w:p>
        </w:tc>
      </w:tr>
      <w:tr>
        <w:trPr>
          <w:trHeight w:val="24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21"/>
                <w:szCs w:val="2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20"/>
                <w:szCs w:val="20"/>
                <w:color w:val="auto"/>
              </w:rPr>
            </w:pPr>
          </w:p>
        </w:tc>
      </w:tr>
      <w:tr>
        <w:trPr>
          <w:trHeight w:val="24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FF0FC"/>
          </w:tcPr>
          <w:p>
            <w:pPr>
              <w:spacing w:after="0"/>
              <w:rPr>
                <w:sz w:val="21"/>
                <w:szCs w:val="21"/>
                <w:color w:val="auto"/>
              </w:rPr>
            </w:pP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Consumer</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21"/>
                <w:szCs w:val="21"/>
                <w:color w:val="auto"/>
              </w:rPr>
            </w:pPr>
          </w:p>
        </w:tc>
      </w:tr>
      <w:tr>
        <w:trPr>
          <w:trHeight w:val="277"/>
        </w:trPr>
        <w:tc>
          <w:tcPr>
            <w:tcW w:w="2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80" w:type="dxa"/>
            <w:vAlign w:val="bottom"/>
            <w:tcBorders>
              <w:bottom w:val="single" w:sz="8" w:color="auto"/>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-2056765</wp:posOffset>
            </wp:positionV>
            <wp:extent cx="5143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-2056765</wp:posOffset>
            </wp:positionV>
            <wp:extent cx="431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-2056765</wp:posOffset>
            </wp:positionV>
            <wp:extent cx="431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jc w:val="both"/>
        <w:ind w:left="760" w:right="20"/>
        <w:spacing w:after="0" w:line="311" w:lineRule="auto"/>
        <w:rPr>
          <w:sz w:val="20"/>
          <w:szCs w:val="20"/>
          <w:color w:val="auto"/>
        </w:rPr>
      </w:pPr>
      <w:r>
        <w:rPr>
          <w:rFonts w:ascii="Arial" w:cs="Arial" w:eastAsia="Arial" w:hAnsi="Arial"/>
          <w:sz w:val="16"/>
          <w:szCs w:val="16"/>
          <w:color w:val="auto"/>
        </w:rPr>
        <w:t>Two borrower relationships resulted in a combined increase to nonaccrual totals of $15.6 million in the agricultural real estate portfolio and a combined increase of $4.5 million in the agricultural portfolio as compared to December 31, 2022. The Company recognized $74 thousand and $210 thousand of interest income on nonaccrual loans for the three and nine months ending September 30, 2023, respectively.</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ectPr>
          <w:pgSz w:w="11900" w:h="16838" w:orient="portrait"/>
          <w:cols w:equalWidth="0" w:num="1">
            <w:col w:w="11240"/>
          </w:cols>
          <w:pgMar w:left="320" w:top="12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17" w:lineRule="exact"/>
        <w:rPr>
          <w:rFonts w:ascii="Arial" w:cs="Arial" w:eastAsia="Arial" w:hAnsi="Arial"/>
          <w:sz w:val="18"/>
          <w:szCs w:val="18"/>
          <w:color w:val="auto"/>
        </w:rPr>
      </w:pPr>
    </w:p>
    <w:p>
      <w:pPr>
        <w:jc w:val="both"/>
        <w:ind w:left="2260" w:hanging="755"/>
        <w:spacing w:after="0" w:line="272" w:lineRule="auto"/>
        <w:tabs>
          <w:tab w:leader="none" w:pos="2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69" w:lineRule="exact"/>
        <w:rPr>
          <w:rFonts w:ascii="Arial" w:cs="Arial" w:eastAsia="Arial" w:hAnsi="Arial"/>
          <w:sz w:val="17"/>
          <w:szCs w:val="17"/>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9" w:lineRule="exact"/>
        <w:rPr>
          <w:rFonts w:ascii="Arial" w:cs="Arial" w:eastAsia="Arial" w:hAnsi="Arial"/>
          <w:sz w:val="18"/>
          <w:szCs w:val="18"/>
          <w:color w:val="auto"/>
        </w:rPr>
      </w:pPr>
    </w:p>
    <w:p>
      <w:pPr>
        <w:jc w:val="both"/>
        <w:ind w:left="2260" w:hanging="755"/>
        <w:spacing w:after="0" w:line="254"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2" w:lineRule="exact"/>
        <w:rPr>
          <w:rFonts w:ascii="Arial" w:cs="Arial" w:eastAsia="Arial" w:hAnsi="Arial"/>
          <w:sz w:val="18"/>
          <w:szCs w:val="18"/>
          <w:color w:val="auto"/>
        </w:rPr>
      </w:pPr>
    </w:p>
    <w:p>
      <w:pPr>
        <w:ind w:left="226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226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2620" w:hanging="366"/>
        <w:spacing w:after="0"/>
        <w:tabs>
          <w:tab w:leader="none" w:pos="2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32" w:lineRule="exact"/>
        <w:rPr>
          <w:rFonts w:ascii="Arial" w:cs="Arial" w:eastAsia="Arial" w:hAnsi="Arial"/>
          <w:sz w:val="16"/>
          <w:szCs w:val="16"/>
          <w:color w:val="auto"/>
        </w:rPr>
      </w:pPr>
    </w:p>
    <w:p>
      <w:pPr>
        <w:ind w:left="2620" w:hanging="366"/>
        <w:spacing w:after="0"/>
        <w:tabs>
          <w:tab w:leader="none" w:pos="2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32" w:lineRule="exact"/>
        <w:rPr>
          <w:rFonts w:ascii="Arial" w:cs="Arial" w:eastAsia="Arial" w:hAnsi="Arial"/>
          <w:sz w:val="16"/>
          <w:szCs w:val="16"/>
          <w:color w:val="auto"/>
        </w:rPr>
      </w:pPr>
    </w:p>
    <w:p>
      <w:pPr>
        <w:jc w:val="both"/>
        <w:ind w:left="2620" w:hanging="366"/>
        <w:spacing w:after="0" w:line="253" w:lineRule="auto"/>
        <w:tabs>
          <w:tab w:leader="none" w:pos="2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4" w:lineRule="exact"/>
        <w:rPr>
          <w:rFonts w:ascii="Arial" w:cs="Arial" w:eastAsia="Arial" w:hAnsi="Arial"/>
          <w:sz w:val="18"/>
          <w:szCs w:val="18"/>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9" w:lineRule="exact"/>
        <w:rPr>
          <w:rFonts w:ascii="Arial" w:cs="Arial" w:eastAsia="Arial" w:hAnsi="Arial"/>
          <w:sz w:val="18"/>
          <w:szCs w:val="18"/>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hanging="755"/>
        <w:spacing w:after="0"/>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Six (6) Substandard. One or more of the following characteristics may be exhibited in loans classified substandard:</w:t>
      </w:r>
    </w:p>
    <w:p>
      <w:pPr>
        <w:spacing w:after="0" w:line="34" w:lineRule="exact"/>
        <w:rPr>
          <w:rFonts w:ascii="Arial" w:cs="Arial" w:eastAsia="Arial" w:hAnsi="Arial"/>
          <w:sz w:val="17"/>
          <w:szCs w:val="17"/>
          <w:color w:val="auto"/>
        </w:rPr>
      </w:pPr>
    </w:p>
    <w:p>
      <w:pPr>
        <w:jc w:val="both"/>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20" w:hanging="366"/>
        <w:spacing w:after="0"/>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20" w:hanging="366"/>
        <w:spacing w:after="0"/>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lender is seriously contemplating foreclosure or legal action due to the apparent deterioration in the loan.</w:t>
      </w:r>
    </w:p>
    <w:p>
      <w:pPr>
        <w:spacing w:after="0" w:line="20" w:lineRule="exact"/>
        <w:rPr>
          <w:rFonts w:ascii="Arial" w:cs="Arial" w:eastAsia="Arial" w:hAnsi="Arial"/>
          <w:sz w:val="17"/>
          <w:szCs w:val="17"/>
          <w:color w:val="auto"/>
        </w:rPr>
      </w:pP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114" w:lineRule="exact"/>
        <w:rPr>
          <w:rFonts w:ascii="Arial" w:cs="Arial" w:eastAsia="Arial" w:hAnsi="Arial"/>
          <w:sz w:val="17"/>
          <w:szCs w:val="17"/>
          <w:color w:val="auto"/>
        </w:rPr>
      </w:pPr>
    </w:p>
    <w:p>
      <w:pPr>
        <w:ind w:left="2260" w:hanging="755"/>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1" w:lineRule="exact"/>
        <w:rPr>
          <w:rFonts w:ascii="Arial" w:cs="Arial" w:eastAsia="Arial" w:hAnsi="Arial"/>
          <w:sz w:val="18"/>
          <w:szCs w:val="18"/>
          <w:color w:val="auto"/>
        </w:rPr>
      </w:pPr>
    </w:p>
    <w:p>
      <w:pPr>
        <w:jc w:val="both"/>
        <w:ind w:left="2260" w:hanging="755"/>
        <w:spacing w:after="0" w:line="259" w:lineRule="auto"/>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December 31, 2022:</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Agricult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Commer</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Commer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3"/>
              </w:rPr>
              <w:t>ural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8"/>
                <w:szCs w:val="18"/>
                <w:color w:val="auto"/>
                <w:w w:val="96"/>
              </w:rPr>
              <w:t>cial</w:t>
            </w:r>
          </w:p>
        </w:tc>
        <w:tc>
          <w:tcPr>
            <w:tcW w:w="14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Arial" w:cs="Arial" w:eastAsia="Arial" w:hAnsi="Arial"/>
                <w:sz w:val="18"/>
                <w:szCs w:val="18"/>
                <w:color w:val="auto"/>
                <w:w w:val="96"/>
              </w:rPr>
              <w:t>cial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ind w:right="7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97"/>
              </w:rPr>
              <w:t>Real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Agricult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Real</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Industria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6"/>
              </w:rPr>
              <w:t>Estate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ural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Estate</w:t>
            </w:r>
          </w:p>
        </w:tc>
        <w:tc>
          <w:tcPr>
            <w:tcW w:w="140" w:type="dxa"/>
            <w:vAlign w:val="bottom"/>
          </w:tcPr>
          <w:p>
            <w:pPr>
              <w:spacing w:after="0"/>
              <w:rPr>
                <w:sz w:val="20"/>
                <w:szCs w:val="20"/>
                <w:color w:val="auto"/>
              </w:rPr>
            </w:pPr>
          </w:p>
        </w:tc>
        <w:tc>
          <w:tcPr>
            <w:tcW w:w="540" w:type="dxa"/>
            <w:vAlign w:val="bottom"/>
          </w:tcPr>
          <w:p>
            <w:pPr>
              <w:jc w:val="center"/>
              <w:ind w:right="50"/>
              <w:spacing w:after="0"/>
              <w:rPr>
                <w:sz w:val="20"/>
                <w:szCs w:val="20"/>
                <w:color w:val="auto"/>
              </w:rPr>
            </w:pPr>
            <w:r>
              <w:rPr>
                <w:rFonts w:ascii="Arial" w:cs="Arial" w:eastAsia="Arial" w:hAnsi="Arial"/>
                <w:sz w:val="18"/>
                <w:szCs w:val="18"/>
                <w:color w:val="auto"/>
                <w:w w:val="98"/>
              </w:rPr>
              <w:t>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9,912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5,857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6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33,671</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370,035</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67,506</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10,921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600" w:type="dxa"/>
            <w:vAlign w:val="bottom"/>
          </w:tcPr>
          <w:p>
            <w:pPr>
              <w:jc w:val="center"/>
              <w:ind w:right="1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146,143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737,745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167,291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18,897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6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9,751</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600" w:type="dxa"/>
            <w:vAlign w:val="bottom"/>
          </w:tcPr>
          <w:p>
            <w:pPr>
              <w:jc w:val="center"/>
              <w:ind w:right="1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6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600" w:type="dxa"/>
            <w:vAlign w:val="bottom"/>
          </w:tcPr>
          <w:p>
            <w:pPr>
              <w:jc w:val="center"/>
              <w:ind w:right="10"/>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9"/>
        </w:trPr>
        <w:tc>
          <w:tcPr>
            <w:tcW w:w="1700" w:type="dxa"/>
            <w:vAlign w:val="bottom"/>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1,150,5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84"/>
        </w:trPr>
        <w:tc>
          <w:tcPr>
            <w:tcW w:w="1700" w:type="dxa"/>
            <w:vAlign w:val="bottom"/>
          </w:tcPr>
          <w:p>
            <w:pPr>
              <w:spacing w:after="0"/>
              <w:rPr>
                <w:sz w:val="24"/>
                <w:szCs w:val="24"/>
                <w:color w:val="auto"/>
              </w:rPr>
            </w:pPr>
          </w:p>
        </w:tc>
        <w:tc>
          <w:tcPr>
            <w:tcW w:w="3600" w:type="dxa"/>
            <w:vAlign w:val="bottom"/>
            <w:shd w:val="clear" w:color="auto" w:fill="CFF0FC"/>
          </w:tcPr>
          <w:p>
            <w:pPr>
              <w:ind w:left="15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220,514</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128,926</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$242,301</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29,818</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1"/>
        </w:trPr>
        <w:tc>
          <w:tcPr>
            <w:tcW w:w="1700" w:type="dxa"/>
            <w:vAlign w:val="bottom"/>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-453390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-436245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-453390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-436245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-453390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-436245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-453390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-436245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-436245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December 31,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(In Thousands)</w:t>
            </w: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color w:val="auto"/>
                <w:w w:val="89"/>
              </w:rPr>
              <w:t>Consumer</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8"/>
              </w:rPr>
              <w:t>Real Estate</w:t>
            </w:r>
          </w:p>
        </w:tc>
        <w:tc>
          <w:tcPr>
            <w:tcW w:w="168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color w:val="auto"/>
                <w:w w:val="90"/>
              </w:rPr>
              <w:t>December 31,</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2022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2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Pass (1-4)</w:t>
            </w:r>
          </w:p>
        </w:tc>
        <w:tc>
          <w:tcPr>
            <w:tcW w:w="2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492,575</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Special Mention (5)</w:t>
            </w:r>
          </w:p>
        </w:tc>
        <w:tc>
          <w:tcPr>
            <w:tcW w:w="2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Substandard (6)</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1,172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Doubtful (7)</w:t>
            </w:r>
          </w:p>
        </w:tc>
        <w:tc>
          <w:tcPr>
            <w:tcW w:w="23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380" w:type="dxa"/>
            <w:vAlign w:val="bottom"/>
          </w:tcPr>
          <w:p>
            <w:pPr>
              <w:ind w:left="2560"/>
              <w:spacing w:after="0"/>
              <w:rPr>
                <w:sz w:val="20"/>
                <w:szCs w:val="20"/>
                <w:color w:val="auto"/>
              </w:rPr>
            </w:pPr>
            <w:r>
              <w:rPr>
                <w:rFonts w:ascii="Arial" w:cs="Arial" w:eastAsia="Arial" w:hAnsi="Arial"/>
                <w:sz w:val="18"/>
                <w:szCs w:val="18"/>
                <w:color w:val="auto"/>
              </w:rPr>
              <w:t>Total</w:t>
            </w:r>
          </w:p>
        </w:tc>
        <w:tc>
          <w:tcPr>
            <w:tcW w:w="2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494,423</w:t>
            </w: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(In Thousands)</w:t>
            </w:r>
          </w:p>
        </w:tc>
        <w:tc>
          <w:tcPr>
            <w:tcW w:w="1680" w:type="dxa"/>
            <w:vAlign w:val="bottom"/>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Consumer</w:t>
            </w: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ind w:right="230"/>
              <w:spacing w:after="0"/>
              <w:rPr>
                <w:sz w:val="20"/>
                <w:szCs w:val="20"/>
                <w:color w:val="auto"/>
              </w:rPr>
            </w:pPr>
            <w:r>
              <w:rPr>
                <w:rFonts w:ascii="Arial" w:cs="Arial" w:eastAsia="Arial" w:hAnsi="Arial"/>
                <w:sz w:val="18"/>
                <w:szCs w:val="18"/>
                <w:color w:val="auto"/>
                <w:w w:val="88"/>
              </w:rPr>
              <w:t>December 31,</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2022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440" w:type="dxa"/>
            <w:vAlign w:val="bottom"/>
            <w:gridSpan w:val="2"/>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89,853</w:t>
            </w: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Nonperforming</w:t>
            </w: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80" w:type="dxa"/>
            <w:vAlign w:val="bottom"/>
          </w:tcPr>
          <w:p>
            <w:pPr>
              <w:spacing w:after="0"/>
              <w:rPr>
                <w:sz w:val="21"/>
                <w:szCs w:val="21"/>
                <w:color w:val="auto"/>
              </w:rPr>
            </w:pPr>
          </w:p>
        </w:tc>
      </w:tr>
      <w:tr>
        <w:trPr>
          <w:trHeight w:val="277"/>
        </w:trPr>
        <w:tc>
          <w:tcPr>
            <w:tcW w:w="1700" w:type="dxa"/>
            <w:vAlign w:val="bottom"/>
          </w:tcPr>
          <w:p>
            <w:pPr>
              <w:spacing w:after="0"/>
              <w:rPr>
                <w:sz w:val="24"/>
                <w:szCs w:val="24"/>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89,894</w:t>
            </w:r>
          </w:p>
        </w:tc>
        <w:tc>
          <w:tcPr>
            <w:tcW w:w="1680" w:type="dxa"/>
            <w:vAlign w:val="bottom"/>
          </w:tcPr>
          <w:p>
            <w:pPr>
              <w:spacing w:after="0"/>
              <w:rPr>
                <w:sz w:val="24"/>
                <w:szCs w:val="24"/>
                <w:color w:val="auto"/>
              </w:rPr>
            </w:pPr>
          </w:p>
        </w:tc>
      </w:tr>
      <w:tr>
        <w:trPr>
          <w:trHeight w:val="520"/>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60" w:type="dxa"/>
            <w:vAlign w:val="bottom"/>
          </w:tcPr>
          <w:p>
            <w:pPr>
              <w:jc w:val="right"/>
              <w:ind w:right="163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reflects loan balances as of September 30, 2023 based on year of origination: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3"/>
              </w:rPr>
              <w:t>Revolving</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Loans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Amortize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1"/>
              </w:rPr>
              <w:t>Grand</w:t>
            </w:r>
          </w:p>
        </w:tc>
        <w:tc>
          <w:tcPr>
            <w:tcW w:w="100" w:type="dxa"/>
            <w:vAlign w:val="bottom"/>
          </w:tcPr>
          <w:p>
            <w:pPr>
              <w:spacing w:after="0"/>
              <w:rPr>
                <w:sz w:val="20"/>
                <w:szCs w:val="20"/>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w w:val="97"/>
              </w:rPr>
              <w:t>Cost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2023</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Prior</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Basis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60,417</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92,081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92,221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131,759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460,956</w:t>
            </w:r>
          </w:p>
        </w:tc>
        <w:tc>
          <w:tcPr>
            <w:tcW w:w="4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510,877</w:t>
            </w: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FF0FC"/>
          </w:tcPr>
          <w:p>
            <w:pPr>
              <w:spacing w:after="0"/>
              <w:rPr>
                <w:sz w:val="21"/>
                <w:szCs w:val="21"/>
                <w:color w:val="auto"/>
              </w:rPr>
            </w:pPr>
          </w:p>
        </w:tc>
      </w:tr>
      <w:tr>
        <w:trPr>
          <w:trHeight w:val="243"/>
        </w:trPr>
        <w:tc>
          <w:tcPr>
            <w:tcW w:w="248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w w:val="95"/>
              </w:rPr>
              <w:t>Total Consumer Real 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60,417</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92,121</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92,861</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84,478</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133,164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463,041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512,990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480" w:type="dxa"/>
            <w:vAlign w:val="bottom"/>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24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39,508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25,649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26,348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203,552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203,649</w:t>
            </w: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12,196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16,149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20"/>
                <w:szCs w:val="20"/>
                <w:color w:val="auto"/>
              </w:rPr>
            </w:pPr>
          </w:p>
        </w:tc>
      </w:tr>
      <w:tr>
        <w:trPr>
          <w:trHeight w:val="249"/>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640" w:type="dxa"/>
            <w:vAlign w:val="bottom"/>
            <w:gridSpan w:val="2"/>
          </w:tcPr>
          <w:p>
            <w:pPr>
              <w:ind w:left="300"/>
              <w:spacing w:after="0" w:line="236" w:lineRule="exact"/>
              <w:rPr>
                <w:sz w:val="20"/>
                <w:szCs w:val="20"/>
                <w:color w:val="auto"/>
              </w:rPr>
            </w:pPr>
            <w:r>
              <w:rPr>
                <w:rFonts w:ascii="Arial" w:cs="Arial" w:eastAsia="Arial" w:hAnsi="Arial"/>
                <w:sz w:val="15"/>
                <w:szCs w:val="15"/>
                <w:color w:val="auto"/>
              </w:rPr>
              <w:t xml:space="preserve">Total Agricultural Real Estate </w:t>
            </w:r>
            <w:r>
              <w:rPr>
                <w:rFonts w:ascii="Arial" w:cs="Arial" w:eastAsia="Arial" w:hAnsi="Arial"/>
                <w:sz w:val="27"/>
                <w:szCs w:val="27"/>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39,757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37,861</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225,273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225,370</w:t>
            </w:r>
          </w:p>
        </w:tc>
        <w:tc>
          <w:tcPr>
            <w:tcW w:w="100" w:type="dxa"/>
            <w:vAlign w:val="bottom"/>
          </w:tcPr>
          <w:p>
            <w:pPr>
              <w:spacing w:after="0"/>
              <w:rPr>
                <w:sz w:val="20"/>
                <w:szCs w:val="20"/>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7"/>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15,439</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58,712</w:t>
            </w:r>
          </w:p>
        </w:tc>
        <w:tc>
          <w:tcPr>
            <w:tcW w:w="4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118,222</w:t>
            </w:r>
          </w:p>
        </w:tc>
        <w:tc>
          <w:tcPr>
            <w:tcW w:w="100" w:type="dxa"/>
            <w:vAlign w:val="bottom"/>
            <w:shd w:val="clear" w:color="auto" w:fill="CFF0FC"/>
          </w:tcPr>
          <w:p>
            <w:pPr>
              <w:spacing w:after="0"/>
              <w:rPr>
                <w:sz w:val="21"/>
                <w:szCs w:val="2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FF0FC"/>
          </w:tcPr>
          <w:p>
            <w:pPr>
              <w:spacing w:after="0"/>
              <w:rPr>
                <w:sz w:val="21"/>
                <w:szCs w:val="21"/>
                <w:color w:val="auto"/>
              </w:rPr>
            </w:pPr>
          </w:p>
        </w:tc>
      </w:tr>
      <w:tr>
        <w:trPr>
          <w:trHeight w:val="243"/>
        </w:trPr>
        <w:tc>
          <w:tcPr>
            <w:tcW w:w="248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15,955</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6,067</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62,963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123,971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480" w:type="dxa"/>
            <w:vAlign w:val="bottom"/>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750"/>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-3608070</wp:posOffset>
            </wp:positionV>
            <wp:extent cx="504888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48885" cy="18859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-2339340</wp:posOffset>
            </wp:positionV>
            <wp:extent cx="7747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-2339340</wp:posOffset>
            </wp:positionV>
            <wp:extent cx="7683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-2339340</wp:posOffset>
            </wp:positionV>
            <wp:extent cx="7747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-2339340</wp:posOffset>
            </wp:positionV>
            <wp:extent cx="7747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-2339340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-2339340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-2339340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-1996440</wp:posOffset>
            </wp:positionV>
            <wp:extent cx="7747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-1996440</wp:posOffset>
            </wp:positionV>
            <wp:extent cx="76835"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-1996440</wp:posOffset>
            </wp:positionV>
            <wp:extent cx="7747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-1996440</wp:posOffset>
            </wp:positionV>
            <wp:extent cx="7747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-1996440</wp:posOffset>
            </wp:positionV>
            <wp:extent cx="6858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-1996440</wp:posOffset>
            </wp:positionV>
            <wp:extent cx="68580"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-1996440</wp:posOffset>
            </wp:positionV>
            <wp:extent cx="6858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-745490</wp:posOffset>
            </wp:positionV>
            <wp:extent cx="504888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4888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280" w:type="dxa"/>
            <w:vAlign w:val="bottom"/>
            <w:gridSpan w:val="17"/>
          </w:tcPr>
          <w:p>
            <w:pPr>
              <w:spacing w:after="0"/>
              <w:rPr>
                <w:sz w:val="20"/>
                <w:szCs w:val="20"/>
                <w:color w:val="auto"/>
              </w:rPr>
            </w:pPr>
            <w:r>
              <w:rPr>
                <w:rFonts w:ascii="Arial" w:cs="Arial" w:eastAsia="Arial" w:hAnsi="Arial"/>
                <w:sz w:val="18"/>
                <w:szCs w:val="18"/>
                <w:color w:val="auto"/>
                <w:w w:val="96"/>
              </w:rPr>
              <w:t>ITEM 1 NOTES TO CONDENSED CONSOLIDATED UNAUDITED FINANCIAL STATEMENTS (Continued)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3"/>
              </w:rPr>
              <w:t>Revolving</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5"/>
              </w:rPr>
              <w:t>Amortize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95"/>
              </w:rPr>
              <w:t>Grand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w w:val="97"/>
              </w:rPr>
              <w:t>Cost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Prior</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Basis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4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1,243,55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1,243,55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159,888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448,961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252,124</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127,752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254,825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10,944</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1,301,61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1,301,61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40" w:type="dxa"/>
            <w:vAlign w:val="bottom"/>
            <w:gridSpan w:val="2"/>
          </w:tcPr>
          <w:p>
            <w:pPr>
              <w:ind w:left="300"/>
              <w:spacing w:after="0" w:line="243" w:lineRule="exact"/>
              <w:rPr>
                <w:sz w:val="20"/>
                <w:szCs w:val="20"/>
                <w:color w:val="auto"/>
              </w:rPr>
            </w:pPr>
            <w:r>
              <w:rPr>
                <w:rFonts w:ascii="Arial" w:cs="Arial" w:eastAsia="Arial" w:hAnsi="Arial"/>
                <w:sz w:val="15"/>
                <w:szCs w:val="15"/>
                <w:color w:val="auto"/>
              </w:rPr>
              <w:t xml:space="preserve">Total Commercial Real Estate </w:t>
            </w:r>
            <w:r>
              <w:rPr>
                <w:rFonts w:ascii="Arial" w:cs="Arial" w:eastAsia="Arial" w:hAnsi="Arial"/>
                <w:sz w:val="28"/>
                <w:szCs w:val="28"/>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193,906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448,961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252,124</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138,771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267,852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45,543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26,541</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152,609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93,655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246,264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300"/>
              <w:spacing w:after="0"/>
              <w:rPr>
                <w:sz w:val="20"/>
                <w:szCs w:val="20"/>
                <w:color w:val="auto"/>
              </w:rPr>
            </w:pPr>
            <w:r>
              <w:rPr>
                <w:rFonts w:ascii="Arial" w:cs="Arial" w:eastAsia="Arial" w:hAnsi="Arial"/>
                <w:sz w:val="18"/>
                <w:szCs w:val="18"/>
                <w:color w:val="auto"/>
              </w:rPr>
              <w:t>Total Commercial &amp;</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45,732</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55,084</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26,757</w:t>
            </w:r>
          </w:p>
        </w:tc>
        <w:tc>
          <w:tcPr>
            <w:tcW w:w="34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23,048</w:t>
            </w:r>
          </w:p>
        </w:tc>
        <w:tc>
          <w:tcPr>
            <w:tcW w:w="32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4,660</w:t>
            </w:r>
          </w:p>
        </w:tc>
        <w:tc>
          <w:tcPr>
            <w:tcW w:w="30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155,281</w:t>
            </w:r>
          </w:p>
        </w:tc>
        <w:tc>
          <w:tcPr>
            <w:tcW w:w="320" w:type="dxa"/>
            <w:vAlign w:val="bottom"/>
            <w:vMerge w:val="restart"/>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95,469</w:t>
            </w:r>
          </w:p>
        </w:tc>
        <w:tc>
          <w:tcPr>
            <w:tcW w:w="30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8"/>
              </w:rPr>
              <w:t>250,750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Pr>
          <w:p>
            <w:pPr>
              <w:ind w:left="300"/>
              <w:spacing w:after="0" w:line="203" w:lineRule="exact"/>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31,089</w:t>
            </w:r>
          </w:p>
        </w:tc>
        <w:tc>
          <w:tcPr>
            <w:tcW w:w="4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-3728085</wp:posOffset>
            </wp:positionV>
            <wp:extent cx="77470" cy="325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-3728085</wp:posOffset>
            </wp:positionV>
            <wp:extent cx="76835" cy="3257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-3728085</wp:posOffset>
            </wp:positionV>
            <wp:extent cx="77470" cy="3257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-3728085</wp:posOffset>
            </wp:positionV>
            <wp:extent cx="77470" cy="3257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-3728085</wp:posOffset>
            </wp:positionV>
            <wp:extent cx="68580" cy="3257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-3728085</wp:posOffset>
            </wp:positionV>
            <wp:extent cx="68580" cy="3257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-3728085</wp:posOffset>
            </wp:positionV>
            <wp:extent cx="68580" cy="3257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3257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-3248025</wp:posOffset>
            </wp:positionV>
            <wp:extent cx="77470"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-3248025</wp:posOffset>
            </wp:positionV>
            <wp:extent cx="76835"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-3248025</wp:posOffset>
            </wp:positionV>
            <wp:extent cx="7747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-3248025</wp:posOffset>
            </wp:positionV>
            <wp:extent cx="7747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-3248025</wp:posOffset>
            </wp:positionV>
            <wp:extent cx="6858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-3248025</wp:posOffset>
            </wp:positionV>
            <wp:extent cx="6858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-3248025</wp:posOffset>
            </wp:positionV>
            <wp:extent cx="6858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-2313940</wp:posOffset>
            </wp:positionV>
            <wp:extent cx="77470" cy="300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-2313940</wp:posOffset>
            </wp:positionV>
            <wp:extent cx="76835" cy="300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-2313940</wp:posOffset>
            </wp:positionV>
            <wp:extent cx="77470" cy="3003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-2313940</wp:posOffset>
            </wp:positionV>
            <wp:extent cx="77470" cy="300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-2313940</wp:posOffset>
            </wp:positionV>
            <wp:extent cx="68580" cy="3003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-2313940</wp:posOffset>
            </wp:positionV>
            <wp:extent cx="68580" cy="3003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-2313940</wp:posOffset>
            </wp:positionV>
            <wp:extent cx="68580" cy="3003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3003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-1859280</wp:posOffset>
            </wp:positionV>
            <wp:extent cx="7747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-1859280</wp:posOffset>
            </wp:positionV>
            <wp:extent cx="7683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-1859280</wp:posOffset>
            </wp:positionV>
            <wp:extent cx="77470"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-1859280</wp:posOffset>
            </wp:positionV>
            <wp:extent cx="7747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-1859280</wp:posOffset>
            </wp:positionV>
            <wp:extent cx="6858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-1859280</wp:posOffset>
            </wp:positionV>
            <wp:extent cx="6858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-1859280</wp:posOffset>
            </wp:positionV>
            <wp:extent cx="6858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-607695</wp:posOffset>
            </wp:positionV>
            <wp:extent cx="5048885"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4888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payment performance as of September 30, 2023 by year of origination: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Revolvin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g</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Loans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Amortize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5"/>
              </w:rPr>
              <w:t>Term</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1"/>
              </w:rPr>
              <w:t>Grand</w:t>
            </w:r>
          </w:p>
        </w:tc>
        <w:tc>
          <w:tcPr>
            <w:tcW w:w="100" w:type="dxa"/>
            <w:vAlign w:val="bottom"/>
          </w:tcPr>
          <w:p>
            <w:pPr>
              <w:spacing w:after="0"/>
              <w:rPr>
                <w:sz w:val="20"/>
                <w:szCs w:val="20"/>
                <w:color w:val="auto"/>
              </w:rPr>
            </w:pPr>
          </w:p>
        </w:tc>
      </w:tr>
      <w:tr>
        <w:trPr>
          <w:trHeight w:val="229"/>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w w:val="91"/>
              </w:rPr>
              <w:t>Cost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2023</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2022</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2021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2020</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Prior</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Total</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Basis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580" w:type="dxa"/>
            <w:vAlign w:val="bottom"/>
          </w:tcPr>
          <w:p>
            <w:pPr>
              <w:ind w:left="120"/>
              <w:spacing w:after="0"/>
              <w:rPr>
                <w:sz w:val="20"/>
                <w:szCs w:val="20"/>
                <w:color w:val="auto"/>
              </w:rPr>
            </w:pPr>
            <w:r>
              <w:rPr>
                <w:rFonts w:ascii="Arial" w:cs="Arial" w:eastAsia="Arial" w:hAnsi="Arial"/>
                <w:sz w:val="18"/>
                <w:szCs w:val="18"/>
                <w:color w:val="auto"/>
              </w:rPr>
              <w:t>Payment Performance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18,585</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44,435</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83,815</w:t>
            </w:r>
          </w:p>
        </w:tc>
        <w:tc>
          <w:tcPr>
            <w:tcW w:w="100" w:type="dxa"/>
            <w:vAlign w:val="bottom"/>
            <w:shd w:val="clear" w:color="auto" w:fill="CFF0FC"/>
          </w:tcPr>
          <w:p>
            <w:pPr>
              <w:spacing w:after="0"/>
              <w:rPr>
                <w:sz w:val="21"/>
                <w:szCs w:val="21"/>
                <w:color w:val="auto"/>
              </w:rPr>
            </w:pPr>
          </w:p>
        </w:tc>
      </w:tr>
      <w:tr>
        <w:trPr>
          <w:trHeight w:val="243"/>
        </w:trPr>
        <w:tc>
          <w:tcPr>
            <w:tcW w:w="2580" w:type="dxa"/>
            <w:vAlign w:val="bottom"/>
          </w:tcPr>
          <w:p>
            <w:pPr>
              <w:ind w:left="200"/>
              <w:spacing w:after="0"/>
              <w:rPr>
                <w:sz w:val="20"/>
                <w:szCs w:val="20"/>
                <w:color w:val="auto"/>
              </w:rPr>
            </w:pPr>
            <w:r>
              <w:rPr>
                <w:rFonts w:ascii="Arial" w:cs="Arial" w:eastAsia="Arial" w:hAnsi="Arial"/>
                <w:sz w:val="18"/>
                <w:szCs w:val="18"/>
                <w:color w:val="auto"/>
              </w:rPr>
              <w:t>Nonperforming</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r>
      <w:tr>
        <w:trPr>
          <w:trHeight w:val="277"/>
        </w:trPr>
        <w:tc>
          <w:tcPr>
            <w:tcW w:w="2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Consumer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18,585</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44,435</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5,818</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83,776</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580" w:type="dxa"/>
            <w:vAlign w:val="bottom"/>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r>
      <w:tr>
        <w:trPr>
          <w:trHeight w:val="533"/>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-616585</wp:posOffset>
            </wp:positionV>
            <wp:extent cx="499745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9745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collateral-dependent loans grouped by collateral as of September 30,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20"/>
                <w:szCs w:val="20"/>
                <w:color w:val="auto"/>
              </w:rPr>
            </w:pPr>
          </w:p>
        </w:tc>
      </w:tr>
      <w:tr>
        <w:trPr>
          <w:trHeight w:val="230"/>
        </w:trPr>
        <w:tc>
          <w:tcPr>
            <w:tcW w:w="5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Pr>
          <w:p>
            <w:pPr>
              <w:jc w:val="center"/>
              <w:ind w:right="370"/>
              <w:spacing w:after="0"/>
              <w:rPr>
                <w:sz w:val="20"/>
                <w:szCs w:val="20"/>
                <w:color w:val="auto"/>
              </w:rPr>
            </w:pPr>
            <w:r>
              <w:rPr>
                <w:rFonts w:ascii="Arial" w:cs="Arial" w:eastAsia="Arial" w:hAnsi="Arial"/>
                <w:sz w:val="18"/>
                <w:szCs w:val="18"/>
                <w:color w:val="auto"/>
                <w:w w:val="91"/>
              </w:rPr>
              <w:t>Real</w:t>
            </w:r>
          </w:p>
        </w:tc>
        <w:tc>
          <w:tcPr>
            <w:tcW w:w="80" w:type="dxa"/>
            <w:vAlign w:val="bottom"/>
          </w:tcPr>
          <w:p>
            <w:pPr>
              <w:spacing w:after="0"/>
              <w:rPr>
                <w:sz w:val="20"/>
                <w:szCs w:val="20"/>
                <w:color w:val="auto"/>
              </w:rPr>
            </w:pPr>
          </w:p>
        </w:tc>
      </w:tr>
      <w:tr>
        <w:trPr>
          <w:trHeight w:val="249"/>
        </w:trPr>
        <w:tc>
          <w:tcPr>
            <w:tcW w:w="50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6"/>
              </w:rPr>
              <w:t>Estate</w:t>
            </w:r>
          </w:p>
        </w:tc>
        <w:tc>
          <w:tcPr>
            <w:tcW w:w="80" w:type="dxa"/>
            <w:vAlign w:val="bottom"/>
          </w:tcPr>
          <w:p>
            <w:pPr>
              <w:spacing w:after="0"/>
              <w:rPr>
                <w:sz w:val="21"/>
                <w:szCs w:val="2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46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46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Information about impaired loans as of December 31, 2022 and September 30, 2022 are presented for comparison purposes and are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(In Thousands)</w:t>
            </w:r>
          </w:p>
        </w:tc>
        <w:tc>
          <w:tcPr>
            <w:tcW w:w="880" w:type="dxa"/>
            <w:vAlign w:val="bottom"/>
            <w:tcBorders>
              <w:bottom w:val="single" w:sz="8" w:color="auto"/>
            </w:tcBorders>
          </w:tcPr>
          <w:p>
            <w:pPr>
              <w:spacing w:after="0"/>
              <w:rPr>
                <w:sz w:val="20"/>
                <w:szCs w:val="20"/>
                <w:color w:val="auto"/>
              </w:rPr>
            </w:pPr>
          </w:p>
        </w:tc>
      </w:tr>
      <w:tr>
        <w:trPr>
          <w:trHeight w:val="237"/>
        </w:trPr>
        <w:tc>
          <w:tcPr>
            <w:tcW w:w="564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December 31, 2022</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September 30, 2022</w:t>
            </w:r>
          </w:p>
        </w:tc>
      </w:tr>
      <w:tr>
        <w:trPr>
          <w:trHeight w:val="243"/>
        </w:trPr>
        <w:tc>
          <w:tcPr>
            <w:tcW w:w="5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4,194</w:t>
            </w:r>
          </w:p>
        </w:tc>
        <w:tc>
          <w:tcPr>
            <w:tcW w:w="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5,835</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4,663</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4,918</w:t>
            </w:r>
          </w:p>
        </w:tc>
      </w:tr>
      <w:tr>
        <w:trPr>
          <w:trHeight w:val="276"/>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8,857</w:t>
            </w:r>
          </w:p>
        </w:tc>
        <w:tc>
          <w:tcPr>
            <w:tcW w:w="1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10,753</w:t>
            </w: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Valuation allowance related to impaired loans</w:t>
            </w: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2,436</w:t>
            </w:r>
          </w:p>
        </w:tc>
      </w:tr>
      <w:tr>
        <w:trPr>
          <w:trHeight w:val="20"/>
        </w:trPr>
        <w:tc>
          <w:tcPr>
            <w:tcW w:w="5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4,689</w:t>
            </w:r>
          </w:p>
        </w:tc>
        <w:tc>
          <w:tcPr>
            <w:tcW w:w="1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5,470</w:t>
            </w:r>
          </w:p>
        </w:tc>
      </w:tr>
      <w:tr>
        <w:trPr>
          <w:trHeight w:val="202"/>
        </w:trPr>
        <w:tc>
          <w:tcPr>
            <w:tcW w:w="5640" w:type="dxa"/>
            <w:vAlign w:val="bottom"/>
          </w:tcPr>
          <w:p>
            <w:pPr>
              <w:spacing w:after="0" w:line="202" w:lineRule="exact"/>
              <w:rPr>
                <w:sz w:val="20"/>
                <w:szCs w:val="20"/>
                <w:color w:val="auto"/>
              </w:rPr>
            </w:pPr>
            <w:r>
              <w:rPr>
                <w:rFonts w:ascii="Arial" w:cs="Arial" w:eastAsia="Arial" w:hAnsi="Arial"/>
                <w:sz w:val="18"/>
                <w:szCs w:val="18"/>
                <w:color w:val="auto"/>
              </w:rPr>
              <w:t>Total loans past-due ninety days or more and</w:t>
            </w: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5640" w:type="dxa"/>
            <w:vAlign w:val="bottom"/>
          </w:tcPr>
          <w:p>
            <w:pPr>
              <w:ind w:left="140"/>
              <w:spacing w:after="0"/>
              <w:rPr>
                <w:sz w:val="20"/>
                <w:szCs w:val="20"/>
                <w:color w:val="auto"/>
              </w:rPr>
            </w:pPr>
            <w:r>
              <w:rPr>
                <w:rFonts w:ascii="Arial" w:cs="Arial" w:eastAsia="Arial" w:hAnsi="Arial"/>
                <w:sz w:val="18"/>
                <w:szCs w:val="18"/>
                <w:color w:val="auto"/>
              </w:rPr>
              <w:t>still accruing</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44"/>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9,660</w:t>
            </w:r>
          </w:p>
        </w:tc>
        <w:tc>
          <w:tcPr>
            <w:tcW w:w="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10,662</w:t>
            </w:r>
          </w:p>
        </w:tc>
      </w:tr>
      <w:tr>
        <w:trPr>
          <w:trHeight w:val="215"/>
        </w:trPr>
        <w:tc>
          <w:tcPr>
            <w:tcW w:w="564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loans</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10,710</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-1250950</wp:posOffset>
            </wp:positionV>
            <wp:extent cx="93980" cy="2057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-890905</wp:posOffset>
            </wp:positionV>
            <wp:extent cx="93980" cy="317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317500"/>
                    </a:xfrm>
                    <a:prstGeom prst="rect">
                      <a:avLst/>
                    </a:prstGeom>
                    <a:noFill/>
                  </pic:spPr>
                </pic:pic>
              </a:graphicData>
            </a:graphic>
          </wp:anchor>
        </w:drawing>
      </w:r>
    </w:p>
    <w:p>
      <w:pPr>
        <w:spacing w:after="0" w:line="37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had approximately $3.6 million of its impaired loans classified as troubled debt restructured (TDR) as of December 31, 2022 and $4.0 million as of September 30, 2022.</w:t>
      </w:r>
    </w:p>
    <w:p>
      <w:pPr>
        <w:spacing w:after="0" w:line="170"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Under ASC 310-40, TDRs were eliminated from being classified as such for 2023 and will no longer be reported as such. Modification programs focus on payment pattern changes and/or modified maturity dates with most receiving a combination of the two concessions. The modifications did not result in the contractual forgiveness of principal. During the three months ended September 30, 2023, there were no new modifications to borrowers experiencing financial difficulty. During the third quarter of 2022, three new loans were considered TDR as a result of the continuance of interest only payment modifications. These three loans stemmed from a single relationship with a borrower.</w:t>
      </w:r>
    </w:p>
    <w:p>
      <w:pPr>
        <w:spacing w:after="0" w:line="176"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the three months ended September 30, 2023 and 2022, there were no modifications to borrowers experiencing financial difficulty that subsequently defaulted after modification.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For the majority of the Bank’s impaired loans, the Bank applied the fair value of collateral or used a measurement incorporating the present value of expected future cash flows discounted at the loan’s effective rate of interest. To determine fair value of collateral, collateral asset values securing an impaired loan were periodically evaluated.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47"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Bank used the following guidelines as stated in policy to determine when to realize a charge-off, whether a partial or full loan balance. A charge-off in whole or in part was realized when unsecured consumer loans, credit card credits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5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and nine months ended September 30, 2022 and for the year ended December 31, 2022.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4"/>
              </w:rPr>
              <w:t>QTD</w:t>
            </w:r>
          </w:p>
        </w:tc>
        <w:tc>
          <w:tcPr>
            <w:tcW w:w="100" w:type="dxa"/>
            <w:vAlign w:val="bottom"/>
          </w:tcPr>
          <w:p>
            <w:pPr>
              <w:spacing w:after="0"/>
              <w:rPr>
                <w:sz w:val="20"/>
                <w:szCs w:val="20"/>
                <w:color w:val="auto"/>
              </w:rPr>
            </w:pPr>
          </w:p>
        </w:tc>
      </w:tr>
      <w:tr>
        <w:trPr>
          <w:trHeight w:val="242"/>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4"/>
              </w:rPr>
              <w:t>QTD</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9"/>
              </w:rPr>
              <w:t>QTD</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Three Months Ended September 30, 2022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Unpaid</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4"/>
              </w:rPr>
              <w:t>Recorded</w:t>
            </w: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2"/>
              </w:rPr>
              <w:t>Principal</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Related</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7"/>
              </w:rPr>
              <w:t>Recorded</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Income</w:t>
            </w:r>
          </w:p>
        </w:tc>
        <w:tc>
          <w:tcPr>
            <w:tcW w:w="140" w:type="dxa"/>
            <w:vAlign w:val="bottom"/>
            <w:tcBorders>
              <w:right w:val="single" w:sz="8" w:color="auto"/>
            </w:tcBorders>
          </w:tcPr>
          <w:p>
            <w:pPr>
              <w:spacing w:after="0"/>
              <w:rPr>
                <w:sz w:val="21"/>
                <w:szCs w:val="21"/>
                <w:color w:val="auto"/>
              </w:rPr>
            </w:pP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1"/>
                <w:szCs w:val="21"/>
                <w:color w:val="auto"/>
              </w:rPr>
            </w:pPr>
          </w:p>
        </w:tc>
      </w:tr>
      <w:tr>
        <w:trPr>
          <w:trHeight w:val="250"/>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1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Allowance</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Borders>
              <w:right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Recognized</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Cash Basis</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2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-1165225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-1148080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-1165225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-1148080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-1165225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-1148080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-1165225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-1148080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-1165225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-1148080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-805180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-788035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-805180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-788035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-805180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-788035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-805180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-788035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-805180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-788035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-445135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-427990</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-445135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-427990</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-445135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-427990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-445135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-427990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-445135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-427990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8600" w:type="dxa"/>
            <w:vAlign w:val="bottom"/>
            <w:gridSpan w:val="12"/>
          </w:tcPr>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52"/>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9"/>
              </w:rPr>
              <w:t>YTD</w:t>
            </w:r>
          </w:p>
        </w:tc>
        <w:tc>
          <w:tcPr>
            <w:tcW w:w="100" w:type="dxa"/>
            <w:vAlign w:val="bottom"/>
          </w:tcPr>
          <w:p>
            <w:pPr>
              <w:spacing w:after="0"/>
              <w:rPr>
                <w:sz w:val="20"/>
                <w:szCs w:val="20"/>
                <w:color w:val="auto"/>
              </w:rPr>
            </w:pPr>
          </w:p>
        </w:tc>
      </w:tr>
      <w:tr>
        <w:trPr>
          <w:trHeight w:val="242"/>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9"/>
              </w:rPr>
              <w:t>YTD</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rPr>
              <w:t>YTD</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1"/>
                <w:szCs w:val="2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Nine Months Ended September 30, 2022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Unpaid</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4"/>
              </w:rPr>
              <w:t>Recorded</w:t>
            </w: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2"/>
              </w:rPr>
              <w:t>Principal</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Related</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7"/>
              </w:rPr>
              <w:t>Recorded</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Income</w:t>
            </w:r>
          </w:p>
        </w:tc>
        <w:tc>
          <w:tcPr>
            <w:tcW w:w="140" w:type="dxa"/>
            <w:vAlign w:val="bottom"/>
            <w:tcBorders>
              <w:right w:val="single" w:sz="8" w:color="auto"/>
            </w:tcBorders>
          </w:tcPr>
          <w:p>
            <w:pPr>
              <w:spacing w:after="0"/>
              <w:rPr>
                <w:sz w:val="21"/>
                <w:szCs w:val="21"/>
                <w:color w:val="auto"/>
              </w:rPr>
            </w:pP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1"/>
                <w:szCs w:val="21"/>
                <w:color w:val="auto"/>
              </w:rPr>
            </w:pPr>
          </w:p>
        </w:tc>
      </w:tr>
      <w:tr>
        <w:trPr>
          <w:trHeight w:val="250"/>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1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Allowance</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Borders>
              <w:right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Recognized</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Cash Basis</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right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2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-1165225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-1148080</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-1165225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-1148080</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-1165225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-1148080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-1165225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-1148080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-1165225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-1148080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-805180</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-788035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-805180</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-788035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-805180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-788035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-805180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-788035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-805180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-788035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-445135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-427990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-445135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-427990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-445135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-427990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-445135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-427990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-445135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-427990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8600" w:type="dxa"/>
            <w:vAlign w:val="bottom"/>
            <w:gridSpan w:val="12"/>
          </w:tcPr>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52"/>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r>
      <w:tr>
        <w:trPr>
          <w:trHeight w:val="242"/>
        </w:trPr>
        <w:tc>
          <w:tcPr>
            <w:tcW w:w="366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Unpaid</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6"/>
              </w:rPr>
              <w:t>Interest</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4"/>
              </w:rPr>
              <w:t>Recorded</w:t>
            </w: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2"/>
              </w:rPr>
              <w:t>Principal</w:t>
            </w:r>
          </w:p>
        </w:tc>
        <w:tc>
          <w:tcPr>
            <w:tcW w:w="1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Related</w:t>
            </w: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7"/>
              </w:rPr>
              <w:t>Recorded</w:t>
            </w:r>
          </w:p>
        </w:tc>
        <w:tc>
          <w:tcPr>
            <w:tcW w:w="1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8"/>
              </w:rPr>
              <w:t>Income</w:t>
            </w:r>
          </w:p>
        </w:tc>
        <w:tc>
          <w:tcPr>
            <w:tcW w:w="140" w:type="dxa"/>
            <w:vAlign w:val="bottom"/>
            <w:tcBorders>
              <w:right w:val="single" w:sz="8" w:color="auto"/>
            </w:tcBorders>
          </w:tcPr>
          <w:p>
            <w:pPr>
              <w:spacing w:after="0"/>
              <w:rPr>
                <w:sz w:val="21"/>
                <w:szCs w:val="21"/>
                <w:color w:val="auto"/>
              </w:rPr>
            </w:pP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1"/>
                <w:szCs w:val="21"/>
                <w:color w:val="auto"/>
              </w:rPr>
            </w:pPr>
          </w:p>
        </w:tc>
      </w:tr>
      <w:tr>
        <w:trPr>
          <w:trHeight w:val="250"/>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1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Allowance</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20" w:type="dxa"/>
            <w:vAlign w:val="bottom"/>
            <w:tcBorders>
              <w:right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Recognized</w:t>
            </w:r>
          </w:p>
        </w:tc>
        <w:tc>
          <w:tcPr>
            <w:tcW w:w="14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Cash Basis</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66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366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-744855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-728345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-744855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-728345</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-744855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-728345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-744855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-728345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-744855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-728345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-385445</wp:posOffset>
            </wp:positionV>
            <wp:extent cx="768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-367665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-385445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-367665</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-385445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-367665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-385445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-367665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-367665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-24765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As of September 30, 2023, the Company had no foreclosed residential real estate property obtained by physical possession and $92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or consumer mortgage loans secured by residential real estate properties for which foreclosure proceeding were in process according to local jurisdictions as of December 31, 2022. As of September 30, 2022, the Company had no foreclosed residential real estate property obtained by physical possession and $211 thousand of consumer mortgage loans secured by residential real estate properties for which foreclosure proceedings were in process according to local jurisdictions.</w:t>
      </w:r>
    </w:p>
    <w:p>
      <w:pPr>
        <w:spacing w:after="0" w:line="154"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for loan losses and unfunded commitment liability in the amount of $4.5 million, or $3.4 million, net of tax.</w:t>
      </w:r>
    </w:p>
    <w:p>
      <w:pPr>
        <w:spacing w:after="0" w:line="16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Allowance for Credit Losses (ACL) has a direct impact on the provision expense. An increase in the ACL is funded through recoveries and provision expense.</w:t>
      </w:r>
    </w:p>
    <w:p>
      <w:pPr>
        <w:spacing w:after="0" w:line="170"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allowance does not include an accretable yield of $4.6 million and $6.3 million as of September 30, 2023 and December 31, 2022, respectively, nor a nonaccretable yield of $138 thousand as of December 31, 2022, related to the acquisitions of Bank of Geneva in 2019 and Ossian State Bank and Perpetual Federal Savings Bank in 2021 and Peoples Federal Savings and Loan Bank in 2022 as previously discussed in Note 2.</w:t>
      </w:r>
    </w:p>
    <w:p>
      <w:pPr>
        <w:spacing w:after="0" w:line="146"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AULC is reported within other liabilities while the ACL portion associated with loans is netted within the loans, net asset line on the Company’s Condensed Consolidated Balance Sheets.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tables break down the activity within ACL for each loan portfolio classification and shows the contribution provided by both the recoveries and the provision along with the reduction of the allowance caused by charge-offs for the three and nine months ended September 30,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(In Thousands)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5"/>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3"/>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Consumer</w:t>
            </w:r>
          </w:p>
        </w:tc>
        <w:tc>
          <w:tcPr>
            <w:tcW w:w="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20" w:type="dxa"/>
            <w:vAlign w:val="bottom"/>
          </w:tcPr>
          <w:p>
            <w:pPr>
              <w:spacing w:after="0"/>
              <w:rPr>
                <w:sz w:val="20"/>
                <w:szCs w:val="20"/>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Real Estate</w:t>
            </w:r>
          </w:p>
        </w:tc>
        <w:tc>
          <w:tcPr>
            <w:tcW w:w="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Real Estate</w:t>
            </w:r>
          </w:p>
        </w:tc>
        <w:tc>
          <w:tcPr>
            <w:tcW w:w="1180" w:type="dxa"/>
            <w:vAlign w:val="bottom"/>
            <w:tcBorders>
              <w:bottom w:val="single" w:sz="8" w:color="auto"/>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Agricultural</w:t>
            </w:r>
          </w:p>
        </w:tc>
        <w:tc>
          <w:tcPr>
            <w:tcW w:w="12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5"/>
              </w:rPr>
              <w:t>Real Estate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5"/>
              </w:rPr>
              <w:t>Industrial</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6"/>
              </w:rPr>
              <w:t>Consumer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1"/>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September</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tcBorders>
              <w:right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30, 2023</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tcBorders>
              <w:right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3,998</w:t>
            </w:r>
          </w:p>
        </w:tc>
        <w:tc>
          <w:tcPr>
            <w:tcW w:w="60" w:type="dxa"/>
            <w:vAlign w:val="bottom"/>
            <w:tcBorders>
              <w:right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16,681</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24,910</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8"/>
                <w:szCs w:val="18"/>
                <w:color w:val="auto"/>
              </w:rPr>
              <w:t>Provision for credit losses - loans</w:t>
            </w: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(170 )</w:t>
            </w:r>
          </w:p>
        </w:tc>
        <w:tc>
          <w:tcPr>
            <w:tcW w:w="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r>
      <w:tr>
        <w:trPr>
          <w:trHeight w:val="249"/>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(148 )</w:t>
            </w: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(148 )</w:t>
            </w:r>
          </w:p>
        </w:tc>
      </w:tr>
      <w:tr>
        <w:trPr>
          <w:trHeight w:val="237"/>
        </w:trPr>
        <w:tc>
          <w:tcPr>
            <w:tcW w:w="29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20"/>
                <w:szCs w:val="20"/>
                <w:color w:val="auto"/>
              </w:rPr>
            </w:pPr>
          </w:p>
        </w:tc>
      </w:tr>
      <w:tr>
        <w:trPr>
          <w:trHeight w:val="283"/>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3,842</w:t>
            </w:r>
          </w:p>
        </w:tc>
        <w:tc>
          <w:tcPr>
            <w:tcW w:w="60" w:type="dxa"/>
            <w:vAlign w:val="bottom"/>
            <w:tcBorders>
              <w:bottom w:val="single" w:sz="8" w:color="auto"/>
              <w:right w:val="single" w:sz="8" w:color="auto"/>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auto"/>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16,805</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Borders>
              <w:bottom w:val="single" w:sz="8" w:color="auto"/>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tcBorders>
              <w:bottom w:val="single" w:sz="8" w:color="auto"/>
            </w:tcBorders>
            <w:shd w:val="clear" w:color="auto" w:fill="CFF0FC"/>
          </w:tcPr>
          <w:p>
            <w:pPr>
              <w:spacing w:after="0"/>
              <w:rPr>
                <w:sz w:val="24"/>
                <w:szCs w:val="24"/>
                <w:color w:val="auto"/>
              </w:rPr>
            </w:pPr>
          </w:p>
        </w:tc>
      </w:tr>
      <w:tr>
        <w:trPr>
          <w:trHeight w:val="433"/>
        </w:trPr>
        <w:tc>
          <w:tcPr>
            <w:tcW w:w="2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920" w:type="dxa"/>
            <w:vAlign w:val="bottom"/>
          </w:tcPr>
          <w:p>
            <w:pPr>
              <w:spacing w:after="0"/>
              <w:rPr>
                <w:sz w:val="18"/>
                <w:szCs w:val="18"/>
                <w:color w:val="auto"/>
              </w:rPr>
            </w:pPr>
          </w:p>
        </w:tc>
        <w:tc>
          <w:tcPr>
            <w:tcW w:w="9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3"/>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Real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3"/>
              </w:rPr>
              <w:t>Estate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Real Estate</w:t>
            </w:r>
          </w:p>
        </w:tc>
        <w:tc>
          <w:tcPr>
            <w:tcW w:w="11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5"/>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6"/>
              </w:rPr>
              <w:t>Consumer</w:t>
            </w:r>
          </w:p>
        </w:tc>
        <w:tc>
          <w:tcPr>
            <w:tcW w:w="26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1"/>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right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2023</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20,313</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8"/>
                <w:szCs w:val="18"/>
                <w:color w:val="auto"/>
              </w:rPr>
              <w:t>Adoption of ASU 2016-13</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(166 )</w:t>
            </w: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(2,165 )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r>
      <w:tr>
        <w:trPr>
          <w:trHeight w:val="249"/>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credit losses-loans</w:t>
            </w:r>
          </w:p>
        </w:tc>
        <w:tc>
          <w:tcPr>
            <w:tcW w:w="100" w:type="dxa"/>
            <w:vAlign w:val="bottom"/>
            <w:shd w:val="clear" w:color="auto" w:fill="CFF0FC"/>
          </w:tcPr>
          <w:p>
            <w:pPr>
              <w:spacing w:after="0"/>
              <w:rPr>
                <w:sz w:val="21"/>
                <w:szCs w:val="21"/>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(57 )</w:t>
            </w:r>
          </w:p>
        </w:tc>
        <w:tc>
          <w:tcPr>
            <w:tcW w:w="140" w:type="dxa"/>
            <w:vAlign w:val="bottom"/>
            <w:shd w:val="clear" w:color="auto" w:fill="CFF0FC"/>
          </w:tcPr>
          <w:p>
            <w:pPr>
              <w:spacing w:after="0"/>
              <w:rPr>
                <w:sz w:val="21"/>
                <w:szCs w:val="21"/>
                <w:color w:val="auto"/>
              </w:rPr>
            </w:pPr>
          </w:p>
        </w:tc>
        <w:tc>
          <w:tcPr>
            <w:tcW w:w="60" w:type="dxa"/>
            <w:vAlign w:val="bottom"/>
            <w:tcBorders>
              <w:righ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(527 )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(330 )</w:t>
            </w: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(330 )</w:t>
            </w:r>
          </w:p>
        </w:tc>
      </w:tr>
      <w:tr>
        <w:trPr>
          <w:trHeight w:val="249"/>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right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1"/>
                <w:szCs w:val="2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2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break down the activity in the AULC for the three and nine months ended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4"/>
              </w:rPr>
              <w:t>Loan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Commitment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60"/>
              <w:spacing w:after="0"/>
              <w:rPr>
                <w:sz w:val="20"/>
                <w:szCs w:val="20"/>
                <w:color w:val="auto"/>
              </w:rPr>
            </w:pPr>
            <w:r>
              <w:rPr>
                <w:rFonts w:ascii="Arial" w:cs="Arial" w:eastAsia="Arial" w:hAnsi="Arial"/>
                <w:sz w:val="18"/>
                <w:szCs w:val="18"/>
                <w:color w:val="auto"/>
                <w:w w:val="95"/>
              </w:rPr>
              <w:t>&amp; Letters of</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5"/>
              </w:rPr>
              <w:t>Credit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8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ALLOWANCE FOR UNFUNDED LOAN COMMITMENTS AND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LETTERS OF CREDIT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Provision for credit losses - off balance sheet credit exposures</w:t>
            </w:r>
          </w:p>
        </w:tc>
        <w:tc>
          <w:tcPr>
            <w:tcW w:w="1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61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9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7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4"/>
              </w:rPr>
              <w:t>Loan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Commitment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center"/>
              <w:ind w:right="1960"/>
              <w:spacing w:after="0"/>
              <w:rPr>
                <w:sz w:val="20"/>
                <w:szCs w:val="20"/>
                <w:color w:val="auto"/>
              </w:rPr>
            </w:pPr>
            <w:r>
              <w:rPr>
                <w:rFonts w:ascii="Arial" w:cs="Arial" w:eastAsia="Arial" w:hAnsi="Arial"/>
                <w:sz w:val="18"/>
                <w:szCs w:val="18"/>
                <w:color w:val="auto"/>
                <w:w w:val="95"/>
              </w:rPr>
              <w:t>&amp; Letters of</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center"/>
              <w:ind w:right="1940"/>
              <w:spacing w:after="0"/>
              <w:rPr>
                <w:sz w:val="20"/>
                <w:szCs w:val="20"/>
                <w:color w:val="auto"/>
              </w:rPr>
            </w:pPr>
            <w:r>
              <w:rPr>
                <w:rFonts w:ascii="Arial" w:cs="Arial" w:eastAsia="Arial" w:hAnsi="Arial"/>
                <w:sz w:val="18"/>
                <w:szCs w:val="18"/>
                <w:color w:val="auto"/>
                <w:w w:val="95"/>
              </w:rPr>
              <w:t>Credit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8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ALLOWANCE FOR UNFUNDED LOAN COMMITMENTS AND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LETTERS OF CREDIT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Adoption of ASU 2016-13</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61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Provision for credit losses-off balance sheet credit exposures</w:t>
            </w:r>
          </w:p>
        </w:tc>
        <w:tc>
          <w:tcPr>
            <w:tcW w:w="18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920" w:type="dxa"/>
            <w:vAlign w:val="bottom"/>
            <w:vMerge w:val="restart"/>
          </w:tcPr>
          <w:p>
            <w:pPr>
              <w:ind w:left="3840"/>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7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5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-2999740</wp:posOffset>
            </wp:positionV>
            <wp:extent cx="431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-2982595</wp:posOffset>
            </wp:positionV>
            <wp:extent cx="431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-3162935</wp:posOffset>
            </wp:positionV>
            <wp:extent cx="431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Additional analysis, presented in thousands, related to the ALLL for the three and nine months ended September 30, 2022 in addition to the ending balances, presented in thousands, as of December 31, 2022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Unfunded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Loan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3"/>
              </w:rPr>
              <w:t>Commit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7"/>
              </w:rPr>
              <w:t>Agricultur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2"/>
              </w:rPr>
              <w:t>Commerc</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2"/>
              </w:rPr>
              <w:t>Commerc</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9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5"/>
              </w:rPr>
              <w:t>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9"/>
              </w:rPr>
              <w:t>ial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ial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&amp; Letters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Real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w w:val="91"/>
              </w:rPr>
              <w:t>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Agricultur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86"/>
              </w:rPr>
              <w:t>Real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and</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0"/>
              </w:rPr>
              <w:t>Consume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Unallocat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al</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6"/>
              </w:rPr>
              <w:t>Estate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8"/>
              </w:rPr>
              <w:t>Industrial</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Credit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1"/>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20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49"/>
        </w:trPr>
        <w:tc>
          <w:tcPr>
            <w:tcW w:w="2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20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Non-interest expense</w:t>
            </w:r>
          </w:p>
        </w:tc>
        <w:tc>
          <w:tcPr>
            <w:tcW w:w="14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to unfunded</w:t>
            </w:r>
          </w:p>
        </w:tc>
        <w:tc>
          <w:tcPr>
            <w:tcW w:w="14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FF0FC"/>
              <w:right w:val="single" w:sz="8" w:color="auto"/>
            </w:tcBorders>
          </w:tcPr>
          <w:p>
            <w:pPr>
              <w:spacing w:after="0"/>
              <w:rPr>
                <w:sz w:val="20"/>
                <w:szCs w:val="20"/>
                <w:color w:val="auto"/>
              </w:rPr>
            </w:pPr>
          </w:p>
        </w:tc>
        <w:tc>
          <w:tcPr>
            <w:tcW w:w="2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top w:val="single" w:sz="8" w:color="CFF0FC"/>
              <w:right w:val="single" w:sz="8" w:color="auto"/>
            </w:tcBorders>
          </w:tcPr>
          <w:p>
            <w:pPr>
              <w:spacing w:after="0"/>
              <w:rPr>
                <w:sz w:val="20"/>
                <w:szCs w:val="20"/>
                <w:color w:val="auto"/>
              </w:rPr>
            </w:pPr>
          </w:p>
        </w:tc>
        <w:tc>
          <w:tcPr>
            <w:tcW w:w="2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top w:val="single" w:sz="8" w:color="CFF0FC"/>
              <w:right w:val="single" w:sz="8" w:color="auto"/>
            </w:tcBorders>
          </w:tcPr>
          <w:p>
            <w:pPr>
              <w:spacing w:after="0"/>
              <w:rPr>
                <w:sz w:val="20"/>
                <w:szCs w:val="20"/>
                <w:color w:val="auto"/>
              </w:rPr>
            </w:pPr>
          </w:p>
        </w:tc>
        <w:tc>
          <w:tcPr>
            <w:tcW w:w="2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11,551</w:t>
            </w:r>
          </w:p>
        </w:tc>
        <w:tc>
          <w:tcPr>
            <w:tcW w:w="120" w:type="dxa"/>
            <w:vAlign w:val="bottom"/>
            <w:tcBorders>
              <w:top w:val="single" w:sz="8" w:color="CFF0FC"/>
              <w:right w:val="single" w:sz="8" w:color="auto"/>
            </w:tcBorders>
          </w:tcPr>
          <w:p>
            <w:pPr>
              <w:spacing w:after="0"/>
              <w:rPr>
                <w:sz w:val="20"/>
                <w:szCs w:val="20"/>
                <w:color w:val="auto"/>
              </w:rPr>
            </w:pPr>
          </w:p>
        </w:tc>
        <w:tc>
          <w:tcPr>
            <w:tcW w:w="2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Borders>
              <w:top w:val="single" w:sz="8" w:color="CFF0FC"/>
              <w:right w:val="single" w:sz="8" w:color="auto"/>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top w:val="single" w:sz="8" w:color="CFF0FC"/>
              <w:right w:val="single" w:sz="8" w:color="auto"/>
            </w:tcBorders>
          </w:tcPr>
          <w:p>
            <w:pPr>
              <w:spacing w:after="0"/>
              <w:rPr>
                <w:sz w:val="20"/>
                <w:szCs w:val="20"/>
                <w:color w:val="auto"/>
              </w:rPr>
            </w:pPr>
          </w:p>
        </w:tc>
        <w:tc>
          <w:tcPr>
            <w:tcW w:w="2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top w:val="single" w:sz="8" w:color="CFF0FC"/>
              <w:right w:val="single" w:sz="8" w:color="auto"/>
            </w:tcBorders>
          </w:tcPr>
          <w:p>
            <w:pPr>
              <w:spacing w:after="0"/>
              <w:rPr>
                <w:sz w:val="20"/>
                <w:szCs w:val="20"/>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right w:val="single" w:sz="8" w:color="auto"/>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line="195" w:lineRule="exact"/>
              <w:rPr>
                <w:sz w:val="20"/>
                <w:szCs w:val="20"/>
                <w:color w:val="auto"/>
              </w:rPr>
            </w:pPr>
            <w:r>
              <w:rPr>
                <w:rFonts w:ascii="Arial" w:cs="Arial" w:eastAsia="Arial" w:hAnsi="Arial"/>
                <w:sz w:val="18"/>
                <w:szCs w:val="18"/>
                <w:color w:val="auto"/>
              </w:rPr>
              <w:t>Ending balance: collectively</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right w:val="single" w:sz="8" w:color="auto"/>
            </w:tcBorders>
          </w:tcPr>
          <w:p>
            <w:pPr>
              <w:spacing w:after="0"/>
              <w:rPr>
                <w:sz w:val="17"/>
                <w:szCs w:val="17"/>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right w:val="single" w:sz="8" w:color="auto"/>
            </w:tcBorders>
          </w:tcPr>
          <w:p>
            <w:pPr>
              <w:spacing w:after="0"/>
              <w:rPr>
                <w:sz w:val="17"/>
                <w:szCs w:val="17"/>
                <w:color w:val="auto"/>
              </w:rPr>
            </w:pP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5"/>
              </w:rPr>
              <w:t>Ending balance: loans acquired</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 deteriorated credit</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quality</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44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FINANCING</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1,061,9</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2,142,61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416,044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204,787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128,818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260,000</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71,063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7"/>
                <w:szCs w:val="17"/>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 collectively</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1,057,6</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2,131,13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414,951</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202,003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127,484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257,948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71,046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line="195" w:lineRule="exact"/>
              <w:rPr>
                <w:sz w:val="20"/>
                <w:szCs w:val="20"/>
                <w:color w:val="auto"/>
              </w:rPr>
            </w:pPr>
            <w:r>
              <w:rPr>
                <w:rFonts w:ascii="Arial" w:cs="Arial" w:eastAsia="Arial" w:hAnsi="Arial"/>
                <w:sz w:val="18"/>
                <w:szCs w:val="18"/>
                <w:color w:val="auto"/>
                <w:w w:val="95"/>
              </w:rPr>
              <w:t>Ending balance: loans acquired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60"/>
              <w:spacing w:after="0"/>
              <w:rPr>
                <w:sz w:val="20"/>
                <w:szCs w:val="20"/>
                <w:color w:val="auto"/>
              </w:rPr>
            </w:pPr>
            <w:r>
              <w:rPr>
                <w:rFonts w:ascii="Arial" w:cs="Arial" w:eastAsia="Arial" w:hAnsi="Arial"/>
                <w:sz w:val="18"/>
                <w:szCs w:val="18"/>
                <w:color w:val="auto"/>
              </w:rPr>
              <w:t>with deteriorated credit</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line="203" w:lineRule="exact"/>
              <w:rPr>
                <w:sz w:val="20"/>
                <w:szCs w:val="20"/>
                <w:color w:val="auto"/>
              </w:rPr>
            </w:pPr>
            <w:r>
              <w:rPr>
                <w:rFonts w:ascii="Arial" w:cs="Arial" w:eastAsia="Arial" w:hAnsi="Arial"/>
                <w:sz w:val="18"/>
                <w:szCs w:val="18"/>
                <w:color w:val="auto"/>
              </w:rPr>
              <w:t>quality</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4"/>
          </w:tcPr>
          <w:p>
            <w:pPr>
              <w:ind w:left="2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-3265170</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-3265170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-3265170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-3265170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-3265170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-3265170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-3265170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-3265170</wp:posOffset>
            </wp:positionV>
            <wp:extent cx="76835"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-2811145</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-2794000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-2811145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-2794000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-2811145</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-2794000</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-2811145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-2794000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-2811145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-2794000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-2811145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-2794000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-2811145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-2794000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-2811145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-2794000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-2091055</wp:posOffset>
            </wp:positionV>
            <wp:extent cx="76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-2073910</wp:posOffset>
            </wp:positionV>
            <wp:extent cx="768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-2091055</wp:posOffset>
            </wp:positionV>
            <wp:extent cx="768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-2073910</wp:posOffset>
            </wp:positionV>
            <wp:extent cx="768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-2091055</wp:posOffset>
            </wp:positionV>
            <wp:extent cx="774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-2073910</wp:posOffset>
            </wp:positionV>
            <wp:extent cx="774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-2091055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-2073910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-2091055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-2073910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-2091055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-2073910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-2091055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-2073910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-2091055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-2073910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3175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-1482090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-1464945</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-1482090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-1464945</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-1482090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-1464945</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-1482090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-1464945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-1482090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-1464945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-1482090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-1464945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-1482090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-1464945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-1482090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-1464945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-873760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-856615</wp:posOffset>
            </wp:positionV>
            <wp:extent cx="768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-873760</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-856615</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-873760</wp:posOffset>
            </wp:positionV>
            <wp:extent cx="774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-856615</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-873760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-856615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-873760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-856615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-873760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-856615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-873760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-856615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-873760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-856615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8320" w:type="dxa"/>
            <w:vAlign w:val="bottom"/>
            <w:gridSpan w:val="24"/>
          </w:tcPr>
          <w:p>
            <w:pPr>
              <w:spacing w:after="0"/>
              <w:rPr>
                <w:sz w:val="20"/>
                <w:szCs w:val="20"/>
                <w:color w:val="auto"/>
              </w:rPr>
            </w:pPr>
            <w:r>
              <w:rPr>
                <w:rFonts w:ascii="Arial" w:cs="Arial" w:eastAsia="Arial" w:hAnsi="Arial"/>
                <w:sz w:val="18"/>
                <w:szCs w:val="18"/>
                <w:color w:val="auto"/>
                <w:w w:val="96"/>
              </w:rPr>
              <w:t>ITEM 1 NOTES TO CONDENSED CONSOLIDATED UNAUDITED FINANCIAL STATEMENTS (Continued)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Unfunded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Loan</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6"/>
              </w:rPr>
              <w:t>Commit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Agricultur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2"/>
              </w:rPr>
              <w:t>Commerc</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Commerc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ment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89"/>
              </w:rPr>
              <w:t>Consumer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5"/>
              </w:rPr>
              <w: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ial</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ial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9"/>
              </w:rPr>
              <w:t>&amp; Letters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1"/>
              </w:rPr>
              <w:t>Real</w:t>
            </w: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Agricultur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6"/>
              </w:rPr>
              <w:t>Real</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and</w:t>
            </w: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0"/>
              </w:rPr>
              <w:t>Consume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rPr>
              <w:t>of</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Unallocat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al</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1"/>
              </w:rPr>
              <w:t>Credit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1"/>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right w:val="single" w:sz="8" w:color="auto"/>
            </w:tcBorders>
            <w:shd w:val="clear" w:color="auto" w:fill="CFF0FC"/>
          </w:tcPr>
          <w:p>
            <w:pPr>
              <w:spacing w:after="0"/>
              <w:rPr>
                <w:sz w:val="21"/>
                <w:szCs w:val="21"/>
                <w:color w:val="auto"/>
              </w:rPr>
            </w:pP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49"/>
        </w:trPr>
        <w:tc>
          <w:tcPr>
            <w:tcW w:w="2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4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Other Non-interest expense</w:t>
            </w:r>
          </w:p>
        </w:tc>
        <w:tc>
          <w:tcPr>
            <w:tcW w:w="14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related to unfunded</w:t>
            </w: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95" w:lineRule="exact"/>
              <w:rPr>
                <w:sz w:val="20"/>
                <w:szCs w:val="20"/>
                <w:color w:val="auto"/>
              </w:rPr>
            </w:pPr>
            <w:r>
              <w:rPr>
                <w:rFonts w:ascii="Arial" w:cs="Arial" w:eastAsia="Arial" w:hAnsi="Arial"/>
                <w:sz w:val="18"/>
                <w:szCs w:val="18"/>
                <w:color w:val="auto"/>
              </w:rPr>
              <w:t>Ending balance: collectively</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11,051</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right w:val="single" w:sz="8" w:color="auto"/>
            </w:tcBorders>
          </w:tcPr>
          <w:p>
            <w:pPr>
              <w:spacing w:after="0"/>
              <w:rPr>
                <w:sz w:val="17"/>
                <w:szCs w:val="17"/>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 deteriorated credit</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quality</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40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FINANCING</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1,061,9</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2,142,61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416,044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204,787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128,818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260,000</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 collectively</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1,057,6</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2,131,13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evaluated for impairment</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414,951</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202,003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127,484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257,948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60"/>
              <w:spacing w:after="0"/>
              <w:rPr>
                <w:sz w:val="20"/>
                <w:szCs w:val="20"/>
                <w:color w:val="auto"/>
              </w:rPr>
            </w:pPr>
            <w:r>
              <w:rPr>
                <w:rFonts w:ascii="Arial" w:cs="Arial" w:eastAsia="Arial" w:hAnsi="Arial"/>
                <w:sz w:val="18"/>
                <w:szCs w:val="18"/>
                <w:color w:val="auto"/>
              </w:rPr>
              <w:t>with deteriorated credit</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20"/>
              <w:spacing w:after="0" w:line="203" w:lineRule="exact"/>
              <w:rPr>
                <w:sz w:val="20"/>
                <w:szCs w:val="20"/>
                <w:color w:val="auto"/>
              </w:rPr>
            </w:pPr>
            <w:r>
              <w:rPr>
                <w:rFonts w:ascii="Arial" w:cs="Arial" w:eastAsia="Arial" w:hAnsi="Arial"/>
                <w:sz w:val="18"/>
                <w:szCs w:val="18"/>
                <w:color w:val="auto"/>
              </w:rPr>
              <w:t>quality</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4"/>
          </w:tcPr>
          <w:p>
            <w:pPr>
              <w:jc w:val="right"/>
              <w:ind w:right="43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-3539490</wp:posOffset>
            </wp:positionV>
            <wp:extent cx="768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-3539490</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-3539490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-3539490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-3539490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-3539490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-3539490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-3539490</wp:posOffset>
            </wp:positionV>
            <wp:extent cx="76835" cy="1885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-3085465</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-3068320</wp:posOffset>
            </wp:positionV>
            <wp:extent cx="768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-3085465</wp:posOffset>
            </wp:positionV>
            <wp:extent cx="768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-3068320</wp:posOffset>
            </wp:positionV>
            <wp:extent cx="768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-3085465</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-3068320</wp:posOffset>
            </wp:positionV>
            <wp:extent cx="774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-3085465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-3068320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-3085465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-3068320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-3085465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-3068320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-3085465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-3068320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-3085465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-3068320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-2228215</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-2211070</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-2228215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-2211070</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-2228215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-2211070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-2228215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-2211070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-2228215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-2211070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-2228215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-2211070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-2228215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-2211070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-2228215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-2211070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3175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-1619250</wp:posOffset>
            </wp:positionV>
            <wp:extent cx="768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-1602105</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-1619250</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-1602105</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-1619250</wp:posOffset>
            </wp:positionV>
            <wp:extent cx="774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-1602105</wp:posOffset>
            </wp:positionV>
            <wp:extent cx="774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-1619250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-1602105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-1619250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-1602105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-1619250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-1602105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-1619250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-1602105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-1619250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-1602105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-1010920</wp:posOffset>
            </wp:positionV>
            <wp:extent cx="768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-993775</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-1010920</wp:posOffset>
            </wp:positionV>
            <wp:extent cx="768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-993775</wp:posOffset>
            </wp:positionV>
            <wp:extent cx="768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-1010920</wp:posOffset>
            </wp:positionV>
            <wp:extent cx="7747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-993775</wp:posOffset>
            </wp:positionV>
            <wp:extent cx="774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-1010920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-993775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-1010920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-993775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-1010920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-993775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-1010920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-993775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-1010920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-993775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8540" w:type="dxa"/>
            <w:vAlign w:val="bottom"/>
            <w:gridSpan w:val="25"/>
          </w:tcPr>
          <w:p>
            <w:pPr>
              <w:spacing w:after="0"/>
              <w:rPr>
                <w:sz w:val="20"/>
                <w:szCs w:val="20"/>
                <w:color w:val="auto"/>
              </w:rPr>
            </w:pPr>
            <w:r>
              <w:rPr>
                <w:rFonts w:ascii="Arial" w:cs="Arial" w:eastAsia="Arial" w:hAnsi="Arial"/>
                <w:sz w:val="18"/>
                <w:szCs w:val="18"/>
                <w:color w:val="auto"/>
                <w:w w:val="99"/>
              </w:rPr>
              <w:t>ITEM 1 NOTES TO CONDENSED CONSOLIDATED UNAUDITED FINANCIAL STATEMENTS (Continued)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Unfunde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79"/>
              </w:rPr>
              <w:t>d</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89"/>
              </w:rPr>
              <w:t>Loan</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Commer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6"/>
              </w:rPr>
              <w:t>Commit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Consume</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6"/>
              </w:rPr>
              <w:t>cial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89"/>
              </w:rPr>
              <w:t>ment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Agricultu</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2"/>
              </w:rPr>
              <w:t>Commerc</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4"/>
              </w:rPr>
              <w:t>&amp; Letters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86"/>
              </w:rPr>
              <w:t>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ral Real</w:t>
            </w:r>
          </w:p>
        </w:tc>
        <w:tc>
          <w:tcPr>
            <w:tcW w:w="1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7"/>
              </w:rPr>
              <w:t>Agricultu</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ial 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2"/>
              </w:rPr>
              <w:t>Industria</w:t>
            </w: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Consume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rPr>
              <w:t>of</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Unalloca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1"/>
                <w:szCs w:val="21"/>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0"/>
              </w:rPr>
              <w:t>Estate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ral</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rPr>
              <w:t>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1"/>
              </w:rPr>
              <w:t>Credit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05"/>
        </w:trPr>
        <w:tc>
          <w:tcPr>
            <w:tcW w:w="27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rPr>
              <w:t>ALLOWANCE FOR CREDIT</w:t>
            </w: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LOSSES:</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Borders>
              <w:right w:val="single" w:sz="8" w:color="auto"/>
            </w:tcBorders>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9,130</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right w:val="single" w:sz="8" w:color="auto"/>
            </w:tcBorders>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 Offs</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(418 )</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(409 )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(827 )</w:t>
            </w:r>
          </w:p>
        </w:tc>
        <w:tc>
          <w:tcPr>
            <w:tcW w:w="0" w:type="dxa"/>
            <w:vAlign w:val="bottom"/>
          </w:tcPr>
          <w:p>
            <w:pPr>
              <w:spacing w:after="0"/>
              <w:rPr>
                <w:sz w:val="1"/>
                <w:szCs w:val="1"/>
                <w:color w:val="auto"/>
              </w:rPr>
            </w:pPr>
          </w:p>
        </w:tc>
      </w:tr>
      <w:tr>
        <w:trPr>
          <w:trHeight w:val="237"/>
        </w:trPr>
        <w:tc>
          <w:tcPr>
            <w:tcW w:w="274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(Credit)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40" w:type="dxa"/>
            <w:vAlign w:val="bottom"/>
          </w:tcPr>
          <w:p>
            <w:pPr>
              <w:ind w:left="200"/>
              <w:spacing w:after="0"/>
              <w:rPr>
                <w:sz w:val="20"/>
                <w:szCs w:val="20"/>
                <w:color w:val="auto"/>
              </w:rPr>
            </w:pPr>
            <w:r>
              <w:rPr>
                <w:rFonts w:ascii="Arial" w:cs="Arial" w:eastAsia="Arial" w:hAnsi="Arial"/>
                <w:sz w:val="18"/>
                <w:szCs w:val="18"/>
                <w:color w:val="auto"/>
              </w:rPr>
              <w:t>Other Non-interest expense</w:t>
            </w: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rPr>
              <w:t>related to unfunded</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Ending balance: individually</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collectively</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11,486</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19,579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line="195" w:lineRule="exact"/>
              <w:rPr>
                <w:sz w:val="20"/>
                <w:szCs w:val="20"/>
                <w:color w:val="auto"/>
              </w:rPr>
            </w:pPr>
            <w:r>
              <w:rPr>
                <w:rFonts w:ascii="Arial" w:cs="Arial" w:eastAsia="Arial" w:hAnsi="Arial"/>
                <w:sz w:val="18"/>
                <w:szCs w:val="18"/>
                <w:color w:val="auto"/>
              </w:rPr>
              <w:t>Ending balance: loans acquired</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with deteriorated credit quality</w:t>
            </w: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RECEIVABLES:</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1,150,5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2,356,3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494,423</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220,514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128,926</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272,119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89,894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gridSpan w:val="2"/>
            <w:vMerge w:val="restart"/>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evaluated for impairment</w:t>
            </w:r>
          </w:p>
        </w:tc>
        <w:tc>
          <w:tcPr>
            <w:tcW w:w="120" w:type="dxa"/>
            <w:vAlign w:val="bottom"/>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56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 collectively</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1,146,3</w:t>
            </w:r>
          </w:p>
        </w:tc>
        <w:tc>
          <w:tcPr>
            <w:tcW w:w="1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270,49</w:t>
            </w:r>
          </w:p>
        </w:tc>
        <w:tc>
          <w:tcPr>
            <w:tcW w:w="120" w:type="dxa"/>
            <w:vAlign w:val="bottom"/>
            <w:tcBorders>
              <w:top w:val="single" w:sz="8" w:color="CFF0FC"/>
              <w:right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2,346,8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00"/>
              <w:spacing w:after="0"/>
              <w:rPr>
                <w:sz w:val="20"/>
                <w:szCs w:val="20"/>
                <w:color w:val="auto"/>
              </w:rPr>
            </w:pPr>
            <w:r>
              <w:rPr>
                <w:rFonts w:ascii="Arial" w:cs="Arial" w:eastAsia="Arial" w:hAnsi="Arial"/>
                <w:sz w:val="18"/>
                <w:szCs w:val="18"/>
                <w:color w:val="auto"/>
              </w:rPr>
              <w:t>evaluated for impairment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493,449</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218,039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128,774</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89,727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loans acquired</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with deteriorated credit quality</w:t>
            </w: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-2699385</wp:posOffset>
            </wp:positionV>
            <wp:extent cx="4928870" cy="3168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928870" cy="31686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-2117090</wp:posOffset>
            </wp:positionV>
            <wp:extent cx="4928870" cy="3175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928870" cy="31750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-1062355</wp:posOffset>
            </wp:positionV>
            <wp:extent cx="4928870" cy="3429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928870" cy="34290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-453390</wp:posOffset>
            </wp:positionV>
            <wp:extent cx="768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-436880</wp:posOffset>
            </wp:positionV>
            <wp:extent cx="768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-453390</wp:posOffset>
            </wp:positionV>
            <wp:extent cx="768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-436880</wp:posOffset>
            </wp:positionV>
            <wp:extent cx="768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-453390</wp:posOffset>
            </wp:positionV>
            <wp:extent cx="774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-436880</wp:posOffset>
            </wp:positionV>
            <wp:extent cx="774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-453390</wp:posOffset>
            </wp:positionV>
            <wp:extent cx="774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-436880</wp:posOffset>
            </wp:positionV>
            <wp:extent cx="7747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-453390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-436880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-453390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-436880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-436880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-453390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-436880</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jc w:val="both"/>
        <w:ind w:left="84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840"/>
        <w:spacing w:after="0" w:line="269" w:lineRule="auto"/>
        <w:rPr>
          <w:sz w:val="20"/>
          <w:szCs w:val="20"/>
          <w:color w:val="auto"/>
        </w:rPr>
      </w:pPr>
      <w:r>
        <w:rPr>
          <w:rFonts w:ascii="Arial" w:cs="Arial" w:eastAsia="Arial" w:hAnsi="Arial"/>
          <w:sz w:val="17"/>
          <w:szCs w:val="17"/>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 each received $10,013 which equated to 240 shares. On June 2, 2023, twelve Directors each received $14,997 which equated to 754 shares. The use of stock for Directors’ retainer, does not have an effect on diluted earnings per share as it is immediately vested.</w:t>
      </w:r>
    </w:p>
    <w:p>
      <w:pPr>
        <w:spacing w:after="0" w:line="155" w:lineRule="exact"/>
        <w:rPr>
          <w:sz w:val="20"/>
          <w:szCs w:val="20"/>
          <w:color w:val="auto"/>
        </w:rPr>
      </w:pPr>
    </w:p>
    <w:p>
      <w:pPr>
        <w:jc w:val="both"/>
        <w:ind w:left="840"/>
        <w:spacing w:after="0" w:line="263" w:lineRule="auto"/>
        <w:rPr>
          <w:sz w:val="20"/>
          <w:szCs w:val="20"/>
          <w:color w:val="auto"/>
        </w:rPr>
      </w:pPr>
      <w:r>
        <w:rPr>
          <w:rFonts w:ascii="Arial" w:cs="Arial" w:eastAsia="Arial" w:hAnsi="Arial"/>
          <w:sz w:val="18"/>
          <w:szCs w:val="18"/>
          <w:color w:val="auto"/>
        </w:rPr>
        <w:t>Any stock awards to senior management are made in March with other members of management receiving any awards in August. On March 1, 2023, senior management received stock awards of 21,700 shares worth approximately $562,030. During the third quarter of 2023, other members of management received stock awards of 41,225 shares worth approximately $844,018.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w w:val="90"/>
              </w:rPr>
              <w:t>(In thousands of dollars, except per share data)</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740" w:type="dxa"/>
            <w:vAlign w:val="bottom"/>
            <w:gridSpan w:val="5"/>
          </w:tcPr>
          <w:p>
            <w:pPr>
              <w:jc w:val="right"/>
              <w:ind w:right="61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8,954</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distributed earnings allocated to participating</w:t>
            </w:r>
          </w:p>
        </w:tc>
        <w:tc>
          <w:tcPr>
            <w:tcW w:w="120" w:type="dxa"/>
            <w:vAlign w:val="bottom"/>
            <w:shd w:val="clear" w:color="auto" w:fill="CFF0FC"/>
          </w:tcPr>
          <w:p>
            <w:pPr>
              <w:spacing w:after="0"/>
              <w:rPr>
                <w:sz w:val="19"/>
                <w:szCs w:val="19"/>
                <w:color w:val="auto"/>
              </w:rPr>
            </w:pP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8"/>
                <w:szCs w:val="18"/>
                <w:color w:val="auto"/>
              </w:rPr>
              <w:t>Less: undistributed earnings allocated to participating</w:t>
            </w:r>
          </w:p>
        </w:tc>
        <w:tc>
          <w:tcPr>
            <w:tcW w:w="120" w:type="dxa"/>
            <w:vAlign w:val="bottom"/>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109"/>
        </w:trPr>
        <w:tc>
          <w:tcPr>
            <w:tcW w:w="5020" w:type="dxa"/>
            <w:vAlign w:val="bottom"/>
            <w:vMerge w:val="restart"/>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13,650,823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13,083,145</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13,633,101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13,071,859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Less: average unvested restricted shares</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(152,127 )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(99,838 )</w:t>
            </w: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(146,184 )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(111,209 )</w:t>
            </w:r>
          </w:p>
        </w:tc>
        <w:tc>
          <w:tcPr>
            <w:tcW w:w="0" w:type="dxa"/>
            <w:vAlign w:val="bottom"/>
          </w:tcPr>
          <w:p>
            <w:pPr>
              <w:spacing w:after="0"/>
              <w:rPr>
                <w:sz w:val="1"/>
                <w:szCs w:val="1"/>
                <w:color w:val="auto"/>
              </w:rPr>
            </w:pPr>
          </w:p>
        </w:tc>
      </w:tr>
      <w:tr>
        <w:trPr>
          <w:trHeight w:val="277"/>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13,498,696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12,983,307</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13,486,917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12,960,650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0.68</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-1696720</wp:posOffset>
            </wp:positionV>
            <wp:extent cx="3094355" cy="1803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094355" cy="18034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-908050</wp:posOffset>
            </wp:positionV>
            <wp:extent cx="3094355" cy="2057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09435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5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2023 and December 31, 2022, segregated by level or the valuation inputs within the fair value hierarchy utilized to measure fair value:</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0" w:type="dxa"/>
            <w:vAlign w:val="bottom"/>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Quoted Prices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9"/>
              </w:rPr>
              <w:t>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6"/>
              </w:rPr>
              <w:t>for Identical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Assets (Level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3"/>
              </w:rPr>
              <w:t>Inputs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30, 2023</w:t>
            </w:r>
          </w:p>
        </w:tc>
        <w:tc>
          <w:tcPr>
            <w:tcW w:w="1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Treasury</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81,978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9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63,608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Total Securities Available-for-Sale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81,978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263,850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00" w:type="dxa"/>
            <w:vAlign w:val="bottom"/>
            <w:vMerge w:val="restart"/>
          </w:tcPr>
          <w:p>
            <w:pPr>
              <w:jc w:val="right"/>
              <w:ind w:right="55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-608330</wp:posOffset>
            </wp:positionV>
            <wp:extent cx="68580" cy="1885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-608330</wp:posOffset>
            </wp:positionV>
            <wp:extent cx="59690" cy="1885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-608330</wp:posOffset>
            </wp:positionV>
            <wp:extent cx="60325" cy="1885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Quoted Prices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9"/>
              </w:rPr>
              <w:t>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6"/>
              </w:rPr>
              <w:t>for Identical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Assets (Level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3"/>
              </w:rPr>
              <w:t>Inputs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2022</w:t>
            </w:r>
          </w:p>
        </w:tc>
        <w:tc>
          <w:tcPr>
            <w:tcW w:w="1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Treasury</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94,678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9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Total Securities Available-for-Sale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94,678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292,766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00" w:type="dxa"/>
            <w:vAlign w:val="bottom"/>
            <w:vMerge w:val="restart"/>
          </w:tcPr>
          <w:p>
            <w:pPr>
              <w:jc w:val="right"/>
              <w:ind w:right="55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-607695</wp:posOffset>
            </wp:positionV>
            <wp:extent cx="68580" cy="1885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-607695</wp:posOffset>
            </wp:positionV>
            <wp:extent cx="59690" cy="1885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-607695</wp:posOffset>
            </wp:positionV>
            <wp:extent cx="60325" cy="1885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nine month periods ended September 30, 2023 and September 30, 2022. During the three month period ended March 31, 2022, there was one security transferred from Level 3 to Level 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July 1, 2023</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Fair Value</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Payments, Maturities &amp; Calls</w:t>
      </w:r>
    </w:p>
    <w:p>
      <w:pPr>
        <w:spacing w:after="0" w:line="3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Reclassification &amp; Adjustments</w:t>
      </w:r>
    </w:p>
    <w:p>
      <w:pPr>
        <w:spacing w:after="0" w:line="3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July 1, 2022</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Fair Value</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Payments, Maturities &amp; Calls</w:t>
      </w:r>
    </w:p>
    <w:p>
      <w:pPr>
        <w:spacing w:after="0" w:line="3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Reclassification &amp; Adjustments</w:t>
      </w:r>
    </w:p>
    <w:p>
      <w:pPr>
        <w:spacing w:after="0" w:line="3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January 1, 2023</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Fair Value</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Payments, Maturities &amp; Calls</w:t>
      </w:r>
    </w:p>
    <w:p>
      <w:pPr>
        <w:spacing w:after="0" w:line="3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Reclassification &amp; Adjustments</w:t>
      </w:r>
    </w:p>
    <w:p>
      <w:pPr>
        <w:spacing w:after="0" w:line="3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September 30,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28854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Fair Value Measurements Using Significant</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Unobservable Inputs (Level 3)</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State and Local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8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6"/>
              </w:rPr>
              <w:t>Tax-Exempt</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Taxable</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1"/>
                <w:szCs w:val="21"/>
                <w:color w:val="auto"/>
              </w:rPr>
            </w:pPr>
          </w:p>
        </w:tc>
      </w:tr>
      <w:tr>
        <w:trPr>
          <w:trHeight w:val="230"/>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60" w:type="dxa"/>
            <w:vAlign w:val="bottom"/>
          </w:tcPr>
          <w:p>
            <w:pPr>
              <w:spacing w:after="0"/>
              <w:rPr>
                <w:sz w:val="20"/>
                <w:szCs w:val="20"/>
                <w:color w:val="auto"/>
              </w:rPr>
            </w:pPr>
          </w:p>
        </w:tc>
      </w:tr>
      <w:tr>
        <w:trPr>
          <w:trHeight w:val="485"/>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486"/>
        </w:trPr>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(657 )</w:t>
            </w:r>
          </w:p>
        </w:tc>
      </w:tr>
      <w:tr>
        <w:trPr>
          <w:trHeight w:val="493"/>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8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3440" w:type="dxa"/>
            <w:vAlign w:val="bottom"/>
            <w:gridSpan w:val="8"/>
          </w:tcPr>
          <w:p>
            <w:pPr>
              <w:jc w:val="center"/>
              <w:ind w:right="90"/>
              <w:spacing w:after="0"/>
              <w:rPr>
                <w:sz w:val="20"/>
                <w:szCs w:val="20"/>
                <w:color w:val="auto"/>
              </w:rPr>
            </w:pPr>
            <w:r>
              <w:rPr>
                <w:rFonts w:ascii="Arial" w:cs="Arial" w:eastAsia="Arial" w:hAnsi="Arial"/>
                <w:sz w:val="18"/>
                <w:szCs w:val="18"/>
                <w:color w:val="auto"/>
                <w:w w:val="90"/>
              </w:rPr>
              <w:t>Fair Value Measurements Using Significant</w:t>
            </w:r>
          </w:p>
        </w:tc>
        <w:tc>
          <w:tcPr>
            <w:tcW w:w="60" w:type="dxa"/>
            <w:vAlign w:val="bottom"/>
          </w:tcPr>
          <w:p>
            <w:pPr>
              <w:spacing w:after="0"/>
              <w:rPr>
                <w:sz w:val="20"/>
                <w:szCs w:val="20"/>
                <w:color w:val="auto"/>
              </w:rPr>
            </w:pPr>
          </w:p>
        </w:tc>
      </w:tr>
      <w:tr>
        <w:trPr>
          <w:trHeight w:val="242"/>
        </w:trPr>
        <w:tc>
          <w:tcPr>
            <w:tcW w:w="160" w:type="dxa"/>
            <w:vAlign w:val="bottom"/>
          </w:tcPr>
          <w:p>
            <w:pPr>
              <w:spacing w:after="0"/>
              <w:rPr>
                <w:sz w:val="21"/>
                <w:szCs w:val="21"/>
                <w:color w:val="auto"/>
              </w:rPr>
            </w:pPr>
          </w:p>
        </w:tc>
        <w:tc>
          <w:tcPr>
            <w:tcW w:w="3500" w:type="dxa"/>
            <w:vAlign w:val="bottom"/>
            <w:gridSpan w:val="9"/>
          </w:tcPr>
          <w:p>
            <w:pPr>
              <w:jc w:val="center"/>
              <w:ind w:right="240"/>
              <w:spacing w:after="0"/>
              <w:rPr>
                <w:sz w:val="20"/>
                <w:szCs w:val="20"/>
                <w:color w:val="auto"/>
              </w:rPr>
            </w:pPr>
            <w:r>
              <w:rPr>
                <w:rFonts w:ascii="Arial" w:cs="Arial" w:eastAsia="Arial" w:hAnsi="Arial"/>
                <w:sz w:val="18"/>
                <w:szCs w:val="18"/>
                <w:color w:val="auto"/>
                <w:w w:val="92"/>
              </w:rPr>
              <w:t>Unobservable Inputs (Level 3)</w:t>
            </w:r>
          </w:p>
        </w:tc>
      </w:tr>
      <w:tr>
        <w:trPr>
          <w:trHeight w:val="229"/>
        </w:trPr>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State and Local</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0"/>
              </w:rPr>
              <w:t>Governments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Taxable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230"/>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60" w:type="dxa"/>
            <w:vAlign w:val="bottom"/>
          </w:tcPr>
          <w:p>
            <w:pPr>
              <w:spacing w:after="0"/>
              <w:rPr>
                <w:sz w:val="20"/>
                <w:szCs w:val="20"/>
                <w:color w:val="auto"/>
              </w:rPr>
            </w:pPr>
          </w:p>
        </w:tc>
      </w:tr>
      <w:tr>
        <w:trPr>
          <w:trHeight w:val="485"/>
        </w:trPr>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486"/>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93"/>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8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3440" w:type="dxa"/>
            <w:vAlign w:val="bottom"/>
            <w:gridSpan w:val="8"/>
          </w:tcPr>
          <w:p>
            <w:pPr>
              <w:jc w:val="center"/>
              <w:ind w:right="90"/>
              <w:spacing w:after="0"/>
              <w:rPr>
                <w:sz w:val="20"/>
                <w:szCs w:val="20"/>
                <w:color w:val="auto"/>
              </w:rPr>
            </w:pPr>
            <w:r>
              <w:rPr>
                <w:rFonts w:ascii="Arial" w:cs="Arial" w:eastAsia="Arial" w:hAnsi="Arial"/>
                <w:sz w:val="18"/>
                <w:szCs w:val="18"/>
                <w:color w:val="auto"/>
                <w:w w:val="90"/>
              </w:rPr>
              <w:t>Fair Value Measurements Using Significant</w:t>
            </w:r>
          </w:p>
        </w:tc>
        <w:tc>
          <w:tcPr>
            <w:tcW w:w="60" w:type="dxa"/>
            <w:vAlign w:val="bottom"/>
          </w:tcPr>
          <w:p>
            <w:pPr>
              <w:spacing w:after="0"/>
              <w:rPr>
                <w:sz w:val="20"/>
                <w:szCs w:val="20"/>
                <w:color w:val="auto"/>
              </w:rPr>
            </w:pPr>
          </w:p>
        </w:tc>
      </w:tr>
      <w:tr>
        <w:trPr>
          <w:trHeight w:val="242"/>
        </w:trPr>
        <w:tc>
          <w:tcPr>
            <w:tcW w:w="160" w:type="dxa"/>
            <w:vAlign w:val="bottom"/>
          </w:tcPr>
          <w:p>
            <w:pPr>
              <w:spacing w:after="0"/>
              <w:rPr>
                <w:sz w:val="21"/>
                <w:szCs w:val="21"/>
                <w:color w:val="auto"/>
              </w:rPr>
            </w:pPr>
          </w:p>
        </w:tc>
        <w:tc>
          <w:tcPr>
            <w:tcW w:w="3500" w:type="dxa"/>
            <w:vAlign w:val="bottom"/>
            <w:gridSpan w:val="9"/>
          </w:tcPr>
          <w:p>
            <w:pPr>
              <w:jc w:val="center"/>
              <w:ind w:right="240"/>
              <w:spacing w:after="0"/>
              <w:rPr>
                <w:sz w:val="20"/>
                <w:szCs w:val="20"/>
                <w:color w:val="auto"/>
              </w:rPr>
            </w:pPr>
            <w:r>
              <w:rPr>
                <w:rFonts w:ascii="Arial" w:cs="Arial" w:eastAsia="Arial" w:hAnsi="Arial"/>
                <w:sz w:val="18"/>
                <w:szCs w:val="18"/>
                <w:color w:val="auto"/>
                <w:w w:val="92"/>
              </w:rPr>
              <w:t>Unobservable Inputs (Level 3)</w:t>
            </w:r>
          </w:p>
        </w:tc>
      </w:tr>
      <w:tr>
        <w:trPr>
          <w:trHeight w:val="229"/>
        </w:trPr>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State and Local</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0"/>
              </w:rPr>
              <w:t>Governments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Taxable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230"/>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60" w:type="dxa"/>
            <w:vAlign w:val="bottom"/>
          </w:tcPr>
          <w:p>
            <w:pPr>
              <w:spacing w:after="0"/>
              <w:rPr>
                <w:sz w:val="20"/>
                <w:szCs w:val="20"/>
                <w:color w:val="auto"/>
              </w:rPr>
            </w:pPr>
          </w:p>
        </w:tc>
      </w:tr>
      <w:tr>
        <w:trPr>
          <w:trHeight w:val="485"/>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(21 )</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486"/>
        </w:trPr>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(902 )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(902 )</w:t>
            </w:r>
          </w:p>
        </w:tc>
      </w:tr>
      <w:tr>
        <w:trPr>
          <w:trHeight w:val="493"/>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79"/>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2,427</w:t>
            </w:r>
          </w:p>
        </w:tc>
        <w:tc>
          <w:tcPr>
            <w:tcW w:w="60" w:type="dxa"/>
            <w:vAlign w:val="bottom"/>
          </w:tcPr>
          <w:p>
            <w:pPr>
              <w:spacing w:after="0"/>
              <w:rPr>
                <w:sz w:val="24"/>
                <w:szCs w:val="24"/>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-6411595</wp:posOffset>
            </wp:positionV>
            <wp:extent cx="5700395" cy="154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-6102985</wp:posOffset>
            </wp:positionV>
            <wp:extent cx="5700395" cy="154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-5794375</wp:posOffset>
            </wp:positionV>
            <wp:extent cx="5700395" cy="1543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-5485765</wp:posOffset>
            </wp:positionV>
            <wp:extent cx="5700395" cy="4972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00395" cy="4972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-3916680</wp:posOffset>
            </wp:positionV>
            <wp:extent cx="5700395" cy="1543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-3608070</wp:posOffset>
            </wp:positionV>
            <wp:extent cx="5700395" cy="1543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-3300095</wp:posOffset>
            </wp:positionV>
            <wp:extent cx="5700395" cy="1543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-2990850</wp:posOffset>
            </wp:positionV>
            <wp:extent cx="5700395" cy="4972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00395" cy="4972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-1422400</wp:posOffset>
            </wp:positionV>
            <wp:extent cx="5700395" cy="1543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-1113790</wp:posOffset>
            </wp:positionV>
            <wp:extent cx="5700395" cy="154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-805180</wp:posOffset>
            </wp:positionV>
            <wp:extent cx="5700395" cy="1543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-496570</wp:posOffset>
            </wp:positionV>
            <wp:extent cx="5700395" cy="4972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25" w:right="3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8"/>
          </w:tcPr>
          <w:p>
            <w:pPr>
              <w:jc w:val="center"/>
              <w:ind w:right="9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20"/>
                <w:szCs w:val="20"/>
                <w:color w:val="auto"/>
              </w:rPr>
            </w:pPr>
          </w:p>
        </w:tc>
      </w:tr>
      <w:tr>
        <w:trPr>
          <w:trHeight w:val="242"/>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8"/>
                <w:szCs w:val="18"/>
                <w:color w:val="auto"/>
                <w:w w:val="92"/>
              </w:rPr>
              <w:t>Unobservable Inputs (Level 3)</w:t>
            </w:r>
          </w:p>
        </w:tc>
      </w:tr>
      <w:tr>
        <w:trPr>
          <w:trHeight w:val="229"/>
        </w:trPr>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State and Local</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0"/>
              </w:rPr>
              <w:t>Governments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3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Taxable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(258 )</w:t>
            </w:r>
          </w:p>
        </w:tc>
      </w:tr>
      <w:tr>
        <w:trPr>
          <w:trHeight w:val="243"/>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Payments, Maturities &amp; Calls</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(160 )</w:t>
            </w:r>
          </w:p>
        </w:tc>
      </w:tr>
      <w:tr>
        <w:trPr>
          <w:trHeight w:val="243"/>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&amp; Adjustments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(989 )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(989 )</w:t>
            </w:r>
          </w:p>
        </w:tc>
      </w:tr>
      <w:tr>
        <w:trPr>
          <w:trHeight w:val="237"/>
        </w:trPr>
        <w:tc>
          <w:tcPr>
            <w:tcW w:w="5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8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-342265</wp:posOffset>
            </wp:positionV>
            <wp:extent cx="60325" cy="1631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-342265</wp:posOffset>
            </wp:positionV>
            <wp:extent cx="51435" cy="1631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-342265</wp:posOffset>
            </wp:positionV>
            <wp:extent cx="51435" cy="1631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September 30, 2023 and December 31, 2022, such assets consist primarily of collateral dependent loans. Collateral dependent loans categorized as Level 3 assets consist of non-homogeneous loans that have expected credit losses.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At September 30, 2023 and December 31, 2022, fair value of collateral dependent loans categorized as Level 3 was $312 thousand and $2.7 million, respectively.</w:t>
      </w:r>
    </w:p>
    <w:p>
      <w:pPr>
        <w:spacing w:after="0" w:line="13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During 2023, impairment was recognized on real estate servicing rights based upon the independent third party's quarterly valuation. A valuation allowance was established by strata to quantify the likely impairment of the value of the real estate servicing rights to the Company. If the carrying amount of an individual strata exceeds the fair value, impairment was recorded on that strata so the servicing asset was carried at fair value. Impairment was $3 thousand at September 30, 2023. There was no impairment at December 31,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30"/>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(Weighted</w:t>
            </w:r>
          </w:p>
        </w:tc>
      </w:tr>
      <w:tr>
        <w:trPr>
          <w:trHeight w:val="249"/>
        </w:trPr>
        <w:tc>
          <w:tcPr>
            <w:tcW w:w="2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September 30, 2023</w:t>
            </w:r>
          </w:p>
        </w:tc>
        <w:tc>
          <w:tcPr>
            <w:tcW w:w="260" w:type="dxa"/>
            <w:vAlign w:val="bottom"/>
          </w:tcPr>
          <w:p>
            <w:pPr>
              <w:spacing w:after="0"/>
              <w:rPr>
                <w:sz w:val="21"/>
                <w:szCs w:val="21"/>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Valuation Technique</w:t>
            </w:r>
          </w:p>
        </w:tc>
        <w:tc>
          <w:tcPr>
            <w:tcW w:w="140" w:type="dxa"/>
            <w:vAlign w:val="bottom"/>
          </w:tcPr>
          <w:p>
            <w:pPr>
              <w:spacing w:after="0"/>
              <w:rPr>
                <w:sz w:val="21"/>
                <w:szCs w:val="21"/>
                <w:color w:val="auto"/>
              </w:rPr>
            </w:pPr>
          </w:p>
        </w:tc>
        <w:tc>
          <w:tcPr>
            <w:tcW w:w="34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Unobservable Inputs</w:t>
            </w:r>
          </w:p>
        </w:tc>
        <w:tc>
          <w:tcPr>
            <w:tcW w:w="14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Average)</w:t>
            </w: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3.96-</w:t>
            </w: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strength of underlying project or</w:t>
            </w:r>
          </w:p>
        </w:tc>
        <w:tc>
          <w:tcPr>
            <w:tcW w:w="10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5.78%</w:t>
            </w: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and local government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entity / Discount rate</w:t>
            </w: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(5.18%)</w:t>
            </w: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3"/>
              </w:rPr>
              <w:t>25.00-</w:t>
            </w:r>
          </w:p>
        </w:tc>
      </w:tr>
      <w:tr>
        <w:trPr>
          <w:trHeight w:val="216"/>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dependent</w:t>
            </w: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to reflect current market</w:t>
            </w:r>
          </w:p>
        </w:tc>
        <w:tc>
          <w:tcPr>
            <w:tcW w:w="10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50.00%</w:t>
            </w:r>
          </w:p>
        </w:tc>
      </w:tr>
      <w:tr>
        <w:trPr>
          <w:trHeight w:val="244"/>
        </w:trPr>
        <w:tc>
          <w:tcPr>
            <w:tcW w:w="2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measurements</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conditions and ultimate collectability</w:t>
            </w: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3"/>
              </w:rPr>
              <w:t>(26.37%)</w:t>
            </w: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7"/>
              </w:rPr>
              <w:t>5.71-</w:t>
            </w: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Constant prepayment rate and probability of</w:t>
            </w:r>
          </w:p>
        </w:tc>
        <w:tc>
          <w:tcPr>
            <w:tcW w:w="10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7.33%</w:t>
            </w: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 servicing rights</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default / Discount rate</w:t>
            </w: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(7.29%)</w:t>
            </w:r>
          </w:p>
        </w:tc>
      </w:tr>
      <w:tr>
        <w:trPr>
          <w:trHeight w:val="675"/>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4"/>
        </w:trPr>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(Weighted</w:t>
            </w:r>
          </w:p>
        </w:tc>
      </w:tr>
      <w:tr>
        <w:trPr>
          <w:trHeight w:val="249"/>
        </w:trPr>
        <w:tc>
          <w:tcPr>
            <w:tcW w:w="2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December 31, 2022</w:t>
            </w:r>
          </w:p>
        </w:tc>
        <w:tc>
          <w:tcPr>
            <w:tcW w:w="260" w:type="dxa"/>
            <w:vAlign w:val="bottom"/>
          </w:tcPr>
          <w:p>
            <w:pPr>
              <w:spacing w:after="0"/>
              <w:rPr>
                <w:sz w:val="21"/>
                <w:szCs w:val="21"/>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Valuation Technique</w:t>
            </w:r>
          </w:p>
        </w:tc>
        <w:tc>
          <w:tcPr>
            <w:tcW w:w="140" w:type="dxa"/>
            <w:vAlign w:val="bottom"/>
          </w:tcPr>
          <w:p>
            <w:pPr>
              <w:spacing w:after="0"/>
              <w:rPr>
                <w:sz w:val="21"/>
                <w:szCs w:val="21"/>
                <w:color w:val="auto"/>
              </w:rPr>
            </w:pPr>
          </w:p>
        </w:tc>
        <w:tc>
          <w:tcPr>
            <w:tcW w:w="34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Unobservable Inputs</w:t>
            </w:r>
          </w:p>
        </w:tc>
        <w:tc>
          <w:tcPr>
            <w:tcW w:w="14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Average)</w:t>
            </w: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strength of underlying project or</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2.08-5.01%</w:t>
            </w: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and local government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entity / Discount rate</w:t>
            </w: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(4.38%)</w:t>
            </w: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3"/>
              </w:rPr>
              <w:t>20.00-</w:t>
            </w:r>
          </w:p>
        </w:tc>
      </w:tr>
      <w:tr>
        <w:trPr>
          <w:trHeight w:val="216"/>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dependent</w:t>
            </w: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to reflect current market</w:t>
            </w:r>
          </w:p>
        </w:tc>
        <w:tc>
          <w:tcPr>
            <w:tcW w:w="10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29.01%</w:t>
            </w:r>
          </w:p>
        </w:tc>
      </w:tr>
      <w:tr>
        <w:trPr>
          <w:trHeight w:val="244"/>
        </w:trPr>
        <w:tc>
          <w:tcPr>
            <w:tcW w:w="2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impaired loans</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measurements</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conditions and ultimate collectability</w:t>
            </w:r>
          </w:p>
        </w:tc>
        <w:tc>
          <w:tcPr>
            <w:tcW w:w="10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3"/>
              </w:rPr>
              <w:t>(24.13%)</w:t>
            </w: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Constant prepayment rate and probability of</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 servicing rights</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40" w:type="dxa"/>
            <w:vAlign w:val="bottom"/>
            <w:shd w:val="clear" w:color="auto" w:fill="CFF0FC"/>
          </w:tcPr>
          <w:p>
            <w:pPr>
              <w:spacing w:after="0"/>
              <w:rPr>
                <w:sz w:val="21"/>
                <w:szCs w:val="21"/>
                <w:color w:val="auto"/>
              </w:rPr>
            </w:pPr>
          </w:p>
        </w:tc>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default / Discount rate</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 — )</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assets measured at fair value on a nonrecurring basis at September 30, 2023 and December 31, 2022:</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gridSpan w:val="10"/>
          </w:tcPr>
          <w:p>
            <w:pPr>
              <w:jc w:val="center"/>
              <w:ind w:right="170"/>
              <w:spacing w:after="0"/>
              <w:rPr>
                <w:sz w:val="20"/>
                <w:szCs w:val="20"/>
                <w:color w:val="auto"/>
              </w:rPr>
            </w:pPr>
            <w:r>
              <w:rPr>
                <w:rFonts w:ascii="Arial" w:cs="Arial" w:eastAsia="Arial" w:hAnsi="Arial"/>
                <w:sz w:val="18"/>
                <w:szCs w:val="18"/>
                <w:color w:val="auto"/>
                <w:w w:val="89"/>
              </w:rPr>
              <w:t>Assets Measured at Fair Value on a Nonrecurring Basis at September 30, 2023</w:t>
            </w:r>
          </w:p>
        </w:tc>
        <w:tc>
          <w:tcPr>
            <w:tcW w:w="100" w:type="dxa"/>
            <w:vAlign w:val="bottom"/>
          </w:tcPr>
          <w:p>
            <w:pPr>
              <w:spacing w:after="0"/>
              <w:rPr>
                <w:sz w:val="20"/>
                <w:szCs w:val="20"/>
                <w:color w:val="auto"/>
              </w:rPr>
            </w:pPr>
          </w:p>
        </w:tc>
      </w:tr>
      <w:tr>
        <w:trPr>
          <w:trHeight w:val="215"/>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color w:val="auto"/>
                <w:w w:val="86"/>
              </w:rPr>
              <w:t>Balance at</w:t>
            </w: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Unobservable Inputs</w:t>
            </w:r>
          </w:p>
        </w:tc>
        <w:tc>
          <w:tcPr>
            <w:tcW w:w="100" w:type="dxa"/>
            <w:vAlign w:val="bottom"/>
          </w:tcPr>
          <w:p>
            <w:pPr>
              <w:spacing w:after="0"/>
              <w:rPr>
                <w:sz w:val="18"/>
                <w:szCs w:val="18"/>
                <w:color w:val="auto"/>
              </w:rPr>
            </w:pPr>
          </w:p>
        </w:tc>
      </w:tr>
      <w:tr>
        <w:trPr>
          <w:trHeight w:val="237"/>
        </w:trPr>
        <w:tc>
          <w:tcPr>
            <w:tcW w:w="302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September 30, 2023</w:t>
            </w: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(Level 2)</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r>
      <w:tr>
        <w:trPr>
          <w:trHeight w:val="215"/>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70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21"/>
                <w:szCs w:val="2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Real estate servicing rights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681"/>
        </w:trPr>
        <w:tc>
          <w:tcPr>
            <w:tcW w:w="3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gridSpan w:val="10"/>
          </w:tcPr>
          <w:p>
            <w:pPr>
              <w:jc w:val="center"/>
              <w:ind w:right="170"/>
              <w:spacing w:after="0"/>
              <w:rPr>
                <w:sz w:val="20"/>
                <w:szCs w:val="20"/>
                <w:color w:val="auto"/>
              </w:rPr>
            </w:pPr>
            <w:r>
              <w:rPr>
                <w:rFonts w:ascii="Arial" w:cs="Arial" w:eastAsia="Arial" w:hAnsi="Arial"/>
                <w:sz w:val="18"/>
                <w:szCs w:val="18"/>
                <w:color w:val="auto"/>
                <w:w w:val="89"/>
              </w:rPr>
              <w:t>Assets Measured at Fair Value on a Nonrecurring Basis at December 31, 2022</w:t>
            </w:r>
          </w:p>
        </w:tc>
        <w:tc>
          <w:tcPr>
            <w:tcW w:w="100" w:type="dxa"/>
            <w:vAlign w:val="bottom"/>
          </w:tcPr>
          <w:p>
            <w:pPr>
              <w:spacing w:after="0"/>
              <w:rPr>
                <w:sz w:val="20"/>
                <w:szCs w:val="20"/>
                <w:color w:val="auto"/>
              </w:rPr>
            </w:pPr>
          </w:p>
        </w:tc>
      </w:tr>
      <w:tr>
        <w:trPr>
          <w:trHeight w:val="215"/>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color w:val="auto"/>
                <w:w w:val="86"/>
              </w:rPr>
              <w:t>Balance at</w:t>
            </w:r>
          </w:p>
        </w:tc>
        <w:tc>
          <w:tcPr>
            <w:tcW w:w="26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Unobservable Inputs</w:t>
            </w:r>
          </w:p>
        </w:tc>
        <w:tc>
          <w:tcPr>
            <w:tcW w:w="100" w:type="dxa"/>
            <w:vAlign w:val="bottom"/>
          </w:tcPr>
          <w:p>
            <w:pPr>
              <w:spacing w:after="0"/>
              <w:rPr>
                <w:sz w:val="18"/>
                <w:szCs w:val="18"/>
                <w:color w:val="auto"/>
              </w:rPr>
            </w:pPr>
          </w:p>
        </w:tc>
      </w:tr>
      <w:tr>
        <w:trPr>
          <w:trHeight w:val="237"/>
        </w:trPr>
        <w:tc>
          <w:tcPr>
            <w:tcW w:w="302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2022</w:t>
            </w: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(Level 2)</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(Level 3)</w:t>
            </w:r>
          </w:p>
        </w:tc>
        <w:tc>
          <w:tcPr>
            <w:tcW w:w="100" w:type="dxa"/>
            <w:vAlign w:val="bottom"/>
          </w:tcPr>
          <w:p>
            <w:pPr>
              <w:spacing w:after="0"/>
              <w:rPr>
                <w:sz w:val="20"/>
                <w:szCs w:val="20"/>
                <w:color w:val="auto"/>
              </w:rPr>
            </w:pPr>
          </w:p>
        </w:tc>
      </w:tr>
      <w:tr>
        <w:trPr>
          <w:trHeight w:val="215"/>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70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FF0FC"/>
          </w:tcPr>
          <w:p>
            <w:pPr>
              <w:spacing w:after="0"/>
              <w:rPr>
                <w:sz w:val="21"/>
                <w:szCs w:val="2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Real estate servicing rights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376" w:lineRule="exact"/>
        <w:rPr>
          <w:sz w:val="20"/>
          <w:szCs w:val="20"/>
          <w:color w:val="auto"/>
        </w:rPr>
      </w:pPr>
    </w:p>
    <w:p>
      <w:pPr>
        <w:ind w:left="760"/>
        <w:spacing w:after="0" w:line="258"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2023 and December 31, 2022 are reflected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color w:val="auto"/>
                <w:w w:val="89"/>
              </w:rPr>
              <w:t>September 30, 2023</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153,182</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153,182</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16,995</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2,504,329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2,336,246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2,336,246</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12,902</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1,369,477</w:t>
            </w:r>
          </w:p>
        </w:tc>
        <w:tc>
          <w:tcPr>
            <w:tcW w:w="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1,369,406</w:t>
            </w:r>
          </w:p>
        </w:tc>
        <w:tc>
          <w:tcPr>
            <w:tcW w:w="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1,369,406</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700,445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691,341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2,575,280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2,566,105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2,060,747</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16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266,286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260,871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260,871</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-1217295</wp:posOffset>
            </wp:positionV>
            <wp:extent cx="76835" cy="1625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-1217295</wp:posOffset>
            </wp:positionV>
            <wp:extent cx="77470" cy="1625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-1217295</wp:posOffset>
            </wp:positionV>
            <wp:extent cx="68580" cy="1625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-1217295</wp:posOffset>
            </wp:positionV>
            <wp:extent cx="68580" cy="1625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-1217295</wp:posOffset>
            </wp:positionV>
            <wp:extent cx="68580" cy="1625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8940" w:type="dxa"/>
            <w:vAlign w:val="bottom"/>
            <w:gridSpan w:val="13"/>
          </w:tcPr>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0"/>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89"/>
              </w:rPr>
              <w:t>December 31, 2022</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Level 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84,409</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84,409</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390,789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390,789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292,766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2,336,074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2,171,152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2,171,152</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1,378,090</w:t>
            </w:r>
          </w:p>
        </w:tc>
        <w:tc>
          <w:tcPr>
            <w:tcW w:w="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1,377,944</w:t>
            </w:r>
          </w:p>
        </w:tc>
        <w:tc>
          <w:tcPr>
            <w:tcW w:w="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1,377,944</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557,980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543,737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2,468,864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2,454,475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1,921,681</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16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54,206</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125,761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125,761</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0"/>
                <w:szCs w:val="20"/>
                <w:color w:val="auto"/>
              </w:rPr>
            </w:pPr>
          </w:p>
        </w:tc>
      </w:tr>
      <w:tr>
        <w:trPr>
          <w:trHeight w:val="553"/>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-1653540</wp:posOffset>
            </wp:positionV>
            <wp:extent cx="76835" cy="1631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-1653540</wp:posOffset>
            </wp:positionV>
            <wp:extent cx="77470" cy="1631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-1653540</wp:posOffset>
            </wp:positionV>
            <wp:extent cx="68580" cy="1631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-1653540</wp:posOffset>
            </wp:positionV>
            <wp:extent cx="68580"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1631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25"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Company had no federal funds purchased as of September 30, 2023 and $22.6 million as of December 31, 2022. During the same time periods, the Company had $30.5 million and $31.6 million in securities sold under agreement to repurchase.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88"/>
              </w:rPr>
              <w:t>September 30, 2023</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30-90 days</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90 days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funds purchased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&amp; agency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88"/>
              </w:rPr>
              <w:t>December 31,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30-90 days</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90 days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funds purchased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26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&amp; agency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23,688</w:t>
            </w:r>
          </w:p>
        </w:tc>
        <w:tc>
          <w:tcPr>
            <w:tcW w:w="8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30,518</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-2331085</wp:posOffset>
            </wp:positionV>
            <wp:extent cx="77470" cy="1885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-2331085</wp:posOffset>
            </wp:positionV>
            <wp:extent cx="68580" cy="1885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-2331085</wp:posOffset>
            </wp:positionV>
            <wp:extent cx="68580" cy="1885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-2331085</wp:posOffset>
            </wp:positionV>
            <wp:extent cx="68580" cy="1885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885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-753745</wp:posOffset>
            </wp:positionV>
            <wp:extent cx="77470" cy="1885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-753745</wp:posOffset>
            </wp:positionV>
            <wp:extent cx="68580" cy="1885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-753745</wp:posOffset>
            </wp:positionV>
            <wp:extent cx="68580" cy="1885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-753745</wp:posOffset>
            </wp:positionV>
            <wp:extent cx="68580" cy="1885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885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SUBORDINATED NOTES</w:t>
      </w:r>
    </w:p>
    <w:p>
      <w:pPr>
        <w:spacing w:after="0" w:line="22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6"/>
          </w:tcPr>
          <w:p>
            <w:pPr>
              <w:jc w:val="right"/>
              <w:ind w:right="1110"/>
              <w:spacing w:after="0"/>
              <w:rPr>
                <w:sz w:val="20"/>
                <w:szCs w:val="20"/>
                <w:color w:val="auto"/>
              </w:rPr>
            </w:pPr>
            <w:r>
              <w:rPr>
                <w:rFonts w:ascii="Arial" w:cs="Arial" w:eastAsia="Arial" w:hAnsi="Arial"/>
                <w:sz w:val="18"/>
                <w:szCs w:val="18"/>
                <w:color w:val="auto"/>
              </w:rPr>
              <w:t>September 30, 2023</w:t>
            </w:r>
          </w:p>
        </w:tc>
        <w:tc>
          <w:tcPr>
            <w:tcW w:w="2740" w:type="dxa"/>
            <w:vAlign w:val="bottom"/>
            <w:gridSpan w:val="5"/>
          </w:tcPr>
          <w:p>
            <w:pPr>
              <w:jc w:val="right"/>
              <w:ind w:right="741"/>
              <w:spacing w:after="0"/>
              <w:rPr>
                <w:sz w:val="20"/>
                <w:szCs w:val="20"/>
                <w:color w:val="auto"/>
              </w:rPr>
            </w:pPr>
            <w:r>
              <w:rPr>
                <w:rFonts w:ascii="Arial" w:cs="Arial" w:eastAsia="Arial" w:hAnsi="Arial"/>
                <w:sz w:val="18"/>
                <w:szCs w:val="18"/>
                <w:color w:val="auto"/>
              </w:rPr>
              <w:t>December 31, 2022</w:t>
            </w: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2"/>
              </w:rPr>
              <w:t>Unamortized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right"/>
              <w:ind w:right="370"/>
              <w:spacing w:after="0"/>
              <w:rPr>
                <w:sz w:val="20"/>
                <w:szCs w:val="20"/>
                <w:color w:val="auto"/>
              </w:rPr>
            </w:pPr>
            <w:r>
              <w:rPr>
                <w:rFonts w:ascii="Arial" w:cs="Arial" w:eastAsia="Arial" w:hAnsi="Arial"/>
                <w:sz w:val="18"/>
                <w:szCs w:val="18"/>
                <w:color w:val="auto"/>
                <w:w w:val="92"/>
              </w:rPr>
              <w:t>Unamortized Note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81"/>
              <w:spacing w:after="0"/>
              <w:rPr>
                <w:sz w:val="20"/>
                <w:szCs w:val="20"/>
                <w:color w:val="auto"/>
              </w:rPr>
            </w:pPr>
            <w:r>
              <w:rPr>
                <w:rFonts w:ascii="Arial" w:cs="Arial" w:eastAsia="Arial" w:hAnsi="Arial"/>
                <w:sz w:val="18"/>
                <w:szCs w:val="18"/>
                <w:color w:val="auto"/>
                <w:w w:val="86"/>
              </w:rPr>
              <w:t>Note Issuance</w:t>
            </w: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510"/>
              <w:spacing w:after="0"/>
              <w:rPr>
                <w:sz w:val="20"/>
                <w:szCs w:val="20"/>
                <w:color w:val="auto"/>
              </w:rPr>
            </w:pPr>
            <w:r>
              <w:rPr>
                <w:rFonts w:ascii="Arial" w:cs="Arial" w:eastAsia="Arial" w:hAnsi="Arial"/>
                <w:sz w:val="18"/>
                <w:szCs w:val="18"/>
                <w:color w:val="auto"/>
                <w:w w:val="84"/>
              </w:rPr>
              <w:t>Issuance Costs</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81"/>
              <w:spacing w:after="0"/>
              <w:rPr>
                <w:sz w:val="20"/>
                <w:szCs w:val="20"/>
                <w:color w:val="auto"/>
              </w:rPr>
            </w:pPr>
            <w:r>
              <w:rPr>
                <w:rFonts w:ascii="Arial" w:cs="Arial" w:eastAsia="Arial" w:hAnsi="Arial"/>
                <w:sz w:val="18"/>
                <w:szCs w:val="18"/>
                <w:color w:val="auto"/>
              </w:rPr>
              <w:t>Costs</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Notes</w:t>
            </w:r>
          </w:p>
        </w:tc>
        <w:tc>
          <w:tcPr>
            <w:tcW w:w="1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1"/>
                <w:szCs w:val="21"/>
                <w:color w:val="auto"/>
              </w:rPr>
            </w:pPr>
          </w:p>
        </w:tc>
      </w:tr>
      <w:tr>
        <w:trPr>
          <w:trHeight w:val="945"/>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9 RECENT ACCOUNTING PRONOUNCEMENTS</w:t>
      </w:r>
    </w:p>
    <w:p>
      <w:pPr>
        <w:spacing w:after="0" w:line="225"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required the measurement of all expected credit losses for financial assets held at the reporting date to be based on historical experience, current conditions, and reasonable and supportable forecasts. Financial institutions and other organizations now use forward-looking information to better calculate their credit loss estimates. Many of the loss estimation techniques used prior to adoption of the ASU are still permitted, although the inputs to those techniques were changed to reflect the full amount of expected credit losses. Organizations continue to use judgment to determine which loss estimation method is appropriate for their circumstances. The ASU required enhanced disclosures to help investors and other financial statement users better understand significant estimates and judgments used in estimating credit losses, as well as the credit quality and underwriting standards of an organization’s portfolio. These disclosures included qualitative and quantitative requirements that provided additional information about the amounts recorded in the financial statements. In addition, the ASU amended the accounting for credit losses on available-for-sale debt securities and purchased financial assets with credit deterioration.</w:t>
      </w:r>
    </w:p>
    <w:p>
      <w:pPr>
        <w:spacing w:after="0" w:line="14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had completed an analysis to determine that it qualifies as a Smaller Reporting Company. As such, adoption was postponed until January 1, 2023.</w:t>
      </w:r>
    </w:p>
    <w:p>
      <w:pPr>
        <w:spacing w:after="0" w:line="160"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The Current Expected Credit Losses (“CECL”) methodology applies to loans held for investment, held to maturity debt securities, and off balance-sheet credit exposures. The ASU allows for several different methods of computing the ACL: closed pool, vintage, average charge-off, migration, probability of default / loss given default, discounted cash flow, and regression. Based on its analysis of observable data, the Company concluded the average charge-off method to be the most appropriate and statistically relevant. A 20-year lookback will be utilized as the historical loss period due to its inclusion of several economic cycles and relevance to real estate secured assets.</w:t>
      </w:r>
    </w:p>
    <w:p>
      <w:pPr>
        <w:spacing w:after="0" w:line="3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began working with its third-party service provider to review parallel reports in June 2019. At the end of first quarter 2022, the Company evaluated and refined its methodology and produced a parallel report for the calculation of the ACL under the ASU guidance. The Company contracted with a third party to perform an independent validation of its processes and methodology. This validation has been completed and, at this time, is anticipated to be performed on an annual basis. As the Company conducts its own risk-based audits, the audit risk assessment will determine the scope and frequency of future model validations.</w:t>
      </w:r>
    </w:p>
    <w:p>
      <w:pPr>
        <w:spacing w:after="0" w:line="14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qualitative impact of the new accounting standard will still be directed by many of the same factors that impacted the previous methodology for computing the allowance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spacing w:after="0" w:line="37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adopted ASU 2016-13 on January 1, 2023, using the modified retrospective method for all financial assets measured at amortized cost and off-balance sheet credit exposures. Results for 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46"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The transition adjustment of the CECL adoption included an increase in the allowance for loan losses of $3.6 million, increase in the allowance for unfunded loan commitment and letters of credit of $0.9 million and a $3.4 million decrease to the retained earnings account to reflect the cumulative effect of adopting CECL on our Condensed Consolidated Balance Sheets, with the $1.1 million tax impact portion being recorded as part of the deferred tax asset in other assets on our Condensed Consolidated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illustrates the impact of adopting the ASU:</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w w:val="97"/>
              </w:rPr>
              <w:t>January 1,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89"/>
              </w:rPr>
              <w:t>As Reported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94"/>
              </w:rPr>
              <w:t>Impact of</w:t>
            </w:r>
          </w:p>
        </w:tc>
        <w:tc>
          <w:tcPr>
            <w:tcW w:w="100" w:type="dxa"/>
            <w:vAlign w:val="bottom"/>
          </w:tcPr>
          <w:p>
            <w:pPr>
              <w:spacing w:after="0"/>
              <w:rPr>
                <w:sz w:val="20"/>
                <w:szCs w:val="20"/>
                <w:color w:val="auto"/>
              </w:rPr>
            </w:pPr>
          </w:p>
        </w:tc>
      </w:tr>
      <w:tr>
        <w:trPr>
          <w:trHeight w:val="242"/>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Under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w w:val="95"/>
              </w:rPr>
              <w:t>Pre-ASU 2016-13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ASU 2016-13</w:t>
            </w:r>
          </w:p>
        </w:tc>
      </w:tr>
      <w:tr>
        <w:trPr>
          <w:trHeight w:val="250"/>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2"/>
              </w:rPr>
              <w:t>ASU 2016-13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Adoption</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Adoption</w:t>
            </w: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2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21"/>
                <w:szCs w:val="21"/>
                <w:color w:val="auto"/>
              </w:rPr>
            </w:pPr>
          </w:p>
        </w:tc>
        <w:tc>
          <w:tcPr>
            <w:tcW w:w="4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FF0FC"/>
          </w:tcPr>
          <w:p>
            <w:pPr>
              <w:spacing w:after="0"/>
              <w:rPr>
                <w:sz w:val="21"/>
                <w:szCs w:val="2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(166 )</w:t>
            </w: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(2,165 )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r>
      <w:tr>
        <w:trPr>
          <w:trHeight w:val="249"/>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Unfunded Loan Commitment &amp; Letters of Credit</w:t>
            </w: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80" w:type="dxa"/>
            <w:vAlign w:val="bottom"/>
          </w:tcPr>
          <w:p>
            <w:pPr>
              <w:ind w:left="240"/>
              <w:spacing w:after="0"/>
              <w:rPr>
                <w:sz w:val="20"/>
                <w:szCs w:val="20"/>
                <w:color w:val="auto"/>
              </w:rPr>
            </w:pPr>
            <w:r>
              <w:rPr>
                <w:rFonts w:ascii="Arial" w:cs="Arial" w:eastAsia="Arial" w:hAnsi="Arial"/>
                <w:sz w:val="18"/>
                <w:szCs w:val="18"/>
                <w:color w:val="auto"/>
              </w:rPr>
              <w:t>Current Expected Credit Losses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26,043</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21,575</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-187960</wp:posOffset>
            </wp:positionV>
            <wp:extent cx="77470" cy="1885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1885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Restructurings and Vintage Disclosures." This ASU eliminates the accounting guidance on troubled debt restructurings for creditors in ASC 310-40 and requires entities to evaluate all receivable modifications under ASC 310-20 to determine whether a modification made to a borrower results in a new loan or a continuation of the existing loan. The amended guidance adds 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was effective for the Company on January 1, 2023. The Company adopted ASU 2022-02 effective January 1, 2023. There was no financial impact as a result of adopting the standard.</w:t>
      </w:r>
    </w:p>
    <w:p>
      <w:pPr>
        <w:spacing w:after="0" w:line="126"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Q4 2023. Management and its advisors are in the process of evaluating the impact of these proposed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By the end of the first quarter 2023, the focus of most financial institutions quickly changed to liquidity and deposit generation. For the Bank, a focus on deposit generation continued through the next two quarters. The Company has experienced great success with organic growth in deposits, growing over 4.3%, or $106.4 million since year end 2022, and liquidity was strengthened in the process. Cash and cash equivalents increased $68.8 million over the same time period. Uninsured deposits based on FDIC coverage as a percentage of total deposits was 18.84% as of September 30, 2023, and as of the same date, total uninsured deposits (includes public deposits with protection over FDIC) was 9.11%. The use of the financial network products, such as the Certificate of Deposit Account Registry “CDars” and an Insured Cash Sweep which makes FDIC coverage available to larger depositors, contributes to the low uninsured percentage. Competition for deposits remains high and it has caused the Bank’s cost of funds to increase significantly and for the net interest margin to tighten. While interest income increased nearly $30 million over year-to-date September 30, 2022, interest expense increased more, just over $32.5 million over the comparable time period. The attractiveness to depositors for the Certificate of Deposit product is a large factor in the increased cost of funds, for new depositors and those moving funds from lower-yielding deposit account products.</w:t>
      </w:r>
    </w:p>
    <w:p>
      <w:pPr>
        <w:spacing w:after="0" w:line="155"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During the quarter, the Bank opened two full-service locations – one located in Oxford, Ohio and the other in Downtown Toledo, Ohio. A loan production office was already providing a lending service in Oxford and the opening of the office enables us to deepen those relationships with deposit services. The Downtown Toledo office allows us to better service our Lucas County customers and reach more of the Toledo community. Since the end of the quarter, the Bank has opened two additional full-service locations – one located in Downtown Fort Wayne, Indiana and the other in Birmingham, Michigan. Birmingham represents our first Michigan full-service office, and we look forward to the additional deposits that will be opened and serviced there. We have long serviced Michigan customers with our Ohio offices, and this will broaden our reach, specifically with business customers where we have only had a loan relationship. The Downtown Fort Wayne office is a regional office, combining retail with a loan production office in one location. Due to various construction constraints and unexpected opportunities, these offices opened closer together, time wise, than we had originally expected. Deposit growth is anticipated for the next quarters. The Bank has already seen improvement in the monthly number of net new checking accounts being opened since the start of the year.</w:t>
      </w:r>
    </w:p>
    <w:p>
      <w:pPr>
        <w:spacing w:after="0" w:line="12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Another bright spot for the third quarter is the over 30 days past due loan percentage was the lowest of the year at 0.35% as of September 30, 2023. The Bank continues to monitor this ratio closely as one of the indicators for the strength of our credit portfolio. The increase in nonaccruals was due mainly to one agricultural relationship where the Bank is well collateralized and does not foresee a loss.</w:t>
      </w:r>
    </w:p>
    <w:p>
      <w:pPr>
        <w:spacing w:after="0" w:line="12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Loan demand on the Ag side has been relatively flat as our customer base’s financial position has been strong and rising interest rates have created hesitation for new borrowings. Seasonal borrowings on operating lines of credit continue in a normal pattern. The performance of the Ag portfolio has been positive as grain, livestock and Agri-businesses have benefited from several profitable years. The growing conditions in 2023 for most of our market area have been favorable with average to above average yields anticipated. Commodity prices have provided opportunities to price 2023 production at profitable levels but have begun to decline. The overall performance of the Ag portfolio is expected to be stable in 2023.</w:t>
      </w:r>
    </w:p>
    <w:p>
      <w:pPr>
        <w:spacing w:after="0" w:line="165"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Bank's Commercial banking division started the first half of 2023 with an active pipeline. With the rising rate environment, the third quarter was a flat loan growth period. 2022 and year-to-date 2023 client performance remains good; however, client concerns remain focused around inflation, raising interest rates, availability of workforce, interruptions and delays in the supply chain. Overall credit quality of the portfolio remains good, past dues and delinquencies remained low throughout 2023. 2023 fee income remains solid through the third quarter.</w:t>
      </w:r>
    </w:p>
    <w:p>
      <w:pPr>
        <w:spacing w:after="0" w:line="117" w:lineRule="exact"/>
        <w:rPr>
          <w:sz w:val="20"/>
          <w:szCs w:val="20"/>
          <w:color w:val="auto"/>
        </w:rPr>
      </w:pPr>
    </w:p>
    <w:p>
      <w:pPr>
        <w:jc w:val="both"/>
        <w:ind w:left="760"/>
        <w:spacing w:after="0" w:line="242" w:lineRule="auto"/>
        <w:rPr>
          <w:sz w:val="20"/>
          <w:szCs w:val="20"/>
          <w:color w:val="auto"/>
        </w:rPr>
      </w:pPr>
      <w:r>
        <w:rPr>
          <w:rFonts w:ascii="Arial" w:cs="Arial" w:eastAsia="Arial" w:hAnsi="Arial"/>
          <w:sz w:val="18"/>
          <w:szCs w:val="18"/>
          <w:color w:val="auto"/>
        </w:rPr>
        <w:t>The Bank's Home Loan division is staying consistent in production even with the raising rate environment and low housing inventory throughout our regions in 2023. We have seen a decrease in refinance applications, but an increase in home equity requests. This is mainly due to borrowers not wanting to give up the low rate of their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mortgages but still wanting to use the equity in their homes for home improvement, debt consolidations, etc. Our preapproval requests are staying consistent, but many borrowers are still dealing with losing out on multiple offer situations and low inventory. Our team is focusing on building lasting relationships and educating our borrowers and communities. Our credit quality remains good and our delinquencies low for 2023.</w:t>
      </w:r>
    </w:p>
    <w:p>
      <w:pPr>
        <w:spacing w:after="0" w:line="16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has made strides in our 3-year strategic plan as it relates to the investment in infrastructure and technology. The investment has resulted in the launch of new shared services group formation, marketing and human resource department restructures. Salary expenses are also higher due to the staffing of the new locations. Full time equivalent employee count increased from 431 as of December 31, 2022, to 465 as of September 30, 2023. The competition for talent is as fierce as it is for core deposits. A new Bank website was rolled out with more features and benefits. It includes an updated online banking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experience along with the rollout of the new brand. While the cost of these investments has hampered short-term performance, the Company remains focused on the long-term benefits.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Time, without rate changes by the Federal Reserve, will be beneficial so the Bank’s 3/1 (3 year fixed/1 year variable), 5/1 and 7/1 commercial real estate loans of prior years can reach the repricing trigger to become variable and reprice at higher rates. The Bank continues to monitor and stress the portfolios to verify the customers have the ability to repay at a higher rate.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remains well capitalized and is confident of our ability to manage through the unprecedented rapid interest rate increases. Our commitment to pay a consistent and ever-increasing dividend to our shareholders remains.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thirty-seven full-service banking offices throughout Northwest Ohio and Northeast Indiana and a drive-up facility in Archbold. These include a new office in downtown Toledo and in Oxford, Ohio which formerly was a successful LPO for the Bank. The Bank also operates three Loan Production Offices (LPOs), one each in Ohio, Indiana and Michigan.</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and Northeast Indiana,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quarter of 2021 and the addition of Peoples Federal Savings in the 4th quarter of 2022, the Bank saw an increase in fixed rate, long-term mortgage loans to our portfolio from that banking service area.</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660" w:hanging="28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Loans above 100% are generally the result of sales tax.</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1st or 2nd mortgages on 1-4 family homes maximum range from 80-85%.</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1040" w:hanging="29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80% LTV less retainages and greater than 90 days.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040" w:hanging="29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Livestock and grain up to 80% LTV, crops (insured) up to 75% and Warehouse Receipts up to 87%.</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Maximum LTV of 50% on raw and finished goods.</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Floor plan:</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020" w:hanging="27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not to exceed (NTE) 80% of invoice, used NTE 50% of listed book or 75% of appraised value.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Real Estate:</w:t>
      </w:r>
    </w:p>
    <w:p>
      <w:pPr>
        <w:spacing w:after="0" w:line="23" w:lineRule="exact"/>
        <w:rPr>
          <w:sz w:val="20"/>
          <w:szCs w:val="20"/>
          <w:color w:val="auto"/>
        </w:rPr>
      </w:pPr>
    </w:p>
    <w:p>
      <w:pPr>
        <w:ind w:left="1020" w:hanging="27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Bank’s primary market includes communities located in the Ohio counties of Butler, Champaign, Defiance, Fulton, Hancock, Henry, Lucas, Shelby,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September 30, 2023, we had 465 full time equivalent employees. The employees are not represented by a collective bargaining unit. We provide our employees with a comprehensive benefit program, some of which is contributory. We consider our employee relations to be good.</w:t>
      </w: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REGULATORY DEVELOPMENTS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were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applied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was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56" w:name="page57"/>
    <w:bookmarkEnd w:id="56"/>
    <w:p>
      <w:pPr>
        <w:spacing w:after="0" w:line="308" w:lineRule="auto"/>
        <w:rPr>
          <w:sz w:val="20"/>
          <w:szCs w:val="20"/>
          <w:color w:val="auto"/>
        </w:rPr>
      </w:pPr>
      <w:r>
        <w:rPr>
          <w:rFonts w:ascii="Arial" w:cs="Arial" w:eastAsia="Arial" w:hAnsi="Arial"/>
          <w:sz w:val="17"/>
          <w:szCs w:val="17"/>
          <w:color w:val="auto"/>
        </w:rPr>
        <w:t>The Coronavirus Response and Relief Supplemental Appropriations Act, passed by Congress in December 2020, extended certain provisions of the CARES Act and affected the Company into 2021. Key banking provisions under this legislation include the following:</w:t>
      </w:r>
    </w:p>
    <w:p>
      <w:pPr>
        <w:spacing w:after="0" w:line="119" w:lineRule="exact"/>
        <w:rPr>
          <w:sz w:val="20"/>
          <w:szCs w:val="20"/>
          <w:color w:val="auto"/>
        </w:rPr>
      </w:pPr>
    </w:p>
    <w:p>
      <w:pPr>
        <w:ind w:left="740" w:right="20" w:hanging="369"/>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Provided an additional $284.6 billion in Paycheck Protection Program (PPP) funding for loans to small businesses, including for borrowers who have previously received a PPP loan.</w:t>
      </w:r>
    </w:p>
    <w:p>
      <w:pPr>
        <w:spacing w:after="0" w:line="129" w:lineRule="exact"/>
        <w:rPr>
          <w:rFonts w:ascii="Arial" w:cs="Arial" w:eastAsia="Arial" w:hAnsi="Arial"/>
          <w:sz w:val="18"/>
          <w:szCs w:val="18"/>
          <w:color w:val="auto"/>
        </w:rPr>
      </w:pPr>
    </w:p>
    <w:p>
      <w:pPr>
        <w:ind w:left="740" w:hanging="36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184"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spacing w:after="0" w:line="143" w:lineRule="exact"/>
        <w:rPr>
          <w:rFonts w:ascii="Arial" w:cs="Arial" w:eastAsia="Arial" w:hAnsi="Arial"/>
          <w:sz w:val="18"/>
          <w:szCs w:val="18"/>
          <w:color w:val="auto"/>
        </w:rPr>
      </w:pPr>
    </w:p>
    <w:p>
      <w:pPr>
        <w:jc w:val="both"/>
        <w:ind w:left="740" w:hanging="369"/>
        <w:spacing w:after="0" w:line="26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43" w:lineRule="exact"/>
        <w:rPr>
          <w:rFonts w:ascii="Arial" w:cs="Arial" w:eastAsia="Arial" w:hAnsi="Arial"/>
          <w:sz w:val="18"/>
          <w:szCs w:val="18"/>
          <w:color w:val="auto"/>
        </w:rPr>
      </w:pPr>
    </w:p>
    <w:p>
      <w:pPr>
        <w:ind w:left="740" w:right="20" w:hanging="369"/>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 which was further delayed until January 1, 2023.</w:t>
      </w:r>
    </w:p>
    <w:p>
      <w:pPr>
        <w:spacing w:after="0" w:line="129"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spacing w:after="0" w:line="143" w:lineRule="exact"/>
        <w:rPr>
          <w:rFonts w:ascii="Arial" w:cs="Arial" w:eastAsia="Arial" w:hAnsi="Arial"/>
          <w:sz w:val="18"/>
          <w:szCs w:val="18"/>
          <w:color w:val="auto"/>
        </w:rPr>
      </w:pPr>
    </w:p>
    <w:p>
      <w:pPr>
        <w:ind w:left="740" w:hanging="369"/>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196" w:lineRule="exact"/>
        <w:rPr>
          <w:rFonts w:ascii="Arial" w:cs="Arial" w:eastAsia="Arial" w:hAnsi="Arial"/>
          <w:sz w:val="17"/>
          <w:szCs w:val="17"/>
          <w:color w:val="auto"/>
        </w:rPr>
      </w:pPr>
    </w:p>
    <w:p>
      <w:pPr>
        <w:ind w:left="740" w:hanging="36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184"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originally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The Company complies with the revised price-based new General QM Loan definition and its requirements. Since the Company sells fixed rate consumer mortgage loans to the Federal Home Loan Mortgage Corporation, it must remain attentive to their current loan underwriting requirements.</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30, 2023, the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would be reported to the CFPB which will then make aggregated information publicly available. These new final rules have a phased implementation period with the largest lenders being required to collect and report data first.</w:t>
      </w:r>
    </w:p>
    <w:p>
      <w:pPr>
        <w:spacing w:after="0" w:line="3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Lenders that originated at least 2,500 small business loans annually must begin data collection on October 1, 2024. Lenders that originated at least 500 small business loans annually will be required to begin data collection as of April 1, 2025. For those Lenders that originated at least 100 small business loans annually, data collection will be required to begin as of January 1, 2026. The Bank conducted a preliminary assessment based on the number of covered loans originated in 2022. Based on the preliminary assessment, the Bank would be subject to the data collection requirements as of April 1, 2025.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 Implementation of these final rules will involve significant changes to processes and procedures in conjunction with new</w:t>
      </w:r>
    </w:p>
    <w:p>
      <w:pPr>
        <w:spacing w:after="0" w:line="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57" w:name="page58"/>
    <w:bookmarkEnd w:id="57"/>
    <w:p>
      <w:pPr>
        <w:jc w:val="both"/>
        <w:spacing w:after="0" w:line="269" w:lineRule="auto"/>
        <w:rPr>
          <w:sz w:val="20"/>
          <w:szCs w:val="20"/>
          <w:color w:val="auto"/>
        </w:rPr>
      </w:pPr>
      <w:r>
        <w:rPr>
          <w:rFonts w:ascii="Arial" w:cs="Arial" w:eastAsia="Arial" w:hAnsi="Arial"/>
          <w:sz w:val="17"/>
          <w:szCs w:val="17"/>
          <w:color w:val="auto"/>
        </w:rPr>
        <w:t>software configurations to accommodate and capture required data points regarding applications and final action taken. Presently, the Bank's compliance data for commencement of small business lending data collection is uncertain. A lawsuit filed in May 2023 by the Texas Bankers Association and Rio Bank based in McAllen, Texas in the Southern District of Texas challenged the CFPB's final rule implementing Section 1071 of the Dodd-Frank Act. Shortly thereafter, the American Bankers Association joined the lawsuit as a plaintiff. The argument is the final rule far exceeded the statutory scope of Section 1071, failed to take into consideration relevant industry comments, and did not conduct appropriate cost-benefit analysis. Additionally, the constitutionality of the CFPB was challenged based on its funding structure, and which is based upon another pending lawsuit which is awaiting a hearing by the U.S. Supreme Court regarding CFPB's funding. An injunction was granted by a federal judge in the Southern District of Texas banning the CFPB from requiring Rio Bank, and members of both the Texas Bankers Association and the American Bankers Association from complying with the final rules implementing Section 1071 of the Dodd-Frank Act until the Supreme Court of the United States rules on the CFPB's funding. As a member of the American Bankers Association, the Bank is presently impacted by the injunction on implementation of the Section 1071 final rule.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2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ACL, the valuation of its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Agricultural Real Estate Servicing Rights are included in Servicing Rights. The Company has contracted with a third party to assist in the calculation of the valuation of the Agricultural Real Estate Servicing Rights.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7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September 30, 2023, December 31, 2022, and September 30, 2022 there were no OREO property holdings.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$10.8 million at September 30, 2023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represents management’s estimate of probable credit losses inherent in the Bank’s loan portfolio, unfunded loan commitments, and letters of credit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our methodology to groupings based on similar risk characteristics.</w:t>
      </w:r>
    </w:p>
    <w:p>
      <w:pPr>
        <w:spacing w:after="0" w:line="2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loan portfolio was grouped based on loans with similar risk characteristics. The following groupings are utilized in the CECL calculation:</w:t>
      </w:r>
    </w:p>
    <w:p>
      <w:pPr>
        <w:sectPr>
          <w:pgSz w:w="11900" w:h="16838" w:orient="portrait"/>
          <w:cols w:equalWidth="0" w:num="1">
            <w:col w:w="10480"/>
          </w:cols>
          <w:pgMar w:left="1080" w:top="51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Multifamily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HELOC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Construction &amp; Land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Commercial Real Estate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Consumer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Sr Lien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Jr Lien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Commercial &amp; Industrial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Agriculture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Commercial Real Estate: Construction &amp; Land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Paycheck Protection Program - 100%: C&amp;I</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Commercial Real Estate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Single Family Sr Lien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Single Family Jr Lien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Farmland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Consumer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Multifamily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Farmland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Acquired: Commercial &amp; Industrial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Impaired: Construction &amp; 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Consumer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Impaired: Commercial Real Estate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Sr Lien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Jr Lien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Impaired: Commercial &amp; Industrial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Acquired: Agriculture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Acquired: Single Family HELOC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Acquired: Construction &amp; 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Farmland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HELOC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Agriculture</w:t>
      </w:r>
    </w:p>
    <w:p>
      <w:pPr>
        <w:spacing w:after="0" w:line="885" w:lineRule="exact"/>
        <w:rPr>
          <w:sz w:val="20"/>
          <w:szCs w:val="20"/>
          <w:color w:val="auto"/>
        </w:rPr>
      </w:pPr>
    </w:p>
    <w:p>
      <w:pPr>
        <w:sectPr>
          <w:pgSz w:w="11900" w:h="16838" w:orient="portrait"/>
          <w:cols w:equalWidth="0" w:num="2">
            <w:col w:w="4160" w:space="720"/>
            <w:col w:w="5600"/>
          </w:cols>
          <w:pgMar w:left="1080" w:top="517" w:right="339" w:bottom="1440" w:gutter="0" w:footer="0" w:header="0"/>
          <w:type w:val="continuous"/>
        </w:sectPr>
      </w:pPr>
    </w:p>
    <w:p>
      <w:pPr>
        <w:spacing w:after="0"/>
        <w:rPr>
          <w:sz w:val="20"/>
          <w:szCs w:val="20"/>
          <w:color w:val="auto"/>
        </w:rPr>
      </w:pPr>
      <w:r>
        <w:rPr>
          <w:rFonts w:ascii="Arial" w:cs="Arial" w:eastAsia="Arial" w:hAnsi="Arial"/>
          <w:sz w:val="18"/>
          <w:szCs w:val="18"/>
          <w:color w:val="auto"/>
        </w:rPr>
        <w:t>All groups use the average charge-off method for calculating the ACL.</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Groups using the average charge-off method utilize a 20-year lookback historical loss period. This includes several economic cycles and is more appropriate for real estate secured assets. Due to the Company's loss history not being sufficient and relevant enough to predict future losses, the Company is utilizing peer data from a peer group of 327 banks in the region with asset sizes less than $5 billion. The Company will compare our loan loss reserves against peer to determine if we are in line with the group. The Company's loan portfolio has changed significantly as loan growth has occurred. Thus, we don't deem the Company's historical portfolio to be quite as indicative of the future portfolio and, subsequently, loss exposure.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reserves are calculated at the loan level and based on the note characteristics, essentially balances times loss rate + Q-factors + forward look, with the forward looking forecast eliminated after 12 months. As a percentage, the reserves are the highest against construction and land loans due to the life of loan being down and several larger loans being converted to permanent financing and therefore coming out of the construction bucket during 2023 thus affecting the reserves. The second largest reserve pool is the CRE construction and land loan, as these are loans that will convert to normal CRE loans after construction with permanent financing already in place, typically based on some leases signed before construction starts to reduce the risk profile of the loan. CRE loans are naturally reserved higher than multifamily loans given the stability in the multifamily sector. Ag loans have a low overall reserve, but they also have the lowest loss rates. Commercial and industrial loans have a lower reserve than CRE considering the average life of loan is much less (i.e., shorter amortization and lines of credit). The other loan groups did not have material changes during the quarter. We expect the Construction groups to have the most variability in the reserve, though having those higher reserves is important during this environment of construction delays and overruns.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provide a consistent and supportable forward looking forecast from period-to-period, management is performing a regression analysis of the (Bank's/State's) historical loss rates against the following Federal Open Market Committee (FOMC) quarterly economic projections for Change in real GDP and National Unemployment. Annual projections are broken down using a straight-line approach for quarterly changes. Accounting guidance indicates the forecast period should be reasonable and supportable. Management believes that a forecast period of 12 months is reasonable as one year corresponds to the expected change in Fed policy given the current spreads between 1- and 10-year T-bills, the Company has annual line of credit maturities on many credits which gives the Company the ability to reassess risk, and the economic forecast in general is usually only feasible out to one year.</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that do not share risk characteristics are evaluated on an individual basis. Loans evaluated individually are not also included in the collective evaluation. When management determines that foreclosure is probable expected credit losses are based on the fair value of the collateral at the reporting date, adjusted for selling costs as appropriate.</w:t>
      </w:r>
    </w:p>
    <w:p>
      <w:pPr>
        <w:spacing w:after="0" w:line="2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type w:val="continuous"/>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 For more information regarding the estimates and calculations used to establish the ACL please see Note 4 to the consolidated financial statements provided herewith.</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categories of off-balance sheet exposures are the same as the categories for the ACL presented prior. The construction funding assumptions for the first six months were based on a sample of loans in the portfolio and their weighted average draw percentages. The remaining amounts are assumed to be drawn during the second six months. For all term loan groupings that are solely term loans, (e.g., CRE, Single Family, Farmland and Consumer), we have assumed 50% funded months 0-6 and 100% thereafter. For HELOC, we forecast utilization will return to 2019's level of 46% (pre-pandemic), which would result in a 9% increase - we have straight-lined that over the next year. For Agriculture loans, we assume 17% funding in the next six months, 21% funding in the next twelve months and 25% funding after a year. For C&amp;I loans, we assume 6% funding in the next six months, 8% funding in the next twelve months and 11% funding after a year. As the Company adjusted funding assumptions, it did not have material effects on the calculation. We have utilized internal data to make these assumptions, which we believe is representative of our portfolio.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required to estimate the value of its servicing rights. These rights are composed of servicing rights for single-family mortgage loans and agricultural real estate loans. The Bank’s servicing rights relating to fixed rate single-family mortgage loans and agricultural real estate loans that it has sold without recourse but services for others for a fee represent an asset on the Bank’s balance sheet. The valuations are completed by independent third parties.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2023, the Company engaged an independent third party with expertise in the valuation of agricultural real estate servicing rights. The independent third party’s valuation of the agricultural real estate servicing rights is based on relevant characteristics of the Company’s agricultural real estate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process is similar to the process for valuing single family real estate servicing rights, the ag servicing valuation utilizes different strata, prepayment speeds and other assumptions in order to account for the differences in behavior between ag loans and single 1-4 family mortgages. USDA rate indications, SBA market indications and Farmer Mac 3-month Cost of Funds Index adjustments are utilized in the quarterly valuation process.</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this refined analysis, representing a change in accounting estimate, management recognized an additional $712 thousand of agricultural loan servicing rights during the quarter ended June 30, 2023. This change in estimate took place during the quarter ended June 30, 2023, and had no effect on past periods. No change in accounting estimate was required during the third quarter. Management intends to continue to obtain the appraisal of the agricultural real estate loan servicing rights from the independent third party specialist on a quarterly basis.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Bank’s servicing rights relating to loans serviced for others represent an asset. This asset is initially capitalized and included on the Company's Condensed Consolidated Balance Sheets. The servicing rights are then amortized as noninterest expense in proportion to, and over the period of the estimated future net servicing income of the underlying servicing rights. There are a number of factors, however, that can affect the ultimate value of the servicing rights to the Bank. The expected and actual rates of ag loans and single 1-4 family loan prepayments are the most significant factors driving the potential for the impairment of the value of servicing assets. Increases in loan prepayments reduce estimated future net servicing cash flows because the life</w:t>
      </w:r>
    </w:p>
    <w:p>
      <w:pPr>
        <w:spacing w:after="0" w:line="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of the underlying loan is reduced, meaning that the present value of the servicing rights is less than the carrying value of those rights on the Bank's balance sheet.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in an attempt to reflect an accurate expected value to the Bank of the servicing rights, the Bank receives a valuation of its servicing rights from an independent third party. The independent third party's valuation of the servicing rights is based on relevant characteristics of the Bank's loan servicing portfolio, such as loan terms, interest rates and recent national prepayment experience, as well as current national market interest rate levels, market forecasts and other economic conditions.</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purposes of determining impairment, the real estate servicing assets are stratified into like groups based on loan type, term, new versus seasoned and interest rate. Management, with the advice from its third-party valuation firm, reviews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servicing rights, management then establishes a valuation allowance by each stratum, if necessary, to quantify the likely impairment of the value of the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servicing rights based on market conditions.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2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3" w:name="page64"/>
    <w:bookmarkEnd w:id="63"/>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202"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The Company had begun to experience a slowdown in its growth mode last quarter and it slowed even further in the third quarter. It is partly due to a natural decrease in borrowers loan demand as higher interest rates have made projected capital outlays too costly. The Bank has also experienced a more challenging environment in which to raise lower cost core deposits. Therefore, we also chose to participate out a portion of our larger loans with other financial institutions, both new loans and some existing. The Bank has also maintained an emphasis on servicing existing clients and focus on prudent growth within our newer markets. The Bank is focused on funding the loan growth with the least expensive source of deposits or borrowings. While securities are generally considered as a source of cash, in the current environment, it is unlikely that they would be sold for such funding needs. Growing deposits will be a focus especially in our newer markets. The Bank offers the Insured Cash Sweep (“ICS”) product accessed through the IntraFi network of financial institutions which helps to reduce the amount of pledged securities. This has provided more availability for runoff of securities by the Bank if warranted to fund loan growth.</w:t>
      </w:r>
    </w:p>
    <w:p>
      <w:pPr>
        <w:spacing w:after="0" w:line="126"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As the competition for deposits has increased, the Company has increased emphasis on its liquidity position. The frequency of management liquidity meetings was increased to weekly in order to be more responsive to opportunities and threats as they arise. These have proven to be very beneficial and will continue throughout year end. Additional capacity has also been created through enrollment and pledging $60.5 million of securities, having a par value of $71.9 million, to the Federal Reserve's Bank Term Funding Program (BTFP). The BTFP collateral values are based on the par value of the securities rather than the fair values most other lenders utilize. Currently, par values are higher than fair value which results in a higher available balance for borrowings. As of September 30, 2023, the Company had not utilized any funding from the BTFP.</w:t>
      </w:r>
    </w:p>
    <w:p>
      <w:pPr>
        <w:spacing w:after="0" w:line="12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Liquidity in terms of cash and cash equivalents ended $68.8 million higher as of September 30, 2023 than it was at December 31, 2022. Cash and cash equivalents increased $82.0 million over June 30, 2023. Prior year’s excess liquidity along with an increase of Federal Home Loan Bank advances of $138.8 million helped to fund the $168.3 million increase in net loans since year end 2022. All loan portfolios with the exception of the Agricultural portfolio and Consumer portfolio increased compared to December 31, 2022 with the largest increase in the commercial real estate portfolio.</w:t>
      </w:r>
    </w:p>
    <w:p>
      <w:pPr>
        <w:spacing w:after="0" w:line="161"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In comparing to the same prior year period, the September 30, 2023 (net of deferred fees and cost) loan balances of $2.5 billion accounted for $387.0 million or 18.1% increase when compared to 2022’s $2.1 billion. The year over year improvement was made up of a combined increase in commercial and industrial related loans of 20.2%. Individual growth was comprised of 22.6% in commercial real estate loans and 9.3% in non-real estate commercial loans. Consumer real estate loans increased by 23.3% and consumer loans by 18.0%. Agricultural related loans increased 4.7% year over year. Individual growth was comprised of 10.1% in agricultural real estate partially offset by a decrease of 3.8% in non-real estate agricultural loans. Other loans increased by 1.4%. The Company credits the growth to the strong team of lenders focused on providing customers valuable localized services and thereby increasing our market share. The acquisition of Peoples Federal Savings and Loan Association in the fourth quarter of 2022 brought $101.8 million of loans to the portfolio. See Note 2 to the consolidated financial statements.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chart below shows the breakdown of the loan portfolio category as of September 30, for the last three years, net of deferred fees and costs.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5"/>
        </w:trPr>
        <w:tc>
          <w:tcPr>
            <w:tcW w:w="3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512,990</w:t>
            </w: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416,044</w:t>
            </w:r>
          </w:p>
        </w:tc>
        <w:tc>
          <w:tcPr>
            <w:tcW w:w="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202,370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204,787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179,051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105,722</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1,301,614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1,061,904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194,286</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Consumer</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71,063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gridSpan w:val="3"/>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3"/>
        </w:trPr>
        <w:tc>
          <w:tcPr>
            <w:tcW w:w="300" w:type="dxa"/>
            <w:vAlign w:val="bottom"/>
          </w:tcPr>
          <w:p>
            <w:pPr>
              <w:spacing w:after="0"/>
              <w:rPr>
                <w:sz w:val="24"/>
                <w:szCs w:val="24"/>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Loans, net of deferred fees and costs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2,529,606</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2,142,616</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1,495,562</w:t>
            </w:r>
          </w:p>
        </w:tc>
        <w:tc>
          <w:tcPr>
            <w:tcW w:w="100" w:type="dxa"/>
            <w:vAlign w:val="bottom"/>
            <w:shd w:val="clear" w:color="auto" w:fill="CFF0FC"/>
          </w:tcPr>
          <w:p>
            <w:pPr>
              <w:spacing w:after="0"/>
              <w:rPr>
                <w:sz w:val="24"/>
                <w:szCs w:val="24"/>
                <w:color w:val="auto"/>
              </w:rPr>
            </w:pPr>
          </w:p>
        </w:tc>
        <w:tc>
          <w:tcPr>
            <w:tcW w:w="280" w:type="dxa"/>
            <w:vAlign w:val="bottom"/>
          </w:tcPr>
          <w:p>
            <w:pPr>
              <w:spacing w:after="0"/>
              <w:rPr>
                <w:sz w:val="24"/>
                <w:szCs w:val="24"/>
                <w:color w:val="auto"/>
              </w:rPr>
            </w:pPr>
          </w:p>
        </w:tc>
      </w:tr>
      <w:tr>
        <w:trPr>
          <w:trHeight w:val="520"/>
        </w:trPr>
        <w:tc>
          <w:tcPr>
            <w:tcW w:w="300" w:type="dxa"/>
            <w:vAlign w:val="bottom"/>
          </w:tcPr>
          <w:p>
            <w:pPr>
              <w:spacing w:after="0"/>
              <w:rPr>
                <w:sz w:val="24"/>
                <w:szCs w:val="24"/>
                <w:color w:val="auto"/>
              </w:rPr>
            </w:pPr>
          </w:p>
        </w:tc>
        <w:tc>
          <w:tcPr>
            <w:tcW w:w="424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jc w:val="right"/>
              <w:ind w:right="41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-770890</wp:posOffset>
            </wp:positionV>
            <wp:extent cx="68580" cy="1625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-770890</wp:posOffset>
            </wp:positionV>
            <wp:extent cx="60325" cy="16256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-770890</wp:posOffset>
            </wp:positionV>
            <wp:extent cx="60325" cy="1625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-453390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-436880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-453390</wp:posOffset>
            </wp:positionV>
            <wp:extent cx="603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-436880</wp:posOffset>
            </wp:positionV>
            <wp:extent cx="6032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-453390</wp:posOffset>
            </wp:positionV>
            <wp:extent cx="6032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-436880</wp:posOffset>
            </wp:positionV>
            <wp:extent cx="6032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ind w:left="180"/>
        <w:spacing w:after="0"/>
        <w:rPr>
          <w:sz w:val="20"/>
          <w:szCs w:val="20"/>
          <w:color w:val="auto"/>
        </w:rPr>
      </w:pPr>
      <w:r>
        <w:rPr>
          <w:rFonts w:ascii="Arial" w:cs="Arial" w:eastAsia="Arial" w:hAnsi="Arial"/>
          <w:sz w:val="17"/>
          <w:szCs w:val="17"/>
          <w:color w:val="auto"/>
        </w:rPr>
        <w:t>The following is a contractual maturity schedule by major category of loans excluding fair value adjustments as of September 30,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5"/>
              </w:rPr>
              <w:t>After One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6"/>
              </w:rPr>
              <w:t>After Five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Within</w:t>
            </w:r>
          </w:p>
        </w:tc>
        <w:tc>
          <w:tcPr>
            <w:tcW w:w="120" w:type="dxa"/>
            <w:vAlign w:val="bottom"/>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Year Within</w:t>
            </w:r>
          </w:p>
        </w:tc>
        <w:tc>
          <w:tcPr>
            <w:tcW w:w="120" w:type="dxa"/>
            <w:vAlign w:val="bottom"/>
          </w:tcPr>
          <w:p>
            <w:pPr>
              <w:spacing w:after="0"/>
              <w:rPr>
                <w:sz w:val="21"/>
                <w:szCs w:val="21"/>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Years Within</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After</w:t>
            </w:r>
          </w:p>
        </w:tc>
        <w:tc>
          <w:tcPr>
            <w:tcW w:w="100" w:type="dxa"/>
            <w:vAlign w:val="bottom"/>
          </w:tcPr>
          <w:p>
            <w:pPr>
              <w:spacing w:after="0"/>
              <w:rPr>
                <w:sz w:val="21"/>
                <w:szCs w:val="21"/>
                <w:color w:val="auto"/>
              </w:rPr>
            </w:pPr>
          </w:p>
        </w:tc>
      </w:tr>
      <w:tr>
        <w:trPr>
          <w:trHeight w:val="250"/>
        </w:trPr>
        <w:tc>
          <w:tcPr>
            <w:tcW w:w="5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One Year</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Five Years</w:t>
            </w:r>
          </w:p>
        </w:tc>
        <w:tc>
          <w:tcPr>
            <w:tcW w:w="120" w:type="dxa"/>
            <w:vAlign w:val="bottom"/>
          </w:tcPr>
          <w:p>
            <w:pPr>
              <w:spacing w:after="0"/>
              <w:rPr>
                <w:sz w:val="21"/>
                <w:szCs w:val="21"/>
                <w:color w:val="auto"/>
              </w:rPr>
            </w:pPr>
          </w:p>
        </w:tc>
        <w:tc>
          <w:tcPr>
            <w:tcW w:w="11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Fifteen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9"/>
              </w:rPr>
              <w:t>Fifteen Years</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152,335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321,728</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154,302</w:t>
            </w: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232,164</w:t>
            </w: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92,537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FF0FC"/>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Management feels confident that liquidity needs for future growth can be met through additional maturities from the security portfolio, increased deposits and additional borrowings. For short term needs, the Bank has $118 million and $73 million of unsecured borrowing capacity through its correspondent banks as of September 30, 2023 and December 31, 2022, respectively. The Bank also had access to $150.1 million and $130.4 million through a Cash Management Advance with the Federal Home Loan Bank as of September 30, 2023 and December 31, 2022, respectively. The Bank's borrowing capacity limits at the Federal Home Loan Bank would have allowed draws on the Cash Management Advance of $37.5 million and $2.0 million at September 30, 2023 and December 31, 2022, respectively. Additionally, the Bank had a borrowing capacity under the BTFP of $71.9 million at September 30, 2023.</w:t>
      </w:r>
    </w:p>
    <w:p>
      <w:pPr>
        <w:spacing w:after="0" w:line="177"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While the security portfolio has been utilized to fund loan growth in previous periods, additional sources have been cultivated during 2021, 2022, and 2023. The security portfolio decreased $42.5 million in the first nine months of 2023 from year end 2022 due to the sale of $22.0 million of securities and a $1.6 million increase in unrealized losses. The security portfolio decreased $47.2 million from September 2022 due to an increase of gross unrealized losses of $2.2 million and the aforementioned sale. The amount of pledged investment securities increased by $110.7 million as compared to year end and $112.5 million as compared to September 30, 2022. As of September 30, 2023, pledged investment securities totaled $245.5 million.</w:t>
      </w:r>
    </w:p>
    <w:p>
      <w:pPr>
        <w:spacing w:after="0" w:line="152"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An additional $37.5 million is also available to the Bank from the Federal Home Loan Bank based on current amounts of pledged collateral. At the present time, only 1-4 family, home equity, commercial real estate portfolios and specific securities are pledged.</w:t>
      </w:r>
    </w:p>
    <w:p>
      <w:pPr>
        <w:spacing w:after="0" w:line="143"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0"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Overall total assets increased 7.3% since year end 2022 and grew 16.2% since September 30, 2022. The largest growth in both periods was in the loan portfolios. Goodwill also increased $5.9 million compared to September 30, 2022. Refer to Note 2 for information on assets acquired from PPSF.</w:t>
      </w:r>
    </w:p>
    <w:p>
      <w:pPr>
        <w:spacing w:after="0" w:line="143"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Federal Home Loan Bank advances accounted for the largest growth within liabilities, up 108.9% or $138.8 million since year end and 160.7% or $164.1 million over September 30, 2022 balances. Deposits increased, 4.3% or $106.4 million since year end 2022 and increased 12.8% or $292.2 million over September 30, 2022. The mix of deposits saw an increases in time deposits and NOW accounts since December 31, 2022. Noninterest-bearing accounts and savings accounts saw decreases from December 31, 2022. Refer to Note 2 for information on liabilities acquired from PPSF. As of September 30, 2023, total uninsured deposits of the Bank were $232.8 million, or 9.11% of total deposits. If the amount of coverage is adjusted for what is insured by FDIC alone, the percentage is 18.8%, or $481.7 million of uninsured deposits as of September 30, 2023. The underlying difference between these two percentages is the protection required for public funds which the Bank uses securities to pledge in Ohio and in Indiana, a state insurance fund exists.</w:t>
      </w:r>
    </w:p>
    <w:p>
      <w:pPr>
        <w:spacing w:after="0" w:line="151"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w:t>
      </w:r>
    </w:p>
    <w:p>
      <w:pPr>
        <w:spacing w:after="0" w:line="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57" w:right="3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regulatory purposes in proportionate amounts until July 30, 2026. The Company used the net proceeds from the Offering for general corporate purposes, including financing acquisitions and organic growth.</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Shareholders’ equity increased by $5.0 million as of the third quarter of 2023 compared to year end 2022. Earnings exceeded dividend declarations during the nine months ended September 30, 2023. Accumulated other comprehensive loss increased in unrealized loss position by $1.3 million from December 2022 to an unrealized loss of $39.5 million on September 30, 2023. A portion of this decrease is attributable to the aforementioned sale of securities making the loss realized in the first quarter 2023. The implementation of ASU 2016-13 (CECL) resulted in an entry which reduced retained earnings $3.4 million on January 1, 2023. This adjustment is permitted to be spread over three years when calculating regulatory capital, which for 2023 is over $2.5 million. Dividends declared remained unchanged from the previous quarter at $0.21 per share. Compared to September 30, 2022, shareholders’ equity increased 8.1% or $22.6 million. Profits were lower year to date September 2023 than year to date September 2022 by $8.1 million.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Basel III regulatory capital requirements include a capital conservation buffer of 2.5%. As of September 30, 2023, the Company and the Bank are both positioned well above the current requirement.</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the Holding Company generally has sufficient liquidity to maintain its dividend policy without relying on the upstreaming of dividends from the Bank, the Bank declared a $3.0 million dividend during the third quarter.</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continues to be well-capitalized at September 30, 2023 in accordance with Federal regulatory capital requirements as the capital ratios below show:</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Tier I Leverage Ratio</w:t>
            </w:r>
          </w:p>
        </w:tc>
        <w:tc>
          <w:tcPr>
            <w:tcW w:w="2500" w:type="dxa"/>
            <w:vAlign w:val="bottom"/>
          </w:tcPr>
          <w:p>
            <w:pPr>
              <w:jc w:val="right"/>
              <w:spacing w:after="0"/>
              <w:rPr>
                <w:sz w:val="20"/>
                <w:szCs w:val="20"/>
                <w:color w:val="auto"/>
              </w:rPr>
            </w:pPr>
            <w:r>
              <w:rPr>
                <w:rFonts w:ascii="Arial" w:cs="Arial" w:eastAsia="Arial" w:hAnsi="Arial"/>
                <w:sz w:val="18"/>
                <w:szCs w:val="18"/>
                <w:color w:val="auto"/>
              </w:rPr>
              <w:t>8.80 %</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500" w:type="dxa"/>
            <w:vAlign w:val="bottom"/>
          </w:tcPr>
          <w:p>
            <w:pPr>
              <w:jc w:val="right"/>
              <w:spacing w:after="0"/>
              <w:rPr>
                <w:sz w:val="20"/>
                <w:szCs w:val="20"/>
                <w:color w:val="auto"/>
              </w:rPr>
            </w:pPr>
            <w:r>
              <w:rPr>
                <w:rFonts w:ascii="Arial" w:cs="Arial" w:eastAsia="Arial" w:hAnsi="Arial"/>
                <w:sz w:val="18"/>
                <w:szCs w:val="18"/>
                <w:color w:val="auto"/>
              </w:rPr>
              <w:t>10.87 %</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Total Risk Based Capital</w:t>
            </w:r>
          </w:p>
        </w:tc>
        <w:tc>
          <w:tcPr>
            <w:tcW w:w="2500" w:type="dxa"/>
            <w:vAlign w:val="bottom"/>
          </w:tcPr>
          <w:p>
            <w:pPr>
              <w:jc w:val="right"/>
              <w:spacing w:after="0"/>
              <w:rPr>
                <w:sz w:val="20"/>
                <w:szCs w:val="20"/>
                <w:color w:val="auto"/>
              </w:rPr>
            </w:pPr>
            <w:r>
              <w:rPr>
                <w:rFonts w:ascii="Arial" w:cs="Arial" w:eastAsia="Arial" w:hAnsi="Arial"/>
                <w:sz w:val="18"/>
                <w:szCs w:val="18"/>
                <w:color w:val="auto"/>
              </w:rPr>
              <w:t>11.85 %</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500" w:type="dxa"/>
            <w:vAlign w:val="bottom"/>
          </w:tcPr>
          <w:p>
            <w:pPr>
              <w:jc w:val="right"/>
              <w:spacing w:after="0"/>
              <w:rPr>
                <w:sz w:val="20"/>
                <w:szCs w:val="20"/>
                <w:color w:val="auto"/>
              </w:rPr>
            </w:pPr>
            <w:r>
              <w:rPr>
                <w:rFonts w:ascii="Arial" w:cs="Arial" w:eastAsia="Arial" w:hAnsi="Arial"/>
                <w:sz w:val="18"/>
                <w:szCs w:val="18"/>
                <w:color w:val="auto"/>
              </w:rPr>
              <w:t>10.12 %</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Capital Conservation Buffer</w:t>
            </w:r>
          </w:p>
        </w:tc>
        <w:tc>
          <w:tcPr>
            <w:tcW w:w="2500" w:type="dxa"/>
            <w:vAlign w:val="bottom"/>
          </w:tcPr>
          <w:p>
            <w:pPr>
              <w:jc w:val="right"/>
              <w:spacing w:after="0"/>
              <w:rPr>
                <w:sz w:val="20"/>
                <w:szCs w:val="20"/>
                <w:color w:val="auto"/>
              </w:rPr>
            </w:pPr>
            <w:r>
              <w:rPr>
                <w:rFonts w:ascii="Arial" w:cs="Arial" w:eastAsia="Arial" w:hAnsi="Arial"/>
                <w:sz w:val="18"/>
                <w:szCs w:val="18"/>
                <w:color w:val="auto"/>
              </w:rPr>
              <w:t>3.85 %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-762000</wp:posOffset>
            </wp:positionV>
            <wp:extent cx="4277360" cy="154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-453390</wp:posOffset>
            </wp:positionV>
            <wp:extent cx="4277360" cy="154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-144780</wp:posOffset>
            </wp:positionV>
            <wp:extent cx="4277360" cy="154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September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comparing third quarter 2023 to third quarter 2022, average loan balances with the acquisitions of PPSF grew $454.4 million. This represented a 21.8% increase in a one-year time period. Interest income on loans increased $9.7 million as compared to the quarter ended September 30, 2022. During the current quarter, the Company reversed loan interest income from one relationship in the amount of approximately $492 thousand of which approximately $324 thousand was previously recognized in prior periods. The current quarter also included loan income of $594 thousand from the recovery of two acquired relationships that had been fully charged off prior to acquisition. The Company's loan portfolio is 29.9% variable with 13.3% of total loans repricing within the next three months.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available-for-sale securities portfolio decreased in average balances by $29.5 million when comparing to the same quarter in 2022 while the income increased $128 thousand over third quarter 2022. Federal funds sold and interest-bearing deposits increased in average balances by $27.2 million as compared to the same quarter in 2022 with increased income of $720 thousand for the current quarter. The increased balances are the result of the focus on liquidity and deposit generation. Refer to Note 2 Business Combination and Asset Purchase for information on assets acquired from PPSF.</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overall total average balance of the Bank’s earning assets increased by $452.1 million and interest income for the quarter comparisons was higher for third quarter 2023 by 40.7% or $10.5 million as compared to third quarter 2022. Increases in the prime lending rate between periods has contributed to approximately 49.9% of the growth.</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Annualized yield, for the quarter ended September 30, 2023, was 4.79% as compared to 4.00% for the quarter ended September 30, 2022. The following charts demonstrate increased loan balances accounted for 54.5% of the increased loan interest income while rate increases accounted for the remaining 45.5%. The yields on tax-exempt securities and the portion of the tax-exempt IDB loans included in loans have been tax adjusted based on a 21% tax rate in the charts to follow. The tax-exempt interest income was $133 and $158 thousand for the third quarter 2023 and 2022 which resulted in a federal tax savings of $28 and $33 thousand, respectively.</w:t>
      </w:r>
    </w:p>
    <w:p>
      <w:pPr>
        <w:spacing w:after="0" w:line="2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7"/>
          </w:tcPr>
          <w:p>
            <w:pPr>
              <w:jc w:val="right"/>
              <w:ind w:right="330"/>
              <w:spacing w:after="0"/>
              <w:rPr>
                <w:sz w:val="20"/>
                <w:szCs w:val="20"/>
                <w:color w:val="auto"/>
              </w:rPr>
            </w:pPr>
            <w:r>
              <w:rPr>
                <w:rFonts w:ascii="Arial" w:cs="Arial" w:eastAsia="Arial" w:hAnsi="Arial"/>
                <w:sz w:val="18"/>
                <w:szCs w:val="18"/>
                <w:color w:val="auto"/>
                <w:w w:val="95"/>
              </w:rPr>
              <w:t>Quarter to Date Ended September 30, 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60" w:type="dxa"/>
            <w:vAlign w:val="bottom"/>
            <w:gridSpan w:val="8"/>
          </w:tcPr>
          <w:p>
            <w:pPr>
              <w:jc w:val="right"/>
              <w:ind w:right="910"/>
              <w:spacing w:after="0"/>
              <w:rPr>
                <w:sz w:val="20"/>
                <w:szCs w:val="20"/>
                <w:color w:val="auto"/>
              </w:rPr>
            </w:pPr>
            <w:r>
              <w:rPr>
                <w:rFonts w:ascii="Arial" w:cs="Arial" w:eastAsia="Arial" w:hAnsi="Arial"/>
                <w:sz w:val="18"/>
                <w:szCs w:val="18"/>
                <w:color w:val="auto"/>
                <w:w w:val="98"/>
              </w:rPr>
              <w:t>Annualized Yield/Rate</w:t>
            </w: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Interest Earning Assets:</w:t>
            </w:r>
          </w:p>
        </w:tc>
        <w:tc>
          <w:tcPr>
            <w:tcW w:w="2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Interest/Dividends</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September 30, 2023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gridSpan w:val="2"/>
          </w:tcPr>
          <w:p>
            <w:pPr>
              <w:spacing w:after="0"/>
              <w:rPr>
                <w:sz w:val="21"/>
                <w:szCs w:val="21"/>
                <w:color w:val="auto"/>
              </w:rPr>
            </w:pPr>
          </w:p>
        </w:tc>
        <w:tc>
          <w:tcPr>
            <w:tcW w:w="15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September 30, 2022</w:t>
            </w:r>
          </w:p>
        </w:tc>
        <w:tc>
          <w:tcPr>
            <w:tcW w:w="160" w:type="dxa"/>
            <w:vAlign w:val="bottom"/>
          </w:tcPr>
          <w:p>
            <w:pPr>
              <w:spacing w:after="0"/>
              <w:rPr>
                <w:sz w:val="21"/>
                <w:szCs w:val="21"/>
                <w:color w:val="auto"/>
              </w:rPr>
            </w:pPr>
          </w:p>
        </w:tc>
      </w:tr>
      <w:tr>
        <w:trPr>
          <w:trHeight w:val="224"/>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2,536,885</w:t>
            </w:r>
          </w:p>
        </w:tc>
        <w:tc>
          <w:tcPr>
            <w:tcW w:w="120" w:type="dxa"/>
            <w:vAlign w:val="bottom"/>
          </w:tcPr>
          <w:p>
            <w:pPr>
              <w:spacing w:after="0"/>
              <w:rPr>
                <w:sz w:val="19"/>
                <w:szCs w:val="19"/>
                <w:color w:val="auto"/>
              </w:rPr>
            </w:pP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Taxable investment securities</w:t>
            </w:r>
          </w:p>
        </w:tc>
        <w:tc>
          <w:tcPr>
            <w:tcW w:w="20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393,910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1.58 %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Tax-exempt investment securities</w:t>
            </w:r>
          </w:p>
        </w:tc>
        <w:tc>
          <w:tcPr>
            <w:tcW w:w="20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23,986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1.77 %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1.79 %</w:t>
            </w:r>
          </w:p>
        </w:tc>
      </w:tr>
      <w:tr>
        <w:trPr>
          <w:trHeight w:val="250"/>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Fed funds sold &amp; other</w:t>
            </w: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4.36 %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Total Interest Earning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3,040,296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4.79 %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4.00 %</w:t>
            </w:r>
          </w:p>
        </w:tc>
      </w:tr>
      <w:tr>
        <w:trPr>
          <w:trHeight w:val="20"/>
        </w:trPr>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8460" w:type="dxa"/>
            <w:vAlign w:val="bottom"/>
            <w:gridSpan w:val="18"/>
          </w:tcPr>
          <w:p>
            <w:pPr>
              <w:ind w:left="1340"/>
              <w:spacing w:after="0"/>
              <w:rPr>
                <w:sz w:val="20"/>
                <w:szCs w:val="20"/>
                <w:color w:val="auto"/>
              </w:rPr>
            </w:pPr>
            <w:r>
              <w:rPr>
                <w:rFonts w:ascii="Arial" w:cs="Arial" w:eastAsia="Arial" w:hAnsi="Arial"/>
                <w:sz w:val="18"/>
                <w:szCs w:val="18"/>
                <w:color w:val="auto"/>
                <w:w w:val="90"/>
              </w:rPr>
              <w:t>Change in Interest Income Quarter to Date September 30, 2023 Compared to September 30, 2022</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5"/>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250"/>
              <w:spacing w:after="0"/>
              <w:rPr>
                <w:sz w:val="20"/>
                <w:szCs w:val="20"/>
                <w:color w:val="auto"/>
              </w:rPr>
            </w:pPr>
            <w:r>
              <w:rPr>
                <w:rFonts w:ascii="Arial" w:cs="Arial" w:eastAsia="Arial" w:hAnsi="Arial"/>
                <w:sz w:val="18"/>
                <w:szCs w:val="18"/>
                <w:color w:val="auto"/>
              </w:rPr>
              <w:t>Change Due</w:t>
            </w:r>
          </w:p>
        </w:tc>
        <w:tc>
          <w:tcPr>
            <w:tcW w:w="160" w:type="dxa"/>
            <w:vAlign w:val="bottom"/>
          </w:tcPr>
          <w:p>
            <w:pPr>
              <w:spacing w:after="0"/>
              <w:rPr>
                <w:sz w:val="18"/>
                <w:szCs w:val="18"/>
                <w:color w:val="auto"/>
              </w:rPr>
            </w:pPr>
          </w:p>
        </w:tc>
        <w:tc>
          <w:tcPr>
            <w:tcW w:w="1420" w:type="dxa"/>
            <w:vAlign w:val="bottom"/>
            <w:gridSpan w:val="5"/>
          </w:tcPr>
          <w:p>
            <w:pPr>
              <w:jc w:val="right"/>
              <w:ind w:right="250"/>
              <w:spacing w:after="0"/>
              <w:rPr>
                <w:sz w:val="20"/>
                <w:szCs w:val="20"/>
                <w:color w:val="auto"/>
              </w:rPr>
            </w:pPr>
            <w:r>
              <w:rPr>
                <w:rFonts w:ascii="Arial" w:cs="Arial" w:eastAsia="Arial" w:hAnsi="Arial"/>
                <w:sz w:val="18"/>
                <w:szCs w:val="18"/>
                <w:color w:val="auto"/>
              </w:rPr>
              <w:t>Change Due</w:t>
            </w:r>
          </w:p>
        </w:tc>
        <w:tc>
          <w:tcPr>
            <w:tcW w:w="1180" w:type="dxa"/>
            <w:vAlign w:val="bottom"/>
            <w:gridSpan w:val="2"/>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Total Change</w:t>
            </w:r>
          </w:p>
        </w:tc>
        <w:tc>
          <w:tcPr>
            <w:tcW w:w="180" w:type="dxa"/>
            <w:vAlign w:val="bottom"/>
          </w:tcPr>
          <w:p>
            <w:pPr>
              <w:spacing w:after="0"/>
              <w:rPr>
                <w:sz w:val="21"/>
                <w:szCs w:val="21"/>
                <w:color w:val="auto"/>
              </w:rPr>
            </w:pPr>
          </w:p>
        </w:tc>
        <w:tc>
          <w:tcPr>
            <w:tcW w:w="1420" w:type="dxa"/>
            <w:vAlign w:val="bottom"/>
            <w:gridSpan w:val="4"/>
          </w:tcPr>
          <w:p>
            <w:pPr>
              <w:jc w:val="right"/>
              <w:ind w:right="290"/>
              <w:spacing w:after="0"/>
              <w:rPr>
                <w:sz w:val="20"/>
                <w:szCs w:val="20"/>
                <w:color w:val="auto"/>
              </w:rPr>
            </w:pPr>
            <w:r>
              <w:rPr>
                <w:rFonts w:ascii="Arial" w:cs="Arial" w:eastAsia="Arial" w:hAnsi="Arial"/>
                <w:sz w:val="18"/>
                <w:szCs w:val="18"/>
                <w:color w:val="auto"/>
              </w:rPr>
              <w:t>to Volume</w:t>
            </w:r>
          </w:p>
        </w:tc>
        <w:tc>
          <w:tcPr>
            <w:tcW w:w="160" w:type="dxa"/>
            <w:vAlign w:val="bottom"/>
          </w:tcPr>
          <w:p>
            <w:pPr>
              <w:spacing w:after="0"/>
              <w:rPr>
                <w:sz w:val="21"/>
                <w:szCs w:val="21"/>
                <w:color w:val="auto"/>
              </w:rPr>
            </w:pPr>
          </w:p>
        </w:tc>
        <w:tc>
          <w:tcPr>
            <w:tcW w:w="2600" w:type="dxa"/>
            <w:vAlign w:val="bottom"/>
            <w:gridSpan w:val="7"/>
          </w:tcPr>
          <w:p>
            <w:pPr>
              <w:jc w:val="right"/>
              <w:ind w:right="1590"/>
              <w:spacing w:after="0"/>
              <w:rPr>
                <w:sz w:val="20"/>
                <w:szCs w:val="20"/>
                <w:color w:val="auto"/>
              </w:rPr>
            </w:pPr>
            <w:r>
              <w:rPr>
                <w:rFonts w:ascii="Arial" w:cs="Arial" w:eastAsia="Arial" w:hAnsi="Arial"/>
                <w:sz w:val="18"/>
                <w:szCs w:val="18"/>
                <w:color w:val="auto"/>
              </w:rPr>
              <w:t>to Rate</w:t>
            </w:r>
          </w:p>
        </w:tc>
      </w:tr>
      <w:tr>
        <w:trPr>
          <w:trHeight w:val="237"/>
        </w:trPr>
        <w:tc>
          <w:tcPr>
            <w:tcW w:w="1140" w:type="dxa"/>
            <w:vAlign w:val="bottom"/>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9,664</w:t>
            </w:r>
          </w:p>
        </w:tc>
        <w:tc>
          <w:tcPr>
            <w:tcW w:w="680" w:type="dxa"/>
            <w:vAlign w:val="bottom"/>
            <w:tcBorders>
              <w:top w:val="single" w:sz="8" w:color="auto"/>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5,264</w:t>
            </w:r>
          </w:p>
        </w:tc>
        <w:tc>
          <w:tcPr>
            <w:tcW w:w="840" w:type="dxa"/>
            <w:vAlign w:val="bottom"/>
            <w:tcBorders>
              <w:top w:val="single" w:sz="8" w:color="auto"/>
            </w:tcBorders>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4,400</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(96 )</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Tax-exempt investment securities</w:t>
            </w: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Fed funds sold &amp; other</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2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10,512</w:t>
            </w:r>
          </w:p>
        </w:tc>
        <w:tc>
          <w:tcPr>
            <w:tcW w:w="1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5,263</w:t>
            </w:r>
          </w:p>
        </w:tc>
        <w:tc>
          <w:tcPr>
            <w:tcW w:w="1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5,249</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54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543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797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117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117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028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0287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right="60"/>
        <w:spacing w:after="0" w:line="286" w:lineRule="auto"/>
        <w:rPr>
          <w:sz w:val="20"/>
          <w:szCs w:val="20"/>
          <w:color w:val="auto"/>
        </w:rPr>
      </w:pPr>
      <w:r>
        <w:rPr>
          <w:rFonts w:ascii="Arial" w:cs="Arial" w:eastAsia="Arial" w:hAnsi="Arial"/>
          <w:sz w:val="16"/>
          <w:szCs w:val="16"/>
          <w:color w:val="auto"/>
        </w:rPr>
        <w:t>Outpacing the higher interest income improvement for the quarter was an increase in interest expense in 2023 of $13.4 million or 411.6% compared to third quarter 2022. Since 2022, average interest-bearing deposit balances have increased $283.0 million or 16.2% and the Company recognized $11.2 million more in interest expense for the most recent quarter. March 2022 saw the first rate change by the Federal Reserve since March of 2020 with an increase of 25 basis points which was followed by an increase of 50 basis points in May and four increases of 75 basis points in June, July, September and November with a final 50 basis point increase in December. To date in 2023, there have been four increases of 25 basis points in February, March, May and July. Deposit rates have been adjusted numerous times with all the rate increases. Interest expense on FHLB borrowings and other borrowings increased $2.3 million in the third quarter 2023 over the same time frame in 2022 due to borrowings taken on from the Peoples acquisition and new FHLB borrowings in 2022 and 2023 used to fund loan growth. Interest expense on fed funds purchased and securities sold under agreement to repurchase decreased $67 thousand compared to third quarter 2022 due to the decrease of $29.3 million in average balances which was partially offset by increased interest rates. Another factor in the increased cost of funds is the change in the mix of funding. More growth has occurred in interest bearing deposit balances supplemented with increased borrowings. The Bank continues to focus on capturing the full customer relationship; however, it has resulted in more expensive deposits being brought in. The average cost of funds increased to 2.82% in third quarter 2023 compared to 0.68% in third quarter 2022. Refer to Note 8 for additional information on subordinated notes. Liabilities assumed from PPSF can be seen in Note 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left="1030"/>
              <w:spacing w:after="0"/>
              <w:rPr>
                <w:sz w:val="20"/>
                <w:szCs w:val="20"/>
                <w:color w:val="auto"/>
              </w:rPr>
            </w:pPr>
            <w:r>
              <w:rPr>
                <w:rFonts w:ascii="Arial" w:cs="Arial" w:eastAsia="Arial" w:hAnsi="Arial"/>
                <w:sz w:val="18"/>
                <w:szCs w:val="18"/>
                <w:color w:val="auto"/>
                <w:w w:val="89"/>
              </w:rPr>
              <w:t>(In Thousands)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5"/>
          </w:tcPr>
          <w:p>
            <w:pPr>
              <w:jc w:val="center"/>
              <w:ind w:right="110"/>
              <w:spacing w:after="0"/>
              <w:rPr>
                <w:sz w:val="20"/>
                <w:szCs w:val="20"/>
                <w:color w:val="auto"/>
              </w:rPr>
            </w:pPr>
            <w:r>
              <w:rPr>
                <w:rFonts w:ascii="Arial" w:cs="Arial" w:eastAsia="Arial" w:hAnsi="Arial"/>
                <w:sz w:val="18"/>
                <w:szCs w:val="18"/>
                <w:color w:val="auto"/>
                <w:w w:val="89"/>
              </w:rPr>
              <w:t>Quarter to Date Ended September 30, 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6"/>
          </w:tcPr>
          <w:p>
            <w:pPr>
              <w:jc w:val="right"/>
              <w:ind w:right="100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September 30, 2023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September 30, 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Savings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1,367,168</w:t>
            </w:r>
          </w:p>
        </w:tc>
        <w:tc>
          <w:tcPr>
            <w:tcW w:w="120" w:type="dxa"/>
            <w:vAlign w:val="bottom"/>
          </w:tcPr>
          <w:p>
            <w:pPr>
              <w:spacing w:after="0"/>
              <w:rPr>
                <w:sz w:val="20"/>
                <w:szCs w:val="20"/>
                <w:color w:val="auto"/>
              </w:rPr>
            </w:pP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7,673</w:t>
            </w: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3660" w:type="dxa"/>
            <w:vAlign w:val="bottom"/>
          </w:tcPr>
          <w:p>
            <w:pPr>
              <w:ind w:left="20"/>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667,880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5,650</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3.38 %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0.55 %</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borrowed money</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266,467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2,741</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4.11 %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Fed funds purchased &amp; securities</w:t>
            </w: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20"/>
              <w:spacing w:after="0"/>
              <w:rPr>
                <w:sz w:val="20"/>
                <w:szCs w:val="20"/>
                <w:color w:val="auto"/>
              </w:rPr>
            </w:pPr>
            <w:r>
              <w:rPr>
                <w:rFonts w:ascii="Arial" w:cs="Arial" w:eastAsia="Arial" w:hAnsi="Arial"/>
                <w:sz w:val="18"/>
                <w:szCs w:val="18"/>
                <w:color w:val="auto"/>
              </w:rPr>
              <w:t>sold under agreement to repurchase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4.09 %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56"/>
        </w:trPr>
        <w:tc>
          <w:tcPr>
            <w:tcW w:w="3660" w:type="dxa"/>
            <w:vAlign w:val="bottom"/>
          </w:tcPr>
          <w:p>
            <w:pPr>
              <w:ind w:left="20"/>
              <w:spacing w:after="0"/>
              <w:rPr>
                <w:sz w:val="20"/>
                <w:szCs w:val="20"/>
                <w:color w:val="auto"/>
              </w:rPr>
            </w:pPr>
            <w:r>
              <w:rPr>
                <w:rFonts w:ascii="Arial" w:cs="Arial" w:eastAsia="Arial" w:hAnsi="Arial"/>
                <w:sz w:val="18"/>
                <w:szCs w:val="18"/>
                <w:color w:val="auto"/>
              </w:rPr>
              <w:t>Subordinated notes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3.28 %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2,370,297</w:t>
            </w:r>
          </w:p>
        </w:tc>
        <w:tc>
          <w:tcPr>
            <w:tcW w:w="260" w:type="dxa"/>
            <w:vAlign w:val="bottom"/>
            <w:gridSpan w:val="2"/>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16,697</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2.82 %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0.68 %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67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543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543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797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u w:val="single" w:color="auto"/>
          <w:color w:val="auto"/>
        </w:rPr>
        <w:t>Change in Interest Expense Quarter to Date September 30, 2023 Compared to September 30, 2022</w:t>
      </w: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w w:val="95"/>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5"/>
        </w:trPr>
        <w:tc>
          <w:tcPr>
            <w:tcW w:w="5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Change Due</w:t>
            </w: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0"/>
              </w:rPr>
              <w:t>Change Due</w:t>
            </w:r>
          </w:p>
        </w:tc>
      </w:tr>
      <w:tr>
        <w:trPr>
          <w:trHeight w:val="244"/>
        </w:trPr>
        <w:tc>
          <w:tcPr>
            <w:tcW w:w="530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to Volume</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to Rate</w:t>
            </w: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6,087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6,041</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Other time deposits</w:t>
            </w: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4,736</w:t>
            </w: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987</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sold under agreement to repurchase</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Subordinated notes</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13,433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-24765</wp:posOffset>
            </wp:positionV>
            <wp:extent cx="857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-7620</wp:posOffset>
            </wp:positionV>
            <wp:extent cx="857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-24765</wp:posOffset>
            </wp:positionV>
            <wp:extent cx="774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-7620</wp:posOffset>
            </wp:positionV>
            <wp:extent cx="7747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Overall, net interest spread for the third quarter 2023 was 135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September 30,</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w w:val="89"/>
              </w:rPr>
              <w:t>September 30,</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Interest/Dividend income/yield</w:t>
            </w:r>
          </w:p>
        </w:tc>
        <w:tc>
          <w:tcPr>
            <w:tcW w:w="114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140" w:type="dxa"/>
            <w:vAlign w:val="bottom"/>
          </w:tcPr>
          <w:p>
            <w:pPr>
              <w:spacing w:after="0"/>
              <w:rPr>
                <w:sz w:val="20"/>
                <w:szCs w:val="20"/>
                <w:color w:val="auto"/>
              </w:rPr>
            </w:pPr>
            <w:r>
              <w:rPr>
                <w:rFonts w:ascii="Arial" w:cs="Arial" w:eastAsia="Arial" w:hAnsi="Arial"/>
                <w:sz w:val="18"/>
                <w:szCs w:val="18"/>
                <w:color w:val="auto"/>
              </w:rPr>
              <w:t>Interest Expense/cost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0.68 %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0.45 %</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Net Interest Spread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3.49 %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-676910</wp:posOffset>
            </wp:positionV>
            <wp:extent cx="5700395" cy="15430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-359410</wp:posOffset>
            </wp:positionV>
            <wp:extent cx="5700395" cy="3600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700395" cy="3600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decreased $2.9 million for the third quarter 2023 over the same time frame in 2022 with the increase in interest income of $10.5 million offset by the higher interest expense of $13.4 million as previously mentioned. As the new loans added in 2022 and 2023 generate more income, management expects the benefits of the Company’s strategy of repositioning the balance sheet to increase interest income in the long run. Loans as a percentage of earning assets increased to 83.4% in third quarter 2023 compared to 80.5% in third quarter 2022. Loans to total assets increased to 78.8% in third quarter 2023 compared to 76.1% for the same period 2022. The percentage of earning assets to total assets decreased slightly to 94.4% in 2023 compared to 94.5% in 2022. In terms of net interest margin, the Bank recognizes competition for deposits continues to increase with higher interest rates putting pressure on the margin which may lead to a further tightening in the short term.</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57" w:right="339" w:bottom="1440" w:gutter="0" w:footer="0" w:header="0"/>
        </w:sectPr>
      </w:pPr>
    </w:p>
    <w:bookmarkStart w:id="68" w:name="page69"/>
    <w:bookmarkEnd w:id="68"/>
    <w:p>
      <w:pPr>
        <w:ind w:left="3"/>
        <w:spacing w:after="0"/>
        <w:rPr>
          <w:sz w:val="20"/>
          <w:szCs w:val="20"/>
          <w:color w:val="auto"/>
        </w:rPr>
      </w:pPr>
      <w:r>
        <w:rPr>
          <w:rFonts w:ascii="Arial" w:cs="Arial" w:eastAsia="Arial" w:hAnsi="Arial"/>
          <w:sz w:val="18"/>
          <w:szCs w:val="18"/>
          <w:b w:val="1"/>
          <w:bCs w:val="1"/>
          <w:u w:val="single" w:color="auto"/>
          <w:color w:val="auto"/>
        </w:rPr>
        <w:t>Comparison of Noninterest Results of Operations for three month periods ended September 30, 2023 and 2022</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Provision Expense</w:t>
      </w:r>
    </w:p>
    <w:p>
      <w:pPr>
        <w:spacing w:after="0" w:line="189" w:lineRule="exact"/>
        <w:rPr>
          <w:sz w:val="20"/>
          <w:szCs w:val="20"/>
          <w:color w:val="auto"/>
        </w:rPr>
      </w:pPr>
    </w:p>
    <w:p>
      <w:pPr>
        <w:jc w:val="both"/>
        <w:ind w:left="3"/>
        <w:spacing w:after="0" w:line="272" w:lineRule="auto"/>
        <w:rPr>
          <w:sz w:val="20"/>
          <w:szCs w:val="20"/>
          <w:color w:val="auto"/>
        </w:rPr>
      </w:pPr>
      <w:r>
        <w:rPr>
          <w:rFonts w:ascii="Arial" w:cs="Arial" w:eastAsia="Arial" w:hAnsi="Arial"/>
          <w:sz w:val="17"/>
          <w:szCs w:val="17"/>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consumer loan portfolio accounted for the largest component of recoveries and charge-offs for three months ended September 30, 2023 and 2022. The commercial real estate portfolio is currently creating a large impact on the ACL due to the loan growth.</w:t>
      </w:r>
    </w:p>
    <w:p>
      <w:pPr>
        <w:spacing w:after="0" w:line="137" w:lineRule="exact"/>
        <w:rPr>
          <w:sz w:val="20"/>
          <w:szCs w:val="20"/>
          <w:color w:val="auto"/>
        </w:rPr>
      </w:pPr>
    </w:p>
    <w:p>
      <w:pPr>
        <w:jc w:val="both"/>
        <w:ind w:left="3"/>
        <w:spacing w:after="0" w:line="255" w:lineRule="auto"/>
        <w:rPr>
          <w:sz w:val="20"/>
          <w:szCs w:val="20"/>
          <w:color w:val="auto"/>
        </w:rPr>
      </w:pPr>
      <w:r>
        <w:rPr>
          <w:rFonts w:ascii="Arial" w:cs="Arial" w:eastAsia="Arial" w:hAnsi="Arial"/>
          <w:sz w:val="18"/>
          <w:szCs w:val="18"/>
          <w:color w:val="auto"/>
        </w:rPr>
        <w:t>Total provision for credit losses was $1.2 million lower for the three months ended September 30, 2023 as compared to the same period in 2022. Management continues to monitor asset quality, making adjustments to the provision as necessary. The impact of higher interest rates and inflation are taken into consideration when reviewing qualitative factors. Loan charge-offs were $25 thousand higher during the three months ended September 30, 2023 than the same period in 2022. Recoveries were $3 thousand higher during the three months ended September 30, 2023 as compared to same period in 2022. Combined net charge-offs were $22 thousand higher in the three months ended September 30, 2023 than the same time period 2022.</w:t>
      </w:r>
    </w:p>
    <w:p>
      <w:pPr>
        <w:spacing w:after="0" w:line="165" w:lineRule="exact"/>
        <w:rPr>
          <w:sz w:val="20"/>
          <w:szCs w:val="20"/>
          <w:color w:val="auto"/>
        </w:rPr>
      </w:pPr>
    </w:p>
    <w:p>
      <w:pPr>
        <w:jc w:val="both"/>
        <w:ind w:left="3"/>
        <w:spacing w:after="0" w:line="277" w:lineRule="auto"/>
        <w:rPr>
          <w:sz w:val="20"/>
          <w:szCs w:val="20"/>
          <w:color w:val="auto"/>
        </w:rPr>
      </w:pPr>
      <w:r>
        <w:rPr>
          <w:rFonts w:ascii="Arial" w:cs="Arial" w:eastAsia="Arial" w:hAnsi="Arial"/>
          <w:sz w:val="18"/>
          <w:szCs w:val="18"/>
          <w:color w:val="auto"/>
        </w:rPr>
        <w:t>Loans past due 30 or more days increased $3.9 million at September 30, 2023 as compared to September 30, 2022. The largest changes were attributed to the increase of past due balances in the agricultural portfolio and consumer real estate portfolio.</w:t>
      </w:r>
    </w:p>
    <w:p>
      <w:pPr>
        <w:spacing w:after="0" w:line="130" w:lineRule="exact"/>
        <w:rPr>
          <w:sz w:val="20"/>
          <w:szCs w:val="20"/>
          <w:color w:val="auto"/>
        </w:rPr>
      </w:pPr>
    </w:p>
    <w:p>
      <w:pPr>
        <w:jc w:val="both"/>
        <w:ind w:left="3"/>
        <w:spacing w:after="0" w:line="263" w:lineRule="auto"/>
        <w:rPr>
          <w:sz w:val="20"/>
          <w:szCs w:val="20"/>
          <w:color w:val="auto"/>
        </w:rPr>
      </w:pPr>
      <w:r>
        <w:rPr>
          <w:rFonts w:ascii="Arial" w:cs="Arial" w:eastAsia="Arial" w:hAnsi="Arial"/>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three months ended September 30, 2023 , 2022, and 2021.</w:t>
      </w:r>
    </w:p>
    <w:p>
      <w:pPr>
        <w:spacing w:after="0" w:line="184" w:lineRule="exact"/>
        <w:rPr>
          <w:sz w:val="20"/>
          <w:szCs w:val="20"/>
          <w:color w:val="auto"/>
        </w:rPr>
      </w:pPr>
    </w:p>
    <w:p>
      <w:pPr>
        <w:ind w:left="4783" w:right="2320" w:hanging="4783"/>
        <w:spacing w:after="0" w:line="402" w:lineRule="auto"/>
        <w:tabs>
          <w:tab w:leader="none" w:pos="1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-31750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1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Three Months Ended</w:t>
            </w:r>
          </w:p>
        </w:tc>
        <w:tc>
          <w:tcPr>
            <w:tcW w:w="140" w:type="dxa"/>
            <w:vAlign w:val="bottom"/>
          </w:tcPr>
          <w:p>
            <w:pPr>
              <w:spacing w:after="0"/>
              <w:rPr>
                <w:sz w:val="18"/>
                <w:szCs w:val="18"/>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w w:val="91"/>
              </w:rPr>
              <w:t>Three Months Ended</w:t>
            </w:r>
          </w:p>
        </w:tc>
        <w:tc>
          <w:tcPr>
            <w:tcW w:w="180" w:type="dxa"/>
            <w:vAlign w:val="bottom"/>
          </w:tcPr>
          <w:p>
            <w:pPr>
              <w:spacing w:after="0"/>
              <w:rPr>
                <w:sz w:val="18"/>
                <w:szCs w:val="18"/>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w w:val="92"/>
              </w:rPr>
              <w:t>Three Months Ended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w w:val="93"/>
              </w:rPr>
              <w:t>September 30, 2023</w:t>
            </w:r>
          </w:p>
        </w:tc>
        <w:tc>
          <w:tcPr>
            <w:tcW w:w="140" w:type="dxa"/>
            <w:vAlign w:val="bottom"/>
          </w:tcPr>
          <w:p>
            <w:pPr>
              <w:spacing w:after="0"/>
              <w:rPr>
                <w:sz w:val="20"/>
                <w:szCs w:val="20"/>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8"/>
                <w:szCs w:val="18"/>
                <w:color w:val="auto"/>
                <w:w w:val="93"/>
              </w:rPr>
              <w:t>September 30, 2022</w:t>
            </w:r>
          </w:p>
        </w:tc>
        <w:tc>
          <w:tcPr>
            <w:tcW w:w="180" w:type="dxa"/>
            <w:vAlign w:val="bottom"/>
          </w:tcPr>
          <w:p>
            <w:pPr>
              <w:spacing w:after="0"/>
              <w:rPr>
                <w:sz w:val="20"/>
                <w:szCs w:val="20"/>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w w:val="94"/>
              </w:rPr>
              <w:t>September 30, 2021</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2,529,606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2,142,616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1,495,562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Credit Losses - July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18,424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for accounting change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Loans Charged off:</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Loan Recoveries: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Net Charge Offs (Recoveries):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Loan Losses - September 30,</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Unfunded Loan Commitments</w:t>
            </w:r>
          </w:p>
        </w:tc>
        <w:tc>
          <w:tcPr>
            <w:tcW w:w="160" w:type="dxa"/>
            <w:vAlign w:val="bottom"/>
            <w:shd w:val="clear" w:color="auto" w:fill="CFF0FC"/>
          </w:tcPr>
          <w:p>
            <w:pPr>
              <w:spacing w:after="0"/>
              <w:rPr>
                <w:sz w:val="19"/>
                <w:szCs w:val="19"/>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&amp; Letters of Credit - September 30,</w:t>
            </w: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Total Allowance for Credit Losses - September 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Ratio of Net Charge-offs to Average Outstanding Loans</w:t>
            </w: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Ratio of Nonaccrual Loans to Loans</w:t>
            </w:r>
          </w:p>
        </w:tc>
        <w:tc>
          <w:tcPr>
            <w:tcW w:w="160" w:type="dxa"/>
            <w:vAlign w:val="bottom"/>
          </w:tcPr>
          <w:p>
            <w:pPr>
              <w:spacing w:after="0"/>
              <w:rPr>
                <w:sz w:val="19"/>
                <w:szCs w:val="19"/>
                <w:color w:val="auto"/>
              </w:rPr>
            </w:pP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0.89 </w:t>
            </w:r>
            <w:r>
              <w:rPr>
                <w:rFonts w:ascii="Arial" w:cs="Arial" w:eastAsia="Arial" w:hAnsi="Arial"/>
                <w:sz w:val="18"/>
                <w:szCs w:val="18"/>
                <w:color w:val="auto"/>
                <w:highlight w:val="white"/>
              </w:rPr>
              <w:t>%</w:t>
            </w:r>
          </w:p>
        </w:tc>
        <w:tc>
          <w:tcPr>
            <w:tcW w:w="140" w:type="dxa"/>
            <w:vAlign w:val="bottom"/>
          </w:tcPr>
          <w:p>
            <w:pPr>
              <w:spacing w:after="0"/>
              <w:rPr>
                <w:sz w:val="19"/>
                <w:szCs w:val="19"/>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0.26 </w:t>
            </w:r>
            <w:r>
              <w:rPr>
                <w:rFonts w:ascii="Arial" w:cs="Arial" w:eastAsia="Arial" w:hAnsi="Arial"/>
                <w:sz w:val="18"/>
                <w:szCs w:val="18"/>
                <w:color w:val="auto"/>
                <w:highlight w:val="white"/>
              </w:rPr>
              <w:t>%</w:t>
            </w:r>
          </w:p>
        </w:tc>
        <w:tc>
          <w:tcPr>
            <w:tcW w:w="1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 xml:space="preserve">0.42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Ratio of the Allowance for Loan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7"/>
                <w:szCs w:val="17"/>
                <w:color w:val="auto"/>
              </w:rPr>
            </w:pPr>
          </w:p>
        </w:tc>
        <w:tc>
          <w:tcPr>
            <w:tcW w:w="1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0.93 %</w:t>
            </w:r>
          </w:p>
        </w:tc>
        <w:tc>
          <w:tcPr>
            <w:tcW w:w="18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3"/>
        </w:trPr>
        <w:tc>
          <w:tcPr>
            <w:tcW w:w="4860" w:type="dxa"/>
            <w:vAlign w:val="bottom"/>
          </w:tcPr>
          <w:p>
            <w:pPr>
              <w:ind w:left="160"/>
              <w:spacing w:after="0" w:line="203" w:lineRule="exact"/>
              <w:rPr>
                <w:sz w:val="20"/>
                <w:szCs w:val="20"/>
                <w:color w:val="auto"/>
              </w:rPr>
            </w:pPr>
            <w:r>
              <w:rPr>
                <w:rFonts w:ascii="Arial" w:cs="Arial" w:eastAsia="Arial" w:hAnsi="Arial"/>
                <w:sz w:val="18"/>
                <w:szCs w:val="18"/>
                <w:color w:val="auto"/>
              </w:rPr>
              <w:t>to Loans</w:t>
            </w:r>
          </w:p>
        </w:tc>
        <w:tc>
          <w:tcPr>
            <w:tcW w:w="1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Ratio of the Allowance for Loan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112.61 %</w:t>
            </w:r>
          </w:p>
        </w:tc>
        <w:tc>
          <w:tcPr>
            <w:tcW w:w="140" w:type="dxa"/>
            <w:vAlign w:val="bottom"/>
          </w:tcPr>
          <w:p>
            <w:pPr>
              <w:spacing w:after="0"/>
              <w:rPr>
                <w:sz w:val="17"/>
                <w:szCs w:val="17"/>
                <w:color w:val="auto"/>
              </w:rPr>
            </w:pPr>
          </w:p>
        </w:tc>
        <w:tc>
          <w:tcPr>
            <w:tcW w:w="1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365.44 %</w:t>
            </w:r>
          </w:p>
        </w:tc>
        <w:tc>
          <w:tcPr>
            <w:tcW w:w="18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251.26 %</w:t>
            </w:r>
          </w:p>
        </w:tc>
        <w:tc>
          <w:tcPr>
            <w:tcW w:w="0" w:type="dxa"/>
            <w:vAlign w:val="bottom"/>
          </w:tcPr>
          <w:p>
            <w:pPr>
              <w:spacing w:after="0"/>
              <w:rPr>
                <w:sz w:val="1"/>
                <w:szCs w:val="1"/>
                <w:color w:val="auto"/>
              </w:rPr>
            </w:pPr>
          </w:p>
        </w:tc>
      </w:tr>
      <w:tr>
        <w:trPr>
          <w:trHeight w:val="203"/>
        </w:trPr>
        <w:tc>
          <w:tcPr>
            <w:tcW w:w="4860" w:type="dxa"/>
            <w:vAlign w:val="bottom"/>
          </w:tcPr>
          <w:p>
            <w:pPr>
              <w:ind w:left="160"/>
              <w:spacing w:after="0" w:line="203" w:lineRule="exact"/>
              <w:rPr>
                <w:sz w:val="20"/>
                <w:szCs w:val="20"/>
                <w:color w:val="auto"/>
              </w:rPr>
            </w:pPr>
            <w:r>
              <w:rPr>
                <w:rFonts w:ascii="Arial" w:cs="Arial" w:eastAsia="Arial" w:hAnsi="Arial"/>
                <w:sz w:val="18"/>
                <w:szCs w:val="18"/>
                <w:color w:val="auto"/>
              </w:rPr>
              <w:t>Nonaccrual Loans</w:t>
            </w:r>
          </w:p>
        </w:tc>
        <w:tc>
          <w:tcPr>
            <w:tcW w:w="1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Ratio of the Allowance for Loan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112.61 %</w:t>
            </w:r>
          </w:p>
        </w:tc>
        <w:tc>
          <w:tcPr>
            <w:tcW w:w="140" w:type="dxa"/>
            <w:vAlign w:val="bottom"/>
          </w:tcPr>
          <w:p>
            <w:pPr>
              <w:spacing w:after="0"/>
              <w:rPr>
                <w:sz w:val="17"/>
                <w:szCs w:val="17"/>
                <w:color w:val="auto"/>
              </w:rPr>
            </w:pPr>
          </w:p>
        </w:tc>
        <w:tc>
          <w:tcPr>
            <w:tcW w:w="1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365.44 %</w:t>
            </w:r>
          </w:p>
        </w:tc>
        <w:tc>
          <w:tcPr>
            <w:tcW w:w="18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251.26 %</w:t>
            </w:r>
          </w:p>
        </w:tc>
        <w:tc>
          <w:tcPr>
            <w:tcW w:w="0" w:type="dxa"/>
            <w:vAlign w:val="bottom"/>
          </w:tcPr>
          <w:p>
            <w:pPr>
              <w:spacing w:after="0"/>
              <w:rPr>
                <w:sz w:val="1"/>
                <w:szCs w:val="1"/>
                <w:color w:val="auto"/>
              </w:rPr>
            </w:pPr>
          </w:p>
        </w:tc>
      </w:tr>
      <w:tr>
        <w:trPr>
          <w:trHeight w:val="203"/>
        </w:trPr>
        <w:tc>
          <w:tcPr>
            <w:tcW w:w="4860" w:type="dxa"/>
            <w:vAlign w:val="bottom"/>
          </w:tcPr>
          <w:p>
            <w:pPr>
              <w:ind w:left="160"/>
              <w:spacing w:after="0" w:line="203" w:lineRule="exact"/>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-7225665</wp:posOffset>
            </wp:positionV>
            <wp:extent cx="2846070" cy="2057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4607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-6865620</wp:posOffset>
            </wp:positionV>
            <wp:extent cx="2846070" cy="2057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84607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-4954270</wp:posOffset>
            </wp:positionV>
            <wp:extent cx="76835" cy="16319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-4954270</wp:posOffset>
            </wp:positionV>
            <wp:extent cx="68580" cy="16319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16319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-3702685</wp:posOffset>
            </wp:positionV>
            <wp:extent cx="76835" cy="1625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-3702685</wp:posOffset>
            </wp:positionV>
            <wp:extent cx="68580" cy="16256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625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-2296795</wp:posOffset>
            </wp:positionV>
            <wp:extent cx="76835" cy="1625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-2296795</wp:posOffset>
            </wp:positionV>
            <wp:extent cx="68580" cy="1625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625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3683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7439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8743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70" w:name="page71"/>
    <w:bookmarkEnd w:id="70"/>
    <w:p>
      <w:pPr>
        <w:jc w:val="both"/>
        <w:ind w:left="180"/>
        <w:spacing w:after="0" w:line="259" w:lineRule="auto"/>
        <w:rPr>
          <w:sz w:val="20"/>
          <w:szCs w:val="20"/>
          <w:color w:val="auto"/>
        </w:rPr>
      </w:pPr>
      <w:r>
        <w:rPr>
          <w:rFonts w:ascii="Arial" w:cs="Arial" w:eastAsia="Arial" w:hAnsi="Arial"/>
          <w:sz w:val="18"/>
          <w:szCs w:val="18"/>
          <w:color w:val="auto"/>
        </w:rPr>
        <w:t>Loans classified as nonaccrual were higher as of September 30, 2023 at $22.4 million as compared to $5.5 million as of September 30, 2022. The agricultural portfolio and agricultural real estate portfolios saw the largest increases while the commercial real estate portfolio decreased as compared to September 30, 2022. The increases in the agricultural portfolio and the agricultural real estate portfolio resulted from two borrower relationships where the Bank is well collateralized.</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balances for allowance for credit losses by loan type at September 30, 2023 and September 30,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2023</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 of Loan</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 of Loan</w:t>
            </w:r>
          </w:p>
        </w:tc>
      </w:tr>
      <w:tr>
        <w:trPr>
          <w:trHeight w:val="244"/>
        </w:trPr>
        <w:tc>
          <w:tcPr>
            <w:tcW w:w="4200" w:type="dxa"/>
            <w:vAlign w:val="bottom"/>
          </w:tcPr>
          <w:p>
            <w:pPr>
              <w:spacing w:after="0"/>
              <w:rPr>
                <w:sz w:val="20"/>
                <w:szCs w:val="20"/>
                <w:color w:val="auto"/>
              </w:rPr>
            </w:pPr>
            <w:r>
              <w:rPr>
                <w:rFonts w:ascii="Arial" w:cs="Arial" w:eastAsia="Arial" w:hAnsi="Arial"/>
                <w:sz w:val="18"/>
                <w:szCs w:val="18"/>
                <w:color w:val="auto"/>
              </w:rPr>
              <w:t>Balance at End of Period Applicable To:</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1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Category</w:t>
            </w: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Category</w:t>
            </w:r>
          </w:p>
        </w:tc>
        <w:tc>
          <w:tcPr>
            <w:tcW w:w="60" w:type="dxa"/>
            <w:vAlign w:val="bottom"/>
          </w:tcPr>
          <w:p>
            <w:pPr>
              <w:spacing w:after="0"/>
              <w:rPr>
                <w:sz w:val="21"/>
                <w:szCs w:val="2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15.20 % $</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19.42 %</w:t>
            </w:r>
          </w:p>
        </w:tc>
      </w:tr>
      <w:tr>
        <w:trPr>
          <w:trHeight w:val="242"/>
        </w:trPr>
        <w:tc>
          <w:tcPr>
            <w:tcW w:w="43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4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9.56 %</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480" w:type="dxa"/>
            <w:vAlign w:val="bottom"/>
          </w:tcPr>
          <w:p>
            <w:pPr>
              <w:jc w:val="right"/>
              <w:spacing w:after="0"/>
              <w:rPr>
                <w:sz w:val="20"/>
                <w:szCs w:val="20"/>
                <w:color w:val="auto"/>
              </w:rPr>
            </w:pPr>
            <w:r>
              <w:rPr>
                <w:rFonts w:ascii="Arial" w:cs="Arial" w:eastAsia="Arial" w:hAnsi="Arial"/>
                <w:sz w:val="18"/>
                <w:szCs w:val="18"/>
                <w:color w:val="auto"/>
              </w:rPr>
              <w:t>0.73 %</w:t>
            </w: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6.01 %</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16,805</w:t>
            </w:r>
          </w:p>
        </w:tc>
        <w:tc>
          <w:tcPr>
            <w:tcW w:w="1480" w:type="dxa"/>
            <w:vAlign w:val="bottom"/>
          </w:tcPr>
          <w:p>
            <w:pPr>
              <w:jc w:val="right"/>
              <w:spacing w:after="0"/>
              <w:rPr>
                <w:sz w:val="20"/>
                <w:szCs w:val="20"/>
                <w:color w:val="auto"/>
              </w:rPr>
            </w:pPr>
            <w:r>
              <w:rPr>
                <w:rFonts w:ascii="Arial" w:cs="Arial" w:eastAsia="Arial" w:hAnsi="Arial"/>
                <w:sz w:val="18"/>
                <w:szCs w:val="18"/>
                <w:color w:val="auto"/>
              </w:rPr>
              <w:t>66.48 %</w:t>
            </w: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11,551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49.56 %</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1480" w:type="dxa"/>
            <w:vAlign w:val="bottom"/>
          </w:tcPr>
          <w:p>
            <w:pPr>
              <w:jc w:val="right"/>
              <w:spacing w:after="0"/>
              <w:rPr>
                <w:sz w:val="20"/>
                <w:szCs w:val="20"/>
                <w:color w:val="auto"/>
              </w:rPr>
            </w:pPr>
            <w:r>
              <w:rPr>
                <w:rFonts w:ascii="Arial" w:cs="Arial" w:eastAsia="Arial" w:hAnsi="Arial"/>
                <w:sz w:val="18"/>
                <w:szCs w:val="18"/>
                <w:color w:val="auto"/>
              </w:rPr>
              <w:t>10.71 %</w:t>
            </w: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12.13 %</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1,422</w:t>
            </w:r>
          </w:p>
        </w:tc>
        <w:tc>
          <w:tcPr>
            <w:tcW w:w="1480" w:type="dxa"/>
            <w:vAlign w:val="bottom"/>
          </w:tcPr>
          <w:p>
            <w:pPr>
              <w:jc w:val="right"/>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3.32 %</w:t>
            </w: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25,277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19,990</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3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Off Balance Sheet Commitments</w:t>
            </w: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2,023</w:t>
            </w:r>
          </w:p>
        </w:tc>
        <w:tc>
          <w:tcPr>
            <w:tcW w:w="1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1,118</w:t>
            </w:r>
          </w:p>
        </w:tc>
        <w:tc>
          <w:tcPr>
            <w:tcW w:w="146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27,300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21,108</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-1584960</wp:posOffset>
            </wp:positionV>
            <wp:extent cx="6412230" cy="1543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-1276350</wp:posOffset>
            </wp:positionV>
            <wp:extent cx="6412230" cy="154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-967740</wp:posOffset>
            </wp:positionV>
            <wp:extent cx="6412230" cy="154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-659130</wp:posOffset>
            </wp:positionV>
            <wp:extent cx="6412230" cy="3168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412230" cy="31686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77470" cy="18859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68580" cy="18859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96" w:lineRule="auto"/>
        <w:rPr>
          <w:sz w:val="20"/>
          <w:szCs w:val="20"/>
          <w:color w:val="auto"/>
        </w:rPr>
      </w:pPr>
      <w:r>
        <w:rPr>
          <w:rFonts w:ascii="Arial" w:cs="Arial" w:eastAsia="Arial" w:hAnsi="Arial"/>
          <w:sz w:val="16"/>
          <w:szCs w:val="16"/>
          <w:color w:val="auto"/>
        </w:rPr>
        <w:t>Noninterest income was down $68 thousand for the three months ended September 30, 2023 over the same time frame in 2022. Combined service fees decreased by $35 thousand as compared to the three months ended September 30, 2022. Servicing rights income for 1-4 family and agricultural real estate loans increased $103 thousand as compared to the same period in 2022. Debit card income increased by $48 thousand and bank owned life insurance cash surrender value increased $45 thousand. Overdraft and returned check charges increased $26 thousand compared to the three months ended September 30, 2022. Fee income from credit cards increased by $18 thousand as compared to 2022.</w:t>
      </w:r>
    </w:p>
    <w:p>
      <w:pPr>
        <w:spacing w:after="0" w:line="121" w:lineRule="exact"/>
        <w:rPr>
          <w:sz w:val="20"/>
          <w:szCs w:val="20"/>
          <w:color w:val="auto"/>
        </w:rPr>
      </w:pPr>
    </w:p>
    <w:p>
      <w:pPr>
        <w:jc w:val="both"/>
        <w:ind w:left="180"/>
        <w:spacing w:after="0" w:line="275" w:lineRule="auto"/>
        <w:rPr>
          <w:sz w:val="20"/>
          <w:szCs w:val="20"/>
          <w:color w:val="auto"/>
        </w:rPr>
      </w:pPr>
      <w:r>
        <w:rPr>
          <w:rFonts w:ascii="Arial" w:cs="Arial" w:eastAsia="Arial" w:hAnsi="Arial"/>
          <w:sz w:val="17"/>
          <w:szCs w:val="17"/>
          <w:color w:val="auto"/>
        </w:rPr>
        <w:t>The Company has seen a decrease in its mortgage production volume due to the heightened borrowing costs and continued lack of housing inventory in many of our markets. The gain on the sale of these loans was $33 thousand lower for the three months ended September 30, 2023 over the same period in 2022. Loan originations on loans held for sale for the three months ended September 30, 2023 were $11.4 million with proceeds from sale at $12.1 million for 2023 compared to 2022’s activity of $14.2 million in originations and $16.6 million in sales. The mortgages sold were both 1-4 family and agricultural real estate loans originated for sale.</w:t>
      </w:r>
    </w:p>
    <w:p>
      <w:pPr>
        <w:spacing w:after="0" w:line="200" w:lineRule="exact"/>
        <w:rPr>
          <w:sz w:val="20"/>
          <w:szCs w:val="20"/>
          <w:color w:val="auto"/>
        </w:rPr>
      </w:pP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17"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7"/>
          <w:szCs w:val="17"/>
          <w:color w:val="auto"/>
        </w:rPr>
        <w:t>The impact of servicing rights, both to income and expense, is shown in the following table which reconciles the value of servicing rights. The capitalization runs through noninterest income while the amortization thereof is included in noninterest expense. For the nine months ended September 30, 2023 and 2022, servicing rights caused a net $2.1 million in income and $13 thousand in income, respectively. The higher capitalized additions for 2023 are attributed to $2.3 million of rights related to agricultural loans. Amortization of agricultural loan servicing rights was $62 thousand for the first nine months of 2023. For loans of 15 years and less, the market value of the servicing rights was 1.057% in the third quarter 2023 versus 0.988% in third quarter 2022. For loans over 15 years, the value was 1.176% versus 1.299% for the same periods respectively. A valuation allowance of $414 thousand was established during 2021. During the first quarter of 2022, $134 thousand of the valuation allowance was reversed with an additional $91 thousand of the valuation reversed during second quarter 2022. In the third quarter of 2022, $188 thousand of the valuation was reversed. As of September 30, 2023, the carrying value of two strata were slightly below the market value requiring a $3 thousand valuation allowance to be established.</w:t>
      </w:r>
    </w:p>
    <w:p>
      <w:pPr>
        <w:spacing w:after="0" w:line="38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20"/>
                <w:szCs w:val="2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8"/>
                <w:szCs w:val="18"/>
                <w:color w:val="auto"/>
              </w:rPr>
              <w:t>Nine Months</w:t>
            </w:r>
          </w:p>
        </w:tc>
      </w:tr>
      <w:tr>
        <w:trPr>
          <w:trHeight w:val="250"/>
        </w:trPr>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1"/>
                <w:szCs w:val="21"/>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(In Thousands)</w:t>
            </w:r>
          </w:p>
        </w:tc>
      </w:tr>
      <w:tr>
        <w:trPr>
          <w:trHeight w:val="237"/>
        </w:trPr>
        <w:tc>
          <w:tcPr>
            <w:tcW w:w="40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FF0FC"/>
          </w:tcPr>
          <w:p>
            <w:pPr>
              <w:spacing w:after="0"/>
              <w:rPr>
                <w:sz w:val="21"/>
                <w:szCs w:val="2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Capitalized Additions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20"/>
                <w:szCs w:val="20"/>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(426 )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(448 )</w:t>
            </w:r>
          </w:p>
        </w:tc>
      </w:tr>
      <w:tr>
        <w:trPr>
          <w:trHeight w:val="236"/>
        </w:trPr>
        <w:tc>
          <w:tcPr>
            <w:tcW w:w="4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 September 30,</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5,690</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5,690</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80" w:type="dxa"/>
            <w:vAlign w:val="bottom"/>
            <w:tcBorders>
              <w:top w:val="single" w:sz="8" w:color="CFF0FC"/>
            </w:tcBorders>
          </w:tcPr>
          <w:p>
            <w:pPr>
              <w:spacing w:after="0"/>
              <w:rPr>
                <w:sz w:val="20"/>
                <w:szCs w:val="20"/>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r>
      <w:tr>
        <w:trPr>
          <w:trHeight w:val="243"/>
        </w:trPr>
        <w:tc>
          <w:tcPr>
            <w:tcW w:w="4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Servicing Rights net, September 30,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22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22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22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80" w:type="dxa"/>
            <w:vAlign w:val="bottom"/>
            <w:tcBorders>
              <w:top w:val="single" w:sz="8" w:color="CFF0FC"/>
            </w:tcBorders>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-1151890</wp:posOffset>
            </wp:positionV>
            <wp:extent cx="2494280" cy="1968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494280" cy="1968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-504825</wp:posOffset>
            </wp:positionV>
            <wp:extent cx="60325" cy="1625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-504825</wp:posOffset>
            </wp:positionV>
            <wp:extent cx="60325" cy="1625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-504825</wp:posOffset>
            </wp:positionV>
            <wp:extent cx="60325" cy="1625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-504825</wp:posOffset>
            </wp:positionV>
            <wp:extent cx="51435" cy="1625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-187960</wp:posOffset>
            </wp:positionV>
            <wp:extent cx="60325" cy="18859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-187960</wp:posOffset>
            </wp:positionV>
            <wp:extent cx="60325" cy="18859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-187960</wp:posOffset>
            </wp:positionV>
            <wp:extent cx="60325" cy="18859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-187960</wp:posOffset>
            </wp:positionV>
            <wp:extent cx="51435" cy="1885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September 30, 2023, noninterest expenses were $3.6 million higher than for the same period in 2022. Salaries, wages, and employee benefits (includes normal merit increases, restricted stock expense, incentive payout and all employee benefits) increased $2.0 million in total. This was comprised of increased salaries of $1.3 million and increased benefits of $674 thousand of which $458 thousand is related to medical, $116 thousand to pension and $15 thousand for workers compensation. The increase was due to the investment in people for our strategic growth initiative and staffing of new offices. The additional cost of the offices is also evident in the increased expenses in net occupancy and furniture and equipment. Advertising and public relations expense increased $287 thousand. Data processing expenses increased $59 thousand. FDIC assessment expense increased $315 thousand.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expense was $1.1 million lower for the three months ended September 30, 2023 compared to the same period in 2022 based mainly on lower earnings. Effective tax rates were 19.01% and 20.10% for 2023 and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Results overall, net income in the three months ended September 30, 2023 was down $4.2 million as compared to the same period last year. The Company remains strong, stable, and well capitalized and has the capacity to continue to cover the increased costs of expansion.</w:t>
      </w:r>
    </w:p>
    <w:p>
      <w:pPr>
        <w:spacing w:after="0" w:line="93" w:lineRule="exact"/>
        <w:rPr>
          <w:sz w:val="20"/>
          <w:szCs w:val="20"/>
          <w:color w:val="auto"/>
        </w:rPr>
      </w:pPr>
    </w:p>
    <w:p>
      <w:pPr>
        <w:ind w:right="146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Results of Interest Earnings and Expenses for nine month periods ended September 30, 2023 and 2022 </w:t>
      </w:r>
      <w:r>
        <w:rPr>
          <w:rFonts w:ascii="Arial" w:cs="Arial" w:eastAsia="Arial" w:hAnsi="Arial"/>
          <w:sz w:val="18"/>
          <w:szCs w:val="18"/>
          <w:b w:val="1"/>
          <w:bCs w:val="1"/>
          <w:color w:val="auto"/>
        </w:rPr>
        <w:t>Interest Income</w:t>
      </w:r>
    </w:p>
    <w:p>
      <w:pPr>
        <w:jc w:val="both"/>
        <w:spacing w:after="0" w:line="269" w:lineRule="auto"/>
        <w:rPr>
          <w:sz w:val="20"/>
          <w:szCs w:val="20"/>
          <w:color w:val="auto"/>
        </w:rPr>
      </w:pPr>
      <w:r>
        <w:rPr>
          <w:rFonts w:ascii="Arial" w:cs="Arial" w:eastAsia="Arial" w:hAnsi="Arial"/>
          <w:sz w:val="17"/>
          <w:szCs w:val="17"/>
          <w:color w:val="auto"/>
        </w:rPr>
        <w:t>When comparing the nine months ended September 30, 2023 and September 30, 2022, average loan balances with the acquisitions of PPSF grew $473.7 million. This represented a 23.7% increase in a one-year time period. Interest income on loan balances increased $27.9 million as compared to the nine months ended September 30, 2022. This increase was partly the result of the growth in the year over year loan balances, 4.9% of which was directly attributable to the Company’s recent acquisition and 13.2% of which was due to organic loan growth within the Bank’s broader markets. During the current quarter, the Company reversed loan interest income from one relationship in the amount of approximately $492 thousand of which approximately $324 thousand was previously recognized in prior periods. The current quarter also included loan income of $594 thousand from the recovery of two acquired relationships that had been fully charged off prior to acquisition. In the second quarter of 2023, the Company reversed previously recognized loan interest income from one relationship in the amount of approximately $463 thousand. The Company's loan portfolio is 29.9% variable with 13.3% of total loans repricing during the remainder of 2023 and 22.3% of total loans repricing within the next twelve months.</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2" w:name="page73"/>
    <w:bookmarkEnd w:id="72"/>
    <w:p>
      <w:pPr>
        <w:jc w:val="both"/>
        <w:ind w:left="760" w:right="60"/>
        <w:spacing w:after="0" w:line="255" w:lineRule="auto"/>
        <w:rPr>
          <w:sz w:val="20"/>
          <w:szCs w:val="20"/>
          <w:color w:val="auto"/>
        </w:rPr>
      </w:pPr>
      <w:r>
        <w:rPr>
          <w:rFonts w:ascii="Arial" w:cs="Arial" w:eastAsia="Arial" w:hAnsi="Arial"/>
          <w:sz w:val="18"/>
          <w:szCs w:val="18"/>
          <w:color w:val="auto"/>
        </w:rPr>
        <w:t>The available-for-sale securities portfolio decreased in average balances by $24.9 million when comparing to the same period in 2022 while the income increased $527 thousand over the nine months ended September 30, 2022. Federal funds sold and interest-bearing deposits decreased in average balances by $34.1 million as compared to the same nine month period ended September 30, 2022 with increased income of $1.5 million for the current period. The decreased balances have been used to fund loan growth. During the first quarter of 2023, securities of $21.6 million with an annual yield of $274 thousand were swapped at a loss of $891 thousand with securities with an annual yield of $1.6 million. The loss will be recouped in 0.67 years.</w:t>
      </w:r>
    </w:p>
    <w:p>
      <w:pPr>
        <w:spacing w:after="0" w:line="165" w:lineRule="exact"/>
        <w:rPr>
          <w:sz w:val="20"/>
          <w:szCs w:val="20"/>
          <w:color w:val="auto"/>
        </w:rPr>
      </w:pPr>
    </w:p>
    <w:p>
      <w:pPr>
        <w:jc w:val="both"/>
        <w:ind w:left="760" w:right="60"/>
        <w:spacing w:after="0" w:line="257" w:lineRule="auto"/>
        <w:rPr>
          <w:sz w:val="20"/>
          <w:szCs w:val="20"/>
          <w:color w:val="auto"/>
        </w:rPr>
      </w:pPr>
      <w:r>
        <w:rPr>
          <w:rFonts w:ascii="Arial" w:cs="Arial" w:eastAsia="Arial" w:hAnsi="Arial"/>
          <w:sz w:val="18"/>
          <w:szCs w:val="18"/>
          <w:color w:val="auto"/>
        </w:rPr>
        <w:t>The overall total average balance of the Bank’s earning assets increased by $414.7 million and interest income for the period comparisons was higher for the nine months ended September 30, 2023 by 41.7% or $29.9 million as compared to the nine month period ended September 30, 2022. Increases in the prime lending rate between periods has contributed to approximately 48.0% of the growth. Acquisition balances also contributed to the increase in comparison. Refer to Note 2 Business Combination and Asset Purchase for information on assets acquired from PPSF.</w:t>
      </w:r>
    </w:p>
    <w:p>
      <w:pPr>
        <w:spacing w:after="0" w:line="147" w:lineRule="exact"/>
        <w:rPr>
          <w:sz w:val="20"/>
          <w:szCs w:val="20"/>
          <w:color w:val="auto"/>
        </w:rPr>
      </w:pPr>
    </w:p>
    <w:p>
      <w:pPr>
        <w:jc w:val="both"/>
        <w:ind w:left="760" w:right="60"/>
        <w:spacing w:after="0" w:line="296" w:lineRule="auto"/>
        <w:rPr>
          <w:sz w:val="20"/>
          <w:szCs w:val="20"/>
          <w:color w:val="auto"/>
        </w:rPr>
      </w:pPr>
      <w:r>
        <w:rPr>
          <w:rFonts w:ascii="Arial" w:cs="Arial" w:eastAsia="Arial" w:hAnsi="Arial"/>
          <w:sz w:val="16"/>
          <w:szCs w:val="16"/>
          <w:color w:val="auto"/>
        </w:rPr>
        <w:t>Annualized yield, for the nine months ended September 30, 2023, was 4.57% as compared to 3.76% for the comparable period ended September 30, 2022. The following charts demonstrate the increased loan balances accounted for 57.0% of the increased loan interest income while rate increases accounted for the remaining 43.0%. The yields on tax-exempt securities and the portion of the tax-exempt IDB loans included in loans have been tax adjusted based on a 21% tax rate in the charts to follow. The tax-exempt interest income was $425 and $445 thousand for the nine months ended September 2023 and 2022 which resulted in a federal tax savings of $89 and $93 thousand,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190"/>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6"/>
          </w:tcPr>
          <w:p>
            <w:pPr>
              <w:jc w:val="center"/>
              <w:ind w:left="190"/>
              <w:spacing w:after="0"/>
              <w:rPr>
                <w:sz w:val="20"/>
                <w:szCs w:val="20"/>
                <w:color w:val="auto"/>
              </w:rPr>
            </w:pPr>
            <w:r>
              <w:rPr>
                <w:rFonts w:ascii="Arial" w:cs="Arial" w:eastAsia="Arial" w:hAnsi="Arial"/>
                <w:sz w:val="18"/>
                <w:szCs w:val="18"/>
                <w:color w:val="auto"/>
                <w:w w:val="88"/>
              </w:rPr>
              <w:t>Year to Date Ended September 30, 2023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10"/>
          </w:tcPr>
          <w:p>
            <w:pPr>
              <w:jc w:val="right"/>
              <w:ind w:right="1000"/>
              <w:spacing w:after="0"/>
              <w:rPr>
                <w:sz w:val="20"/>
                <w:szCs w:val="20"/>
                <w:color w:val="auto"/>
              </w:rPr>
            </w:pPr>
            <w:r>
              <w:rPr>
                <w:rFonts w:ascii="Arial" w:cs="Arial" w:eastAsia="Arial" w:hAnsi="Arial"/>
                <w:sz w:val="18"/>
                <w:szCs w:val="18"/>
                <w:color w:val="auto"/>
              </w:rPr>
              <w:t>Annualized Yield/Rate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Interest Earning Assets:</w:t>
            </w:r>
          </w:p>
        </w:tc>
        <w:tc>
          <w:tcPr>
            <w:tcW w:w="10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5"/>
              </w:rPr>
              <w:t>Interest/Dividends</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9"/>
              </w:rPr>
              <w:t>September 30, 2023</w:t>
            </w:r>
          </w:p>
        </w:tc>
        <w:tc>
          <w:tcPr>
            <w:tcW w:w="80" w:type="dxa"/>
            <w:vAlign w:val="bottom"/>
            <w:tcBorders>
              <w:top w:val="single" w:sz="8" w:color="auto"/>
            </w:tcBorders>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September 30, 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Loans</w:t>
            </w:r>
          </w:p>
        </w:tc>
        <w:tc>
          <w:tcPr>
            <w:tcW w:w="1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2,470,770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94,851</w:t>
            </w:r>
          </w:p>
        </w:tc>
        <w:tc>
          <w:tcPr>
            <w:tcW w:w="100" w:type="dxa"/>
            <w:vAlign w:val="bottom"/>
          </w:tcPr>
          <w:p>
            <w:pPr>
              <w:spacing w:after="0"/>
              <w:rPr>
                <w:sz w:val="19"/>
                <w:szCs w:val="19"/>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5.12</w:t>
            </w:r>
          </w:p>
        </w:tc>
        <w:tc>
          <w:tcPr>
            <w:tcW w:w="22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2600" w:type="dxa"/>
            <w:vAlign w:val="bottom"/>
          </w:tcPr>
          <w:p>
            <w:pPr>
              <w:ind w:left="20"/>
              <w:spacing w:after="0"/>
              <w:rPr>
                <w:sz w:val="20"/>
                <w:szCs w:val="20"/>
                <w:color w:val="auto"/>
              </w:rPr>
            </w:pPr>
            <w:r>
              <w:rPr>
                <w:rFonts w:ascii="Arial" w:cs="Arial" w:eastAsia="Arial" w:hAnsi="Arial"/>
                <w:sz w:val="18"/>
                <w:szCs w:val="18"/>
                <w:color w:val="auto"/>
              </w:rPr>
              <w:t>Taxable investment securities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396,917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4,544</w:t>
            </w:r>
          </w:p>
        </w:tc>
        <w:tc>
          <w:tcPr>
            <w:tcW w:w="1980" w:type="dxa"/>
            <w:vAlign w:val="bottom"/>
            <w:gridSpan w:val="9"/>
          </w:tcPr>
          <w:p>
            <w:pPr>
              <w:jc w:val="right"/>
              <w:ind w:right="60"/>
              <w:spacing w:after="0"/>
              <w:rPr>
                <w:sz w:val="20"/>
                <w:szCs w:val="20"/>
                <w:color w:val="auto"/>
              </w:rPr>
            </w:pPr>
            <w:r>
              <w:rPr>
                <w:rFonts w:ascii="Arial" w:cs="Arial" w:eastAsia="Arial" w:hAnsi="Arial"/>
                <w:sz w:val="18"/>
                <w:szCs w:val="18"/>
                <w:color w:val="auto"/>
              </w:rPr>
              <w:t>1.53 %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1.28 %</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w w:val="95"/>
              </w:rPr>
              <w:t>Tax-exempt investment securities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1980" w:type="dxa"/>
            <w:vAlign w:val="bottom"/>
            <w:gridSpan w:val="9"/>
          </w:tcPr>
          <w:p>
            <w:pPr>
              <w:jc w:val="right"/>
              <w:ind w:right="60"/>
              <w:spacing w:after="0"/>
              <w:rPr>
                <w:sz w:val="20"/>
                <w:szCs w:val="20"/>
                <w:color w:val="auto"/>
              </w:rPr>
            </w:pPr>
            <w:r>
              <w:rPr>
                <w:rFonts w:ascii="Arial" w:cs="Arial" w:eastAsia="Arial" w:hAnsi="Arial"/>
                <w:sz w:val="18"/>
                <w:szCs w:val="18"/>
                <w:color w:val="auto"/>
              </w:rPr>
              <w:t>1.88 %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1.77 %</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Fed funds sold &amp; other</w:t>
            </w:r>
          </w:p>
        </w:tc>
        <w:tc>
          <w:tcPr>
            <w:tcW w:w="1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1,866</w:t>
            </w:r>
          </w:p>
        </w:tc>
        <w:tc>
          <w:tcPr>
            <w:tcW w:w="1980" w:type="dxa"/>
            <w:vAlign w:val="bottom"/>
            <w:gridSpan w:val="9"/>
          </w:tcPr>
          <w:p>
            <w:pPr>
              <w:jc w:val="right"/>
              <w:ind w:right="60"/>
              <w:spacing w:after="0"/>
              <w:rPr>
                <w:sz w:val="20"/>
                <w:szCs w:val="20"/>
                <w:color w:val="auto"/>
              </w:rPr>
            </w:pPr>
            <w:r>
              <w:rPr>
                <w:rFonts w:ascii="Arial" w:cs="Arial" w:eastAsia="Arial" w:hAnsi="Arial"/>
                <w:sz w:val="18"/>
                <w:szCs w:val="18"/>
                <w:color w:val="auto"/>
              </w:rPr>
              <w:t>3.67 %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0.52 %</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Total Interest Earning Assets</w:t>
            </w:r>
          </w:p>
        </w:tc>
        <w:tc>
          <w:tcPr>
            <w:tcW w:w="10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2,960,421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101,538</w:t>
            </w:r>
          </w:p>
        </w:tc>
        <w:tc>
          <w:tcPr>
            <w:tcW w:w="1980" w:type="dxa"/>
            <w:vAlign w:val="bottom"/>
            <w:gridSpan w:val="9"/>
          </w:tcPr>
          <w:p>
            <w:pPr>
              <w:jc w:val="right"/>
              <w:ind w:right="60"/>
              <w:spacing w:after="0"/>
              <w:rPr>
                <w:sz w:val="20"/>
                <w:szCs w:val="20"/>
                <w:color w:val="auto"/>
              </w:rPr>
            </w:pPr>
            <w:r>
              <w:rPr>
                <w:rFonts w:ascii="Arial" w:cs="Arial" w:eastAsia="Arial" w:hAnsi="Arial"/>
                <w:sz w:val="18"/>
                <w:szCs w:val="18"/>
                <w:color w:val="auto"/>
              </w:rPr>
              <w:t>4.57 %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3.76 %</w:t>
            </w:r>
          </w:p>
        </w:tc>
      </w:tr>
      <w:tr>
        <w:trPr>
          <w:trHeight w:val="20"/>
        </w:trPr>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2600" w:type="dxa"/>
            <w:vAlign w:val="bottom"/>
          </w:tcPr>
          <w:p>
            <w:pPr>
              <w:spacing w:after="0"/>
              <w:rPr>
                <w:sz w:val="24"/>
                <w:szCs w:val="24"/>
                <w:color w:val="auto"/>
              </w:rPr>
            </w:pPr>
          </w:p>
        </w:tc>
        <w:tc>
          <w:tcPr>
            <w:tcW w:w="6860" w:type="dxa"/>
            <w:vAlign w:val="bottom"/>
            <w:gridSpan w:val="18"/>
          </w:tcPr>
          <w:p>
            <w:pPr>
              <w:spacing w:after="0"/>
              <w:rPr>
                <w:sz w:val="20"/>
                <w:szCs w:val="20"/>
                <w:color w:val="auto"/>
              </w:rPr>
            </w:pPr>
            <w:r>
              <w:rPr>
                <w:rFonts w:ascii="Arial" w:cs="Arial" w:eastAsia="Arial" w:hAnsi="Arial"/>
                <w:sz w:val="18"/>
                <w:szCs w:val="18"/>
                <w:color w:val="auto"/>
                <w:w w:val="89"/>
              </w:rPr>
              <w:t>Change in Interest Income Year to Date September 30, 2023 Compared to September 30, 2022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3"/>
        </w:trPr>
        <w:tc>
          <w:tcPr>
            <w:tcW w:w="26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5"/>
          </w:tcPr>
          <w:p>
            <w:pPr>
              <w:jc w:val="center"/>
              <w:ind w:right="450"/>
              <w:spacing w:after="0"/>
              <w:rPr>
                <w:sz w:val="20"/>
                <w:szCs w:val="20"/>
                <w:color w:val="auto"/>
              </w:rPr>
            </w:pPr>
            <w:r>
              <w:rPr>
                <w:rFonts w:ascii="Arial" w:cs="Arial" w:eastAsia="Arial" w:hAnsi="Arial"/>
                <w:sz w:val="18"/>
                <w:szCs w:val="18"/>
                <w:color w:val="auto"/>
                <w:w w:val="90"/>
              </w:rPr>
              <w:t>(In Thousands)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center"/>
              <w:ind w:right="72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Change Due</w:t>
            </w:r>
          </w:p>
        </w:tc>
        <w:tc>
          <w:tcPr>
            <w:tcW w:w="160" w:type="dxa"/>
            <w:vAlign w:val="bottom"/>
            <w:gridSpan w:val="2"/>
          </w:tcPr>
          <w:p>
            <w:pPr>
              <w:spacing w:after="0"/>
              <w:rPr>
                <w:sz w:val="18"/>
                <w:szCs w:val="18"/>
                <w:color w:val="auto"/>
              </w:rPr>
            </w:pPr>
          </w:p>
        </w:tc>
      </w:tr>
      <w:tr>
        <w:trPr>
          <w:trHeight w:val="244"/>
        </w:trPr>
        <w:tc>
          <w:tcPr>
            <w:tcW w:w="2600" w:type="dxa"/>
            <w:vAlign w:val="bottom"/>
          </w:tcPr>
          <w:p>
            <w:pPr>
              <w:ind w:left="20"/>
              <w:spacing w:after="0"/>
              <w:rPr>
                <w:sz w:val="20"/>
                <w:szCs w:val="20"/>
                <w:color w:val="auto"/>
              </w:rPr>
            </w:pPr>
            <w:r>
              <w:rPr>
                <w:rFonts w:ascii="Arial" w:cs="Arial" w:eastAsia="Arial" w:hAnsi="Arial"/>
                <w:sz w:val="18"/>
                <w:szCs w:val="18"/>
                <w:color w:val="auto"/>
              </w:rPr>
              <w:t>Interest Earning Assets: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Total Change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5"/>
          </w:tcPr>
          <w:p>
            <w:pPr>
              <w:jc w:val="center"/>
              <w:ind w:right="68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3"/>
          </w:tcPr>
          <w:p>
            <w:pPr>
              <w:jc w:val="right"/>
              <w:ind w:right="740"/>
              <w:spacing w:after="0"/>
              <w:rPr>
                <w:sz w:val="20"/>
                <w:szCs w:val="20"/>
                <w:color w:val="auto"/>
              </w:rPr>
            </w:pPr>
            <w:r>
              <w:rPr>
                <w:rFonts w:ascii="Arial" w:cs="Arial" w:eastAsia="Arial" w:hAnsi="Arial"/>
                <w:sz w:val="18"/>
                <w:szCs w:val="18"/>
                <w:color w:val="auto"/>
              </w:rPr>
              <w:t>to Rate</w:t>
            </w:r>
          </w:p>
        </w:tc>
      </w:tr>
      <w:tr>
        <w:trPr>
          <w:trHeight w:val="237"/>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Loans</w:t>
            </w: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27,889</w:t>
            </w: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15,893</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8"/>
                <w:szCs w:val="18"/>
                <w:color w:val="auto"/>
              </w:rPr>
              <w:t>Taxable investment securities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Tax-exempt investment securities</w:t>
            </w: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Fed funds sold &amp; other</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7"/>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Earning Assets</w:t>
            </w:r>
          </w:p>
        </w:tc>
        <w:tc>
          <w:tcPr>
            <w:tcW w:w="1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29,881</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jc w:val="center"/>
              <w:ind w:left="1530"/>
              <w:spacing w:after="0"/>
              <w:rPr>
                <w:sz w:val="20"/>
                <w:szCs w:val="20"/>
                <w:color w:val="auto"/>
              </w:rPr>
            </w:pPr>
            <w:r>
              <w:rPr>
                <w:rFonts w:ascii="Arial" w:cs="Arial" w:eastAsia="Arial" w:hAnsi="Arial"/>
                <w:sz w:val="18"/>
                <w:szCs w:val="18"/>
                <w:color w:val="auto"/>
                <w:w w:val="89"/>
              </w:rPr>
              <w:t>73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154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54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-2288540</wp:posOffset>
            </wp:positionV>
            <wp:extent cx="7132320" cy="1803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-453390</wp:posOffset>
            </wp:positionV>
            <wp:extent cx="7747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-436880</wp:posOffset>
            </wp:positionV>
            <wp:extent cx="774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-436880</wp:posOffset>
            </wp:positionV>
            <wp:extent cx="685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sectPr>
      </w:pPr>
    </w:p>
    <w:bookmarkStart w:id="73" w:name="page74"/>
    <w:bookmarkEnd w:id="73"/>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right="60"/>
        <w:spacing w:after="0" w:line="287" w:lineRule="auto"/>
        <w:rPr>
          <w:sz w:val="20"/>
          <w:szCs w:val="20"/>
          <w:color w:val="auto"/>
        </w:rPr>
      </w:pPr>
      <w:r>
        <w:rPr>
          <w:rFonts w:ascii="Arial" w:cs="Arial" w:eastAsia="Arial" w:hAnsi="Arial"/>
          <w:sz w:val="16"/>
          <w:szCs w:val="16"/>
          <w:color w:val="auto"/>
        </w:rPr>
        <w:t>Offsetting the higher interest income for the nine months ended September 30, 2023 was an increase in interest expense of $32.6 million or 439.6% compared to the same period in 2022. Since 2022, average interest-bearing deposit balances have increased $237.9 million or 13.6% and the Company recognized $27.0 million more in interest expense for the most recent nine months. March 2022 saw the first rate change by the Federal Reserve since March of 2020 with an increase of 25 basis points which was followed by an increase of 50 basis points in May and four increases of 75 basis points in June, July, September and November with a final 50 basis point increase in December. To date in 2023, there have been four increases of 25 basis points in February, March, May and July. Deposit rates have been adjusted numerous times with all of the rate increases. Interest expense on FHLB borrowings and other borrowings increased $5.2 million in the nine months ended September 30, 2023 over the same time frame in 2022 due to borrowings taken on from the Peoples acquisition and new FHLB borrowings in 2022 and 2023 used to fund loan growth. Interest expense on fed funds purchased and securities sold under agreement to repurchase increased $447 thousand compared to 2022. The average cost of funds increased to 2.35% for the nine months ended September 2023 compared to 0.53% for the nine months ended September 2022. Liabilities assumed from PPSF can be seen in Note 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w w:val="98"/>
              </w:rPr>
              <w:t>Year to Date Ended September 30, 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jc w:val="right"/>
              <w:ind w:right="910"/>
              <w:spacing w:after="0"/>
              <w:rPr>
                <w:sz w:val="20"/>
                <w:szCs w:val="20"/>
                <w:color w:val="auto"/>
              </w:rPr>
            </w:pPr>
            <w:r>
              <w:rPr>
                <w:rFonts w:ascii="Arial" w:cs="Arial" w:eastAsia="Arial" w:hAnsi="Arial"/>
                <w:sz w:val="18"/>
                <w:szCs w:val="18"/>
                <w:color w:val="auto"/>
              </w:rPr>
              <w:t>Annualized Yield/Rate</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Interest</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September 30, 2023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September 30, 2022</w:t>
            </w:r>
          </w:p>
        </w:tc>
        <w:tc>
          <w:tcPr>
            <w:tcW w:w="160" w:type="dxa"/>
            <w:vAlign w:val="bottom"/>
          </w:tcPr>
          <w:p>
            <w:pPr>
              <w:spacing w:after="0"/>
              <w:rPr>
                <w:sz w:val="20"/>
                <w:szCs w:val="20"/>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Savings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1,373,110</w:t>
            </w:r>
          </w:p>
        </w:tc>
        <w:tc>
          <w:tcPr>
            <w:tcW w:w="120" w:type="dxa"/>
            <w:vAlign w:val="bottom"/>
          </w:tcPr>
          <w:p>
            <w:pPr>
              <w:spacing w:after="0"/>
              <w:rPr>
                <w:sz w:val="20"/>
                <w:szCs w:val="20"/>
                <w:color w:val="auto"/>
              </w:rPr>
            </w:pPr>
          </w:p>
        </w:tc>
        <w:tc>
          <w:tcPr>
            <w:tcW w:w="146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18,854</w:t>
            </w: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3660" w:type="dxa"/>
            <w:vAlign w:val="bottom"/>
          </w:tcPr>
          <w:p>
            <w:pPr>
              <w:ind w:left="20"/>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620,071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13,054</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2.81 %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0.59 %</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borrowed money</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204,927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6,134</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3.99 %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2.34 %</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Fed funds purchased &amp; securities</w:t>
            </w: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60" w:type="dxa"/>
            <w:vAlign w:val="bottom"/>
          </w:tcPr>
          <w:p>
            <w:pPr>
              <w:ind w:left="120"/>
              <w:spacing w:after="0"/>
              <w:rPr>
                <w:sz w:val="20"/>
                <w:szCs w:val="20"/>
                <w:color w:val="auto"/>
              </w:rPr>
            </w:pPr>
            <w:r>
              <w:rPr>
                <w:rFonts w:ascii="Arial" w:cs="Arial" w:eastAsia="Arial" w:hAnsi="Arial"/>
                <w:sz w:val="18"/>
                <w:szCs w:val="18"/>
                <w:color w:val="auto"/>
              </w:rPr>
              <w:t>sold under agreement to repurchase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1,181</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4.18 %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56"/>
        </w:trPr>
        <w:tc>
          <w:tcPr>
            <w:tcW w:w="3660" w:type="dxa"/>
            <w:vAlign w:val="bottom"/>
          </w:tcPr>
          <w:p>
            <w:pPr>
              <w:ind w:left="20"/>
              <w:spacing w:after="0"/>
              <w:rPr>
                <w:sz w:val="20"/>
                <w:szCs w:val="20"/>
                <w:color w:val="auto"/>
              </w:rPr>
            </w:pPr>
            <w:r>
              <w:rPr>
                <w:rFonts w:ascii="Arial" w:cs="Arial" w:eastAsia="Arial" w:hAnsi="Arial"/>
                <w:sz w:val="18"/>
                <w:szCs w:val="18"/>
                <w:color w:val="auto"/>
              </w:rPr>
              <w:t>Subordinated notes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3.28 %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3.23 %</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2,270,382</w:t>
            </w:r>
          </w:p>
        </w:tc>
        <w:tc>
          <w:tcPr>
            <w:tcW w:w="260" w:type="dxa"/>
            <w:vAlign w:val="bottom"/>
            <w:gridSpan w:val="2"/>
          </w:tcPr>
          <w:p>
            <w:pPr>
              <w:spacing w:after="0"/>
              <w:rPr>
                <w:sz w:val="20"/>
                <w:szCs w:val="20"/>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40,076</w:t>
            </w:r>
          </w:p>
        </w:tc>
        <w:tc>
          <w:tcPr>
            <w:tcW w:w="1980" w:type="dxa"/>
            <w:vAlign w:val="bottom"/>
            <w:gridSpan w:val="5"/>
          </w:tcPr>
          <w:p>
            <w:pPr>
              <w:jc w:val="right"/>
              <w:ind w:right="60"/>
              <w:spacing w:after="0"/>
              <w:rPr>
                <w:sz w:val="20"/>
                <w:szCs w:val="20"/>
                <w:color w:val="auto"/>
              </w:rPr>
            </w:pPr>
            <w:r>
              <w:rPr>
                <w:rFonts w:ascii="Arial" w:cs="Arial" w:eastAsia="Arial" w:hAnsi="Arial"/>
                <w:sz w:val="18"/>
                <w:szCs w:val="18"/>
                <w:color w:val="auto"/>
              </w:rPr>
              <w:t>2.35 %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0.53 %</w:t>
            </w: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6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Change in Interest Expense Year to Date September 30, 2023 Compared to September 30, 2022</w:t>
            </w:r>
          </w:p>
        </w:tc>
        <w:tc>
          <w:tcPr>
            <w:tcW w:w="3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2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5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Change Due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0"/>
              </w:rPr>
              <w:t>Change Due</w:t>
            </w:r>
          </w:p>
        </w:tc>
        <w:tc>
          <w:tcPr>
            <w:tcW w:w="100" w:type="dxa"/>
            <w:vAlign w:val="bottom"/>
          </w:tcPr>
          <w:p>
            <w:pPr>
              <w:spacing w:after="0"/>
              <w:rPr>
                <w:sz w:val="18"/>
                <w:szCs w:val="18"/>
                <w:color w:val="auto"/>
              </w:rPr>
            </w:pPr>
          </w:p>
        </w:tc>
      </w:tr>
      <w:tr>
        <w:trPr>
          <w:trHeight w:val="244"/>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Interest Bearing Liabilities:</w:t>
            </w:r>
          </w:p>
        </w:tc>
        <w:tc>
          <w:tcPr>
            <w:tcW w:w="1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92"/>
              </w:rPr>
              <w:t>Total Change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to Rate</w:t>
            </w:r>
          </w:p>
        </w:tc>
        <w:tc>
          <w:tcPr>
            <w:tcW w:w="100" w:type="dxa"/>
            <w:vAlign w:val="bottom"/>
          </w:tcPr>
          <w:p>
            <w:pPr>
              <w:spacing w:after="0"/>
              <w:rPr>
                <w:sz w:val="21"/>
                <w:szCs w:val="21"/>
                <w:color w:val="auto"/>
              </w:rPr>
            </w:pPr>
          </w:p>
        </w:tc>
      </w:tr>
      <w:tr>
        <w:trPr>
          <w:trHeight w:val="237"/>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Savings deposits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15,903</w:t>
            </w:r>
          </w:p>
        </w:tc>
        <w:tc>
          <w:tcPr>
            <w:tcW w:w="120" w:type="dxa"/>
            <w:vAlign w:val="bottom"/>
            <w:shd w:val="clear" w:color="auto" w:fill="CFF0FC"/>
          </w:tcPr>
          <w:p>
            <w:pPr>
              <w:spacing w:after="0"/>
              <w:rPr>
                <w:sz w:val="20"/>
                <w:szCs w:val="20"/>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15,774</w:t>
            </w:r>
          </w:p>
        </w:tc>
        <w:tc>
          <w:tcPr>
            <w:tcW w:w="100" w:type="dxa"/>
            <w:vAlign w:val="bottom"/>
            <w:shd w:val="clear" w:color="auto" w:fill="CFF0FC"/>
          </w:tcPr>
          <w:p>
            <w:pPr>
              <w:spacing w:after="0"/>
              <w:rPr>
                <w:sz w:val="20"/>
                <w:szCs w:val="20"/>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0"/>
                <w:szCs w:val="20"/>
                <w:color w:val="auto"/>
              </w:rPr>
            </w:pPr>
          </w:p>
        </w:tc>
      </w:tr>
      <w:tr>
        <w:trPr>
          <w:trHeight w:val="24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borrowed money</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Fed funds purchased &amp; securities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sold under agreement to repurchase</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(85 )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Subordinated notes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r>
      <w:tr>
        <w:trPr>
          <w:trHeight w:val="276"/>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Interest Bearing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32,649</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-1435100</wp:posOffset>
            </wp:positionV>
            <wp:extent cx="2108200" cy="3340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08200" cy="33401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left="760" w:right="60"/>
        <w:spacing w:after="0" w:line="286" w:lineRule="auto"/>
        <w:rPr>
          <w:sz w:val="20"/>
          <w:szCs w:val="20"/>
          <w:color w:val="auto"/>
        </w:rPr>
      </w:pPr>
      <w:r>
        <w:rPr>
          <w:rFonts w:ascii="Arial" w:cs="Arial" w:eastAsia="Arial" w:hAnsi="Arial"/>
          <w:sz w:val="17"/>
          <w:szCs w:val="17"/>
          <w:color w:val="auto"/>
        </w:rPr>
        <w:t>Overall, net interest spread for the nine months ended September 30, 2023 was 101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1940" w:type="dxa"/>
            <w:vAlign w:val="bottom"/>
            <w:gridSpan w:val="2"/>
          </w:tcPr>
          <w:p>
            <w:pPr>
              <w:jc w:val="right"/>
              <w:ind w:right="270"/>
              <w:spacing w:after="0"/>
              <w:rPr>
                <w:sz w:val="20"/>
                <w:szCs w:val="20"/>
                <w:color w:val="auto"/>
              </w:rPr>
            </w:pPr>
            <w:r>
              <w:rPr>
                <w:rFonts w:ascii="Arial" w:cs="Arial" w:eastAsia="Arial" w:hAnsi="Arial"/>
                <w:sz w:val="18"/>
                <w:szCs w:val="18"/>
                <w:color w:val="auto"/>
                <w:w w:val="95"/>
              </w:rPr>
              <w:t>September 30, 2023</w:t>
            </w:r>
          </w:p>
        </w:tc>
        <w:tc>
          <w:tcPr>
            <w:tcW w:w="1920" w:type="dxa"/>
            <w:vAlign w:val="bottom"/>
            <w:gridSpan w:val="2"/>
          </w:tcPr>
          <w:p>
            <w:pPr>
              <w:jc w:val="right"/>
              <w:ind w:right="270"/>
              <w:spacing w:after="0"/>
              <w:rPr>
                <w:sz w:val="20"/>
                <w:szCs w:val="20"/>
                <w:color w:val="auto"/>
              </w:rPr>
            </w:pPr>
            <w:r>
              <w:rPr>
                <w:rFonts w:ascii="Arial" w:cs="Arial" w:eastAsia="Arial" w:hAnsi="Arial"/>
                <w:sz w:val="18"/>
                <w:szCs w:val="18"/>
                <w:color w:val="auto"/>
                <w:w w:val="94"/>
              </w:rPr>
              <w:t>September 30, 2022</w:t>
            </w:r>
          </w:p>
        </w:tc>
        <w:tc>
          <w:tcPr>
            <w:tcW w:w="182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September 30, 2021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Interest/Dividend income/yield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Expense/cost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0.53 %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Interest Spread</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8"/>
                <w:szCs w:val="18"/>
                <w:color w:val="auto"/>
              </w:rPr>
              <w:t>Net Interest Margin</w:t>
            </w: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xml:space="preserve">2.77 </w:t>
            </w:r>
            <w:r>
              <w:rPr>
                <w:rFonts w:ascii="Arial" w:cs="Arial" w:eastAsia="Arial" w:hAnsi="Arial"/>
                <w:sz w:val="18"/>
                <w:szCs w:val="18"/>
                <w:color w:val="auto"/>
                <w:highlight w:val="white"/>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 xml:space="preserve">3.37 </w:t>
            </w:r>
            <w:r>
              <w:rPr>
                <w:rFonts w:ascii="Arial" w:cs="Arial" w:eastAsia="Arial" w:hAnsi="Arial"/>
                <w:sz w:val="18"/>
                <w:szCs w:val="18"/>
                <w:color w:val="auto"/>
                <w:highlight w:val="white"/>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54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ind w:left="760" w:right="60"/>
        <w:spacing w:after="0" w:line="259" w:lineRule="auto"/>
        <w:rPr>
          <w:sz w:val="20"/>
          <w:szCs w:val="20"/>
          <w:color w:val="auto"/>
        </w:rPr>
      </w:pPr>
      <w:r>
        <w:rPr>
          <w:rFonts w:ascii="Arial" w:cs="Arial" w:eastAsia="Arial" w:hAnsi="Arial"/>
          <w:sz w:val="18"/>
          <w:szCs w:val="18"/>
          <w:color w:val="auto"/>
        </w:rPr>
        <w:t>Net interest income decreased approximately $2.8 million for the nine months ended September 30, 2023 over the same time frame in 2022 with the increase in interest income of $29.9 million offset by the higher interest expense of $32.6 million as previously mentioned. As the new loans added in 2022 and 2023 generate more income, management expects the benefits of the Company’s strategy of repositioning the balance sheet to continue to increase interest income in the long run. Loans as a</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t>percentage of earning assets increased to 83.5% for the nine months ended 2023 compared to 78.4% for the nine months ended September 2022. Loans to total assets increased to 78.8% for the nine months ended 2023 compared to 73.9% for the same time period 2022. The percentage of earning assets to total assets increased to 94.4% in 2023 compared to 94.1% in 2022. In terms of net interest margin, the Bank recognizes competition for deposits continues to increase with higher interest rates putting pressure on the margin which may lead to a further tightening in the short term.</w:t>
      </w:r>
    </w:p>
    <w:p>
      <w:pPr>
        <w:spacing w:after="0" w:line="157" w:lineRule="exact"/>
        <w:rPr>
          <w:sz w:val="20"/>
          <w:szCs w:val="20"/>
          <w:color w:val="auto"/>
        </w:rPr>
      </w:pPr>
    </w:p>
    <w:p>
      <w:pPr>
        <w:ind w:right="208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for nine month periods ended September 30, 2023 and 2022 </w:t>
      </w:r>
      <w:r>
        <w:rPr>
          <w:rFonts w:ascii="Arial" w:cs="Arial" w:eastAsia="Arial" w:hAnsi="Arial"/>
          <w:sz w:val="18"/>
          <w:szCs w:val="18"/>
          <w:b w:val="1"/>
          <w:bCs w:val="1"/>
          <w:color w:val="auto"/>
        </w:rPr>
        <w:t>Provision Expense</w:t>
      </w:r>
    </w:p>
    <w:p>
      <w:pPr>
        <w:jc w:val="both"/>
        <w:spacing w:after="0" w:line="272" w:lineRule="auto"/>
        <w:rPr>
          <w:sz w:val="20"/>
          <w:szCs w:val="20"/>
          <w:color w:val="auto"/>
        </w:rPr>
      </w:pPr>
      <w:r>
        <w:rPr>
          <w:rFonts w:ascii="Arial" w:cs="Arial" w:eastAsia="Arial" w:hAnsi="Arial"/>
          <w:sz w:val="17"/>
          <w:szCs w:val="17"/>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consumer loan portfolio accounted for the largest component of charge-offs and recoveries for nine months ended September 30, 2023 and 2022. The commercial real estate portfolio is currently creating a large impact on the ACL due to the loan growth.</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provision for credit losses was $2.4 million lower for the nine months ended September 30, 2023 as compared to the same period in 2022. Management continues to monitor asset quality, making adjustments to the provision as necessary. The impact of higher interest rates and inflation are taken into consideration when reviewing qualitative factors. Loan charge-offs were $4 thousand lower for the nine months ended September 30, 2023 than the same period in 2022. Recoveries were $73 thousand higher in the nine months ended September 30, 2023 as compared to 2022. Combined net charge-offs were $20 thousand higher for the nine months ended September 30, 2023 than for the same time period in 2022. This continues to highlight the strong credit quality of the loan portfolio.</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past due 30 days or more increased $3.9 million at September 30, 2023 as compared to September 30, 2022. The largest changes were attributed to the increase of past due balances in the agricultural portfolio and consumer real estate portfolio.</w:t>
      </w:r>
    </w:p>
    <w:p>
      <w:pPr>
        <w:spacing w:after="0" w:line="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5" w:name="page76"/>
    <w:bookmarkEnd w:id="75"/>
    <w:p>
      <w:pPr>
        <w:jc w:val="both"/>
        <w:ind w:left="760" w:right="60"/>
        <w:spacing w:after="0" w:line="263" w:lineRule="auto"/>
        <w:rPr>
          <w:sz w:val="20"/>
          <w:szCs w:val="20"/>
          <w:color w:val="auto"/>
        </w:rPr>
      </w:pPr>
      <w:r>
        <w:rPr>
          <w:rFonts w:ascii="Arial" w:cs="Arial" w:eastAsia="Arial" w:hAnsi="Arial"/>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nine months ended September 30, 2023,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w w:val="94"/>
              </w:rPr>
              <w:t>Nine Months Ended</w:t>
            </w:r>
          </w:p>
        </w:tc>
        <w:tc>
          <w:tcPr>
            <w:tcW w:w="160" w:type="dxa"/>
            <w:vAlign w:val="bottom"/>
          </w:tcPr>
          <w:p>
            <w:pPr>
              <w:spacing w:after="0"/>
              <w:rPr>
                <w:sz w:val="18"/>
                <w:szCs w:val="18"/>
                <w:color w:val="auto"/>
              </w:rPr>
            </w:pPr>
          </w:p>
        </w:tc>
        <w:tc>
          <w:tcPr>
            <w:tcW w:w="1960" w:type="dxa"/>
            <w:vAlign w:val="bottom"/>
            <w:gridSpan w:val="3"/>
          </w:tcPr>
          <w:p>
            <w:pPr>
              <w:jc w:val="right"/>
              <w:ind w:right="460"/>
              <w:spacing w:after="0"/>
              <w:rPr>
                <w:sz w:val="20"/>
                <w:szCs w:val="20"/>
                <w:color w:val="auto"/>
              </w:rPr>
            </w:pPr>
            <w:r>
              <w:rPr>
                <w:rFonts w:ascii="Arial" w:cs="Arial" w:eastAsia="Arial" w:hAnsi="Arial"/>
                <w:sz w:val="18"/>
                <w:szCs w:val="18"/>
                <w:color w:val="auto"/>
                <w:w w:val="93"/>
              </w:rPr>
              <w:t>Nine Months Ended</w:t>
            </w:r>
          </w:p>
        </w:tc>
        <w:tc>
          <w:tcPr>
            <w:tcW w:w="2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Nine Months Ended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460"/>
              <w:spacing w:after="0"/>
              <w:rPr>
                <w:sz w:val="20"/>
                <w:szCs w:val="20"/>
                <w:color w:val="auto"/>
              </w:rPr>
            </w:pPr>
            <w:r>
              <w:rPr>
                <w:rFonts w:ascii="Arial" w:cs="Arial" w:eastAsia="Arial" w:hAnsi="Arial"/>
                <w:sz w:val="18"/>
                <w:szCs w:val="18"/>
                <w:color w:val="auto"/>
                <w:w w:val="93"/>
              </w:rPr>
              <w:t>September 30, 2023</w:t>
            </w:r>
          </w:p>
        </w:tc>
        <w:tc>
          <w:tcPr>
            <w:tcW w:w="160" w:type="dxa"/>
            <w:vAlign w:val="bottom"/>
          </w:tcPr>
          <w:p>
            <w:pPr>
              <w:spacing w:after="0"/>
              <w:rPr>
                <w:sz w:val="20"/>
                <w:szCs w:val="20"/>
                <w:color w:val="auto"/>
              </w:rPr>
            </w:pPr>
          </w:p>
        </w:tc>
        <w:tc>
          <w:tcPr>
            <w:tcW w:w="196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September 30, 2022</w:t>
            </w:r>
          </w:p>
        </w:tc>
        <w:tc>
          <w:tcPr>
            <w:tcW w:w="200" w:type="dxa"/>
            <w:vAlign w:val="bottom"/>
          </w:tcPr>
          <w:p>
            <w:pPr>
              <w:spacing w:after="0"/>
              <w:rPr>
                <w:sz w:val="20"/>
                <w:szCs w:val="20"/>
                <w:color w:val="auto"/>
              </w:rPr>
            </w:pPr>
          </w:p>
        </w:tc>
        <w:tc>
          <w:tcPr>
            <w:tcW w:w="196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September 30, 2021</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2,529,606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2,142,616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1,495,562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Credit Losses - January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 for accounting change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Loans Charged off:</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Loan Recoveries: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Net Charge Offs (Recoveries):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Provision for credit loss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Loan Losses - September 30,</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15,698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Unfunded Loan Commitments</w:t>
            </w:r>
          </w:p>
        </w:tc>
        <w:tc>
          <w:tcPr>
            <w:tcW w:w="160" w:type="dxa"/>
            <w:vAlign w:val="bottom"/>
            <w:shd w:val="clear" w:color="auto" w:fill="CFF0FC"/>
          </w:tcPr>
          <w:p>
            <w:pPr>
              <w:spacing w:after="0"/>
              <w:rPr>
                <w:sz w:val="19"/>
                <w:szCs w:val="19"/>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&amp; Letters of Credit - September 30,</w:t>
            </w:r>
          </w:p>
        </w:tc>
        <w:tc>
          <w:tcPr>
            <w:tcW w:w="16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Allowance for Credit Losses - September 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Ratio of Net Charge-offs to Average Outstanding Loans</w:t>
            </w: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Ratio of Nonaccrual Loans to Loans</w:t>
            </w:r>
          </w:p>
        </w:tc>
        <w:tc>
          <w:tcPr>
            <w:tcW w:w="160" w:type="dxa"/>
            <w:vAlign w:val="bottom"/>
          </w:tcPr>
          <w:p>
            <w:pPr>
              <w:spacing w:after="0"/>
              <w:rPr>
                <w:sz w:val="19"/>
                <w:szCs w:val="19"/>
                <w:color w:val="auto"/>
              </w:rPr>
            </w:pP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0.89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0.26 </w:t>
            </w:r>
            <w:r>
              <w:rPr>
                <w:rFonts w:ascii="Arial" w:cs="Arial" w:eastAsia="Arial" w:hAnsi="Arial"/>
                <w:sz w:val="18"/>
                <w:szCs w:val="18"/>
                <w:color w:val="auto"/>
                <w:highlight w:val="white"/>
              </w:rPr>
              <w:t>%</w:t>
            </w:r>
          </w:p>
        </w:tc>
        <w:tc>
          <w:tcPr>
            <w:tcW w:w="20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 xml:space="preserve">0.42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Ratio of the Allowance for Loan Losses to Loans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w w:val="99"/>
              </w:rPr>
              <w:t>Ratio of the Allowance for Loan Losses to Nonaccrual Loans</w:t>
            </w:r>
          </w:p>
        </w:tc>
        <w:tc>
          <w:tcPr>
            <w:tcW w:w="160" w:type="dxa"/>
            <w:vAlign w:val="bottom"/>
          </w:tcPr>
          <w:p>
            <w:pPr>
              <w:spacing w:after="0"/>
              <w:rPr>
                <w:sz w:val="19"/>
                <w:szCs w:val="19"/>
                <w:color w:val="auto"/>
              </w:rPr>
            </w:pP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112.61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365.44 </w:t>
            </w:r>
            <w:r>
              <w:rPr>
                <w:rFonts w:ascii="Arial" w:cs="Arial" w:eastAsia="Arial" w:hAnsi="Arial"/>
                <w:sz w:val="18"/>
                <w:szCs w:val="18"/>
                <w:color w:val="auto"/>
                <w:highlight w:val="white"/>
              </w:rPr>
              <w:t>%</w:t>
            </w:r>
          </w:p>
        </w:tc>
        <w:tc>
          <w:tcPr>
            <w:tcW w:w="20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 xml:space="preserve">251.26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Ratio of the Allowance for Loan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112.61 %</w:t>
            </w:r>
          </w:p>
        </w:tc>
        <w:tc>
          <w:tcPr>
            <w:tcW w:w="160" w:type="dxa"/>
            <w:vAlign w:val="bottom"/>
          </w:tcPr>
          <w:p>
            <w:pPr>
              <w:spacing w:after="0"/>
              <w:rPr>
                <w:sz w:val="17"/>
                <w:szCs w:val="17"/>
                <w:color w:val="auto"/>
              </w:rPr>
            </w:pPr>
          </w:p>
        </w:tc>
        <w:tc>
          <w:tcPr>
            <w:tcW w:w="19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365.44 %</w:t>
            </w:r>
          </w:p>
        </w:tc>
        <w:tc>
          <w:tcPr>
            <w:tcW w:w="200" w:type="dxa"/>
            <w:vAlign w:val="bottom"/>
          </w:tcPr>
          <w:p>
            <w:pPr>
              <w:spacing w:after="0"/>
              <w:rPr>
                <w:sz w:val="17"/>
                <w:szCs w:val="17"/>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8"/>
                <w:szCs w:val="18"/>
                <w:color w:val="auto"/>
              </w:rPr>
              <w:t>251.26 %</w:t>
            </w:r>
          </w:p>
        </w:tc>
        <w:tc>
          <w:tcPr>
            <w:tcW w:w="0" w:type="dxa"/>
            <w:vAlign w:val="bottom"/>
          </w:tcPr>
          <w:p>
            <w:pPr>
              <w:spacing w:after="0"/>
              <w:rPr>
                <w:sz w:val="1"/>
                <w:szCs w:val="1"/>
                <w:color w:val="auto"/>
              </w:rPr>
            </w:pPr>
          </w:p>
        </w:tc>
      </w:tr>
      <w:tr>
        <w:trPr>
          <w:trHeight w:val="203"/>
        </w:trPr>
        <w:tc>
          <w:tcPr>
            <w:tcW w:w="4860" w:type="dxa"/>
            <w:vAlign w:val="bottom"/>
          </w:tcPr>
          <w:p>
            <w:pPr>
              <w:ind w:left="160"/>
              <w:spacing w:after="0" w:line="203" w:lineRule="exact"/>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-6565900</wp:posOffset>
            </wp:positionV>
            <wp:extent cx="2846070" cy="2057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84607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-6205855</wp:posOffset>
            </wp:positionV>
            <wp:extent cx="2846070" cy="2057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84607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-4293870</wp:posOffset>
            </wp:positionV>
            <wp:extent cx="76835" cy="16319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-4293870</wp:posOffset>
            </wp:positionV>
            <wp:extent cx="68580" cy="16319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6319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-3042285</wp:posOffset>
            </wp:positionV>
            <wp:extent cx="76835" cy="16256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-3042285</wp:posOffset>
            </wp:positionV>
            <wp:extent cx="68580" cy="1625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1625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3683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7970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5540" w:right="2380" w:hanging="4783"/>
        <w:spacing w:after="0" w:line="636"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18"/>
          <w:szCs w:val="18"/>
          <w:color w:val="auto"/>
        </w:rPr>
        <w:t>Loans classified as nonaccrual were higher as of September 30, 2023 at $22.4 million as compared to $5.5 million as of September 30, 2022. The agricultural portfolio and agricultural real estate portfolio saw the largest increases while the commercial real estate portfolio decreased as compared to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income was up $718 thousand for the nine months ended September 30, 2023 over the same time frame in 2022. Servicing rights income for 1-4 family and agricultural real estate loans increased $2.1 million. This was due to the establishment of agricultural real estate servicing rights of $1.5 million in the first quarter and a change in the accounting estimate of $712 thousand in the second quarter. Combined service fees increased by $2.3 million as compared to the nine months ended September 30, 2022. $2.1 million of this increase was due to the aforementioned servicing rights income. Debit card income increased by $230 thousand and bank owned life insurance cash surrender value increased $125 thousand. Also contributing was overdraft and returned check charges which increased $142 thousand compared to the nine months ended September 30, 2022. Fee income from credit cards decreased by $136 thousand as compared to the nine months ended September 30, 2022.</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seen a decrease in its mortgage production volume and the gain on the sale of these loans was $719 thousand lower for the nine months ended September 30, 2023 over the same period in 2022. Loan originations on loans held for sale for the nine months ended September 30, 2023 were $26.3 million with proceeds from sale at $26.6 million for 2023 compared to 2022’s activity of $61.3 million in originations and $68.0 million in sales. The Bank was able to improve the percentage of gain on sale per loan through an adjustment in processing during the third quarter 2023. Loan originations driven by refinance activity have drastically decreased with the higher interest rates in 2023. Inventory in many of our markets remain low. The mortgages sold were both 1-4 family and agricultural real estate loans originated for sale.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2023, noninterest expenses were $10.6 million higher than for the same period in 2022. Salaries, wages, and employee benefits (includes normal merit increases, restricted stock expense, incentive payout and all employee benefits) increased $4.9 million in total. This was comprised of increased salaries of $3.6 million and increased benefits of $1.3 million. The increase was due to the investment in people for our strategic growth initiative. Advertising and public relations expense increased $1.1 million. This was due, in part, to our new logo launch. Data processing expenses increased $323 thousand. Credit card expense increased $109 thousand related to the conversion of our credit card platform in the first quarter. The conversion expense also included a scorecard conversion expense of $108 thousand in the first quarter. This represented awards earned by customers that the Company paid to honor rather than allowing them to be lost in the conversion. FDIC assessment expense increased $733 thousand.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was $2.0 million lower for the nine months ended September 30, 2023 compared to the same period in 2022, due to lower earnings. Effective tax rates were 19.72% and 19.80% for nine months ended September 30, 2023 and 2022 respectively.</w:t>
      </w:r>
    </w:p>
    <w:p>
      <w:pPr>
        <w:spacing w:after="0" w:line="25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Net Income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Results overall, net income for the nine months ended September 30, 2023 was down $8.1 million as compared to the same period last year. As mentioned prior, the Company incurred a one-time expense in the first quarter of $541 thousand related to our credit card platform. A loss of $891 thousand arising from the sale of $21.6 million of investments was also recognized in the first quarter with the payback period being neutral in the third quarter and then becoming a benefit. The Company has done an exceptional job of growing loans while keeping past dues low. The increased cost of funding is impacting the bottom line as it is adjusting faster than our earning assets. The Company remains strong, stable, and well capitalized and has the capacity to continue to cover the increased costs of expansion.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25"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sensitivity testing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1240"/>
              <w:spacing w:after="0"/>
              <w:rPr>
                <w:sz w:val="20"/>
                <w:szCs w:val="20"/>
                <w:color w:val="auto"/>
              </w:rPr>
            </w:pPr>
            <w:r>
              <w:rPr>
                <w:rFonts w:ascii="Arial" w:cs="Arial" w:eastAsia="Arial" w:hAnsi="Arial"/>
                <w:sz w:val="18"/>
                <w:szCs w:val="18"/>
                <w:color w:val="auto"/>
                <w:w w:val="88"/>
              </w:rPr>
              <w:t>Interest Rate Shock</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Arial" w:cs="Arial" w:eastAsia="Arial" w:hAnsi="Arial"/>
                <w:sz w:val="18"/>
                <w:szCs w:val="18"/>
                <w:color w:val="auto"/>
              </w:rPr>
              <w:t>Interest Rate Shock</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spacing w:after="0" w:line="196" w:lineRule="exact"/>
              <w:rPr>
                <w:sz w:val="20"/>
                <w:szCs w:val="20"/>
                <w:color w:val="auto"/>
              </w:rPr>
            </w:pPr>
            <w:r>
              <w:rPr>
                <w:rFonts w:ascii="Arial" w:cs="Arial" w:eastAsia="Arial" w:hAnsi="Arial"/>
                <w:sz w:val="18"/>
                <w:szCs w:val="18"/>
                <w:color w:val="auto"/>
              </w:rPr>
              <w:t>on Net Interest Income</w:t>
            </w: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860" w:type="dxa"/>
            <w:vAlign w:val="bottom"/>
            <w:gridSpan w:val="3"/>
          </w:tcPr>
          <w:p>
            <w:pPr>
              <w:jc w:val="center"/>
              <w:spacing w:after="0"/>
              <w:rPr>
                <w:sz w:val="20"/>
                <w:szCs w:val="20"/>
                <w:color w:val="auto"/>
              </w:rPr>
            </w:pPr>
            <w:r>
              <w:rPr>
                <w:rFonts w:ascii="Arial" w:cs="Arial" w:eastAsia="Arial" w:hAnsi="Arial"/>
                <w:sz w:val="18"/>
                <w:szCs w:val="18"/>
                <w:color w:val="auto"/>
                <w:w w:val="90"/>
              </w:rPr>
              <w:t>Net Interest</w:t>
            </w:r>
          </w:p>
        </w:tc>
        <w:tc>
          <w:tcPr>
            <w:tcW w:w="2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8"/>
              </w:rPr>
              <w:t>% Change to</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40" w:type="dxa"/>
            <w:vAlign w:val="bottom"/>
          </w:tcPr>
          <w:p>
            <w:pPr>
              <w:spacing w:after="0"/>
              <w:rPr>
                <w:sz w:val="22"/>
                <w:szCs w:val="22"/>
                <w:color w:val="auto"/>
              </w:rPr>
            </w:pP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rPr>
              <w:t>Cumulative</w:t>
            </w:r>
          </w:p>
        </w:tc>
        <w:tc>
          <w:tcPr>
            <w:tcW w:w="3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8"/>
              </w:rPr>
              <w:t>% Change to</w:t>
            </w:r>
          </w:p>
        </w:tc>
      </w:tr>
      <w:tr>
        <w:trPr>
          <w:trHeight w:val="250"/>
        </w:trPr>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Margin (Ratio)</w:t>
            </w:r>
          </w:p>
        </w:tc>
        <w:tc>
          <w:tcPr>
            <w:tcW w:w="20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Flat Rate</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Direction</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Changes by</w:t>
            </w:r>
          </w:p>
        </w:tc>
        <w:tc>
          <w:tcPr>
            <w:tcW w:w="140" w:type="dxa"/>
            <w:vAlign w:val="bottom"/>
          </w:tcPr>
          <w:p>
            <w:pPr>
              <w:spacing w:after="0"/>
              <w:rPr>
                <w:sz w:val="21"/>
                <w:szCs w:val="21"/>
                <w:color w:val="auto"/>
              </w:rPr>
            </w:pPr>
          </w:p>
        </w:tc>
        <w:tc>
          <w:tcPr>
            <w:tcW w:w="17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Total ($000)</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0"/>
              </w:rPr>
              <w:t>Flat Rate</w:t>
            </w:r>
          </w:p>
        </w:tc>
      </w:tr>
      <w:tr>
        <w:trPr>
          <w:trHeight w:val="243"/>
        </w:trPr>
        <w:tc>
          <w:tcPr>
            <w:tcW w:w="126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3.08%</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5.38%</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3.00%</w:t>
            </w:r>
          </w:p>
        </w:tc>
        <w:tc>
          <w:tcPr>
            <w:tcW w:w="140" w:type="dxa"/>
            <w:vAlign w:val="bottom"/>
            <w:shd w:val="clear" w:color="auto" w:fill="CFF0FC"/>
          </w:tcPr>
          <w:p>
            <w:pPr>
              <w:spacing w:after="0"/>
              <w:rPr>
                <w:sz w:val="21"/>
                <w:szCs w:val="21"/>
                <w:color w:val="auto"/>
              </w:rPr>
            </w:pPr>
          </w:p>
        </w:tc>
        <w:tc>
          <w:tcPr>
            <w:tcW w:w="1780" w:type="dxa"/>
            <w:vAlign w:val="bottom"/>
            <w:gridSpan w:val="3"/>
            <w:shd w:val="clear" w:color="auto" w:fill="CFF0FC"/>
          </w:tcPr>
          <w:p>
            <w:pPr>
              <w:ind w:left="1260"/>
              <w:spacing w:after="0"/>
              <w:rPr>
                <w:sz w:val="20"/>
                <w:szCs w:val="20"/>
                <w:color w:val="auto"/>
              </w:rPr>
            </w:pPr>
            <w:r>
              <w:rPr>
                <w:rFonts w:ascii="Arial" w:cs="Arial" w:eastAsia="Arial" w:hAnsi="Arial"/>
                <w:sz w:val="18"/>
                <w:szCs w:val="18"/>
                <w:color w:val="auto"/>
                <w:w w:val="90"/>
              </w:rPr>
              <w:t>91,108</w:t>
            </w:r>
          </w:p>
        </w:tc>
        <w:tc>
          <w:tcPr>
            <w:tcW w:w="30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4.49%</w:t>
            </w:r>
          </w:p>
        </w:tc>
      </w:tr>
      <w:tr>
        <w:trPr>
          <w:trHeight w:val="237"/>
        </w:trPr>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3.08%</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5.49%</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Rising</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2.00%</w:t>
            </w:r>
          </w:p>
        </w:tc>
        <w:tc>
          <w:tcPr>
            <w:tcW w:w="1920" w:type="dxa"/>
            <w:vAlign w:val="bottom"/>
            <w:gridSpan w:val="4"/>
          </w:tcPr>
          <w:p>
            <w:pPr>
              <w:ind w:left="1400"/>
              <w:spacing w:after="0"/>
              <w:rPr>
                <w:sz w:val="20"/>
                <w:szCs w:val="20"/>
                <w:color w:val="auto"/>
              </w:rPr>
            </w:pPr>
            <w:r>
              <w:rPr>
                <w:rFonts w:ascii="Arial" w:cs="Arial" w:eastAsia="Arial" w:hAnsi="Arial"/>
                <w:sz w:val="18"/>
                <w:szCs w:val="18"/>
                <w:color w:val="auto"/>
                <w:w w:val="90"/>
              </w:rPr>
              <w:t>91,308</w:t>
            </w:r>
          </w:p>
        </w:tc>
        <w:tc>
          <w:tcPr>
            <w:tcW w:w="214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4.72%</w:t>
            </w:r>
          </w:p>
        </w:tc>
      </w:tr>
      <w:tr>
        <w:trPr>
          <w:trHeight w:val="249"/>
        </w:trPr>
        <w:tc>
          <w:tcPr>
            <w:tcW w:w="126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3.06%</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Arial" w:cs="Arial" w:eastAsia="Arial" w:hAnsi="Arial"/>
                <w:sz w:val="18"/>
                <w:szCs w:val="18"/>
                <w:color w:val="auto"/>
                <w:w w:val="90"/>
              </w:rPr>
              <w:t>4.67%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3"/>
              </w:rPr>
              <w:t>1.00%</w:t>
            </w:r>
          </w:p>
        </w:tc>
        <w:tc>
          <w:tcPr>
            <w:tcW w:w="1920" w:type="dxa"/>
            <w:vAlign w:val="bottom"/>
            <w:gridSpan w:val="4"/>
            <w:shd w:val="clear" w:color="auto" w:fill="CFF0FC"/>
          </w:tcPr>
          <w:p>
            <w:pPr>
              <w:ind w:left="1400"/>
              <w:spacing w:after="0"/>
              <w:rPr>
                <w:sz w:val="20"/>
                <w:szCs w:val="20"/>
                <w:color w:val="auto"/>
              </w:rPr>
            </w:pPr>
            <w:r>
              <w:rPr>
                <w:rFonts w:ascii="Arial" w:cs="Arial" w:eastAsia="Arial" w:hAnsi="Arial"/>
                <w:sz w:val="18"/>
                <w:szCs w:val="18"/>
                <w:color w:val="auto"/>
                <w:w w:val="90"/>
              </w:rPr>
              <w:t>90,787</w:t>
            </w:r>
          </w:p>
        </w:tc>
        <w:tc>
          <w:tcPr>
            <w:tcW w:w="2140" w:type="dxa"/>
            <w:vAlign w:val="bottom"/>
            <w:gridSpan w:val="4"/>
            <w:shd w:val="clear" w:color="auto" w:fill="CFF0FC"/>
          </w:tcPr>
          <w:p>
            <w:pPr>
              <w:jc w:val="center"/>
              <w:ind w:left="190"/>
              <w:spacing w:after="0"/>
              <w:rPr>
                <w:sz w:val="20"/>
                <w:szCs w:val="20"/>
                <w:color w:val="auto"/>
              </w:rPr>
            </w:pPr>
            <w:r>
              <w:rPr>
                <w:rFonts w:ascii="Arial" w:cs="Arial" w:eastAsia="Arial" w:hAnsi="Arial"/>
                <w:sz w:val="18"/>
                <w:szCs w:val="18"/>
                <w:color w:val="auto"/>
                <w:w w:val="90"/>
              </w:rPr>
              <w:t>4.12%</w:t>
            </w:r>
          </w:p>
        </w:tc>
      </w:tr>
      <w:tr>
        <w:trPr>
          <w:trHeight w:val="237"/>
        </w:trPr>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2.92%</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Flat</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0.00%</w:t>
            </w:r>
          </w:p>
        </w:tc>
        <w:tc>
          <w:tcPr>
            <w:tcW w:w="1920" w:type="dxa"/>
            <w:vAlign w:val="bottom"/>
            <w:gridSpan w:val="4"/>
          </w:tcPr>
          <w:p>
            <w:pPr>
              <w:ind w:left="1400"/>
              <w:spacing w:after="0"/>
              <w:rPr>
                <w:sz w:val="20"/>
                <w:szCs w:val="20"/>
                <w:color w:val="auto"/>
              </w:rPr>
            </w:pPr>
            <w:r>
              <w:rPr>
                <w:rFonts w:ascii="Arial" w:cs="Arial" w:eastAsia="Arial" w:hAnsi="Arial"/>
                <w:sz w:val="18"/>
                <w:szCs w:val="18"/>
                <w:color w:val="auto"/>
                <w:w w:val="90"/>
              </w:rPr>
              <w:t>87,196</w:t>
            </w:r>
          </w:p>
        </w:tc>
        <w:tc>
          <w:tcPr>
            <w:tcW w:w="214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0.00%</w:t>
            </w:r>
          </w:p>
        </w:tc>
      </w:tr>
      <w:tr>
        <w:trPr>
          <w:trHeight w:val="249"/>
        </w:trPr>
        <w:tc>
          <w:tcPr>
            <w:tcW w:w="126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2.67%</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Arial" w:cs="Arial" w:eastAsia="Arial" w:hAnsi="Arial"/>
                <w:sz w:val="18"/>
                <w:szCs w:val="18"/>
                <w:color w:val="auto"/>
                <w:w w:val="91"/>
              </w:rPr>
              <w:t>-8.54%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-1.00%</w:t>
            </w:r>
          </w:p>
        </w:tc>
        <w:tc>
          <w:tcPr>
            <w:tcW w:w="1920" w:type="dxa"/>
            <w:vAlign w:val="bottom"/>
            <w:gridSpan w:val="4"/>
            <w:shd w:val="clear" w:color="auto" w:fill="CFF0FC"/>
          </w:tcPr>
          <w:p>
            <w:pPr>
              <w:ind w:left="1400"/>
              <w:spacing w:after="0"/>
              <w:rPr>
                <w:sz w:val="20"/>
                <w:szCs w:val="20"/>
                <w:color w:val="auto"/>
              </w:rPr>
            </w:pPr>
            <w:r>
              <w:rPr>
                <w:rFonts w:ascii="Arial" w:cs="Arial" w:eastAsia="Arial" w:hAnsi="Arial"/>
                <w:sz w:val="18"/>
                <w:szCs w:val="18"/>
                <w:color w:val="auto"/>
                <w:w w:val="90"/>
              </w:rPr>
              <w:t>80,398</w:t>
            </w:r>
          </w:p>
        </w:tc>
        <w:tc>
          <w:tcPr>
            <w:tcW w:w="2140" w:type="dxa"/>
            <w:vAlign w:val="bottom"/>
            <w:gridSpan w:val="4"/>
            <w:shd w:val="clear" w:color="auto" w:fill="CFF0FC"/>
          </w:tcPr>
          <w:p>
            <w:pPr>
              <w:jc w:val="center"/>
              <w:ind w:left="210"/>
              <w:spacing w:after="0"/>
              <w:rPr>
                <w:sz w:val="20"/>
                <w:szCs w:val="20"/>
                <w:color w:val="auto"/>
              </w:rPr>
            </w:pPr>
            <w:r>
              <w:rPr>
                <w:rFonts w:ascii="Arial" w:cs="Arial" w:eastAsia="Arial" w:hAnsi="Arial"/>
                <w:sz w:val="18"/>
                <w:szCs w:val="18"/>
                <w:color w:val="auto"/>
                <w:w w:val="91"/>
              </w:rPr>
              <w:t>-7.80%</w:t>
            </w:r>
          </w:p>
        </w:tc>
      </w:tr>
      <w:tr>
        <w:trPr>
          <w:trHeight w:val="237"/>
        </w:trPr>
        <w:tc>
          <w:tcPr>
            <w:tcW w:w="12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2.46%</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-15.71%</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-2.00%</w:t>
            </w:r>
          </w:p>
        </w:tc>
        <w:tc>
          <w:tcPr>
            <w:tcW w:w="1920" w:type="dxa"/>
            <w:vAlign w:val="bottom"/>
            <w:gridSpan w:val="4"/>
          </w:tcPr>
          <w:p>
            <w:pPr>
              <w:ind w:left="1400"/>
              <w:spacing w:after="0"/>
              <w:rPr>
                <w:sz w:val="20"/>
                <w:szCs w:val="20"/>
                <w:color w:val="auto"/>
              </w:rPr>
            </w:pPr>
            <w:r>
              <w:rPr>
                <w:rFonts w:ascii="Arial" w:cs="Arial" w:eastAsia="Arial" w:hAnsi="Arial"/>
                <w:sz w:val="18"/>
                <w:szCs w:val="18"/>
                <w:color w:val="auto"/>
                <w:w w:val="90"/>
              </w:rPr>
              <w:t>74,763</w:t>
            </w:r>
          </w:p>
        </w:tc>
        <w:tc>
          <w:tcPr>
            <w:tcW w:w="2140" w:type="dxa"/>
            <w:vAlign w:val="bottom"/>
            <w:gridSpan w:val="4"/>
          </w:tcPr>
          <w:p>
            <w:pPr>
              <w:jc w:val="center"/>
              <w:ind w:left="190"/>
              <w:spacing w:after="0"/>
              <w:rPr>
                <w:sz w:val="20"/>
                <w:szCs w:val="20"/>
                <w:color w:val="auto"/>
              </w:rPr>
            </w:pPr>
            <w:r>
              <w:rPr>
                <w:rFonts w:ascii="Arial" w:cs="Arial" w:eastAsia="Arial" w:hAnsi="Arial"/>
                <w:sz w:val="18"/>
                <w:szCs w:val="18"/>
                <w:color w:val="auto"/>
                <w:w w:val="92"/>
              </w:rPr>
              <w:t>-14.26%</w:t>
            </w:r>
          </w:p>
        </w:tc>
      </w:tr>
      <w:tr>
        <w:trPr>
          <w:trHeight w:val="249"/>
        </w:trPr>
        <w:tc>
          <w:tcPr>
            <w:tcW w:w="126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2.27%</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Arial" w:cs="Arial" w:eastAsia="Arial" w:hAnsi="Arial"/>
                <w:sz w:val="18"/>
                <w:szCs w:val="18"/>
                <w:color w:val="auto"/>
                <w:w w:val="92"/>
              </w:rPr>
              <w:t>-22.17%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-3.00%</w:t>
            </w:r>
          </w:p>
        </w:tc>
        <w:tc>
          <w:tcPr>
            <w:tcW w:w="1920" w:type="dxa"/>
            <w:vAlign w:val="bottom"/>
            <w:gridSpan w:val="4"/>
            <w:shd w:val="clear" w:color="auto" w:fill="CFF0FC"/>
          </w:tcPr>
          <w:p>
            <w:pPr>
              <w:ind w:left="1400"/>
              <w:spacing w:after="0"/>
              <w:rPr>
                <w:sz w:val="20"/>
                <w:szCs w:val="20"/>
                <w:color w:val="auto"/>
              </w:rPr>
            </w:pPr>
            <w:r>
              <w:rPr>
                <w:rFonts w:ascii="Arial" w:cs="Arial" w:eastAsia="Arial" w:hAnsi="Arial"/>
                <w:sz w:val="18"/>
                <w:szCs w:val="18"/>
                <w:color w:val="auto"/>
                <w:w w:val="90"/>
              </w:rPr>
              <w:t>69,690</w:t>
            </w:r>
          </w:p>
        </w:tc>
        <w:tc>
          <w:tcPr>
            <w:tcW w:w="2140" w:type="dxa"/>
            <w:vAlign w:val="bottom"/>
            <w:gridSpan w:val="4"/>
            <w:shd w:val="clear" w:color="auto" w:fill="CFF0FC"/>
          </w:tcPr>
          <w:p>
            <w:pPr>
              <w:jc w:val="center"/>
              <w:ind w:left="190"/>
              <w:spacing w:after="0"/>
              <w:rPr>
                <w:sz w:val="20"/>
                <w:szCs w:val="20"/>
                <w:color w:val="auto"/>
              </w:rPr>
            </w:pPr>
            <w:r>
              <w:rPr>
                <w:rFonts w:ascii="Arial" w:cs="Arial" w:eastAsia="Arial" w:hAnsi="Arial"/>
                <w:sz w:val="18"/>
                <w:szCs w:val="18"/>
                <w:color w:val="auto"/>
                <w:w w:val="92"/>
              </w:rPr>
              <w:t>-20.08%</w:t>
            </w: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4.00% fluctuation and over a 24 month time frame. It also shows the effect rate changes will have on both the margin and net interest income. The goal of the Company is to gather more core deposits, such as checking and savings accounts. Checking accounts are preferable for the lower cost of funds and the opportunity to garner noninterest revenue from additional services provided. Savings and money market accounts are beneficial due to the variability of the interest in both rate and immediate option to reprice. Certificate of deposit pricing is more favorable in shorter terms with the future rate movement unknown at this time.</w:t>
      </w:r>
    </w:p>
    <w:p>
      <w:pPr>
        <w:spacing w:after="0" w:line="152" w:lineRule="exact"/>
        <w:rPr>
          <w:sz w:val="20"/>
          <w:szCs w:val="20"/>
          <w:color w:val="auto"/>
        </w:rPr>
      </w:pPr>
    </w:p>
    <w:p>
      <w:pPr>
        <w:jc w:val="both"/>
        <w:ind w:left="760"/>
        <w:spacing w:after="0" w:line="268" w:lineRule="auto"/>
        <w:rPr>
          <w:sz w:val="20"/>
          <w:szCs w:val="20"/>
          <w:color w:val="auto"/>
        </w:rPr>
      </w:pPr>
      <w:r>
        <w:rPr>
          <w:rFonts w:ascii="Arial" w:cs="Arial" w:eastAsia="Arial" w:hAnsi="Arial"/>
          <w:sz w:val="17"/>
          <w:szCs w:val="17"/>
          <w:color w:val="auto"/>
        </w:rPr>
        <w:t>The shock chart currently shows a slight widening in net interest margin over the next twelve months in a rising rate environment up to a 2.00% increase and a tightening as it moves from 2.00% towards the 3.00% increase as well as in the falling rate environments. The 1.00% and 2.00% rising rate scenarios are predicted to expand the net interest margin and produce a higher level of net interest income. Increased funding costs have caused a decrease in the flat rate scenario net interest margin to 2.92% at September 30, 2023 as compared to 3.36% at June 30, 2023. Cost of funds are at 2.35% for the year so the falling shock of 200 basis points is where the Bank can take partial advantage and reprice some funds to match the level of shock. However, there are certificates of deposit and FHLB term advances whose ability to reprice are outside of the twelve month term. Once the shocks are falling over 200 basis points, there are limited funds to reprice lower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limit the increase on cost of funds where possible.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212529"/>
        </w:rPr>
        <w:t xml:space="preserve">Except as indicated below, 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2022.</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Liquidity Risk</w:t>
      </w:r>
    </w:p>
    <w:p>
      <w:pPr>
        <w:spacing w:after="0" w:line="202"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Rate Risk with Respect to the Value of Our Securities Portfolio</w:t>
      </w:r>
    </w:p>
    <w:p>
      <w:pPr>
        <w:spacing w:after="0" w:line="18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held-to-maturity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and mortgage-backed securities, and other qualifying assets as collateral at par, to mitigate the risk of potential losses on the sale of such instruments, there is no guarantee that such programs will be effective in addressing liquidity needs as they arise.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Uninsured Deposit Risk</w:t>
      </w:r>
    </w:p>
    <w:p>
      <w:pPr>
        <w:spacing w:after="0" w:line="189"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Uninsured deposits based on FDIC coverage as a percentage of total deposits was 18.84% as of September 30, 2023, and as of the same date, total uninsured deposits (includes public deposits with protection over FDIC) was 9.11%.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Obtaining</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adequate funding to meet our deposit obligations may be more challenging during periods of elevated prevailing interest rates, such as the present, and our ability to attract depositors during a time of actual or perceived distress or instability in the marketplace may be limited. Further, interest rates paid for non-deposit borrowings generally exceed the interest rates paid on deposits, and this spread may be exacerbated by higher prevailing interest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 Impacting the Financial Services Industry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Recent events impacting the financial services industry, including the failures of Silicon Valley Bank and Signature Bank, have resulted in decreased confidence in banks among consumer and commercial depositors, other counterparties and investors, as well as significant disruption, volatility and reduced valuations of equity and other securities of banks in the capital markets. These events occurred during a period of rapidly rising interest rates which, among other things, has resulted in unrealized losses in longer duration securities and loans held by banks, more competition for bank deposits and may increase the risk of a potential recession. These recent events have, and could continue to, adversely impact the market price and volatility of the Company's common stock.</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recent events may also result in potentially adverse changes to laws or regulations governing banks and bank holding companies or result in the impositions of restrictions through supervisory or enforcement activities, including higher capital requirements, which could have a material impact on our business. Inability to access short-term funding or the loss of client deposits could increase our cost of funding, limit access to capital markets or negatively impact our overall liquidity or capitalization. Moreover, we may be impacted by concerns regarding the soundness or creditworthiness of other financial institutions, which can cause substantial and cascading disruption within the financial markets and increased expenses. In addition, the cost of resolving the recent bank failures may prompt the FDIC to increase its premiums above the recently increased levels or to issue additional special assessments.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Risk</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an increasing concern over the risks of climate change and related environmental sustainability matters. The physical risks of climate change include discrete events, such as flooding and wildfires, and longer-term shifts in climate patterns, such as extreme heat, sea level rise, and more frequent and prolonged drought. Under medium or longer-term scenarios, such events, if uninterrupted or unaddressed, could disrupt our operations or those of our customers or third parties on which we rely, including through direct damage to assets and indirect impacts from supply chain disruption and market volatility. While the timing and severity of climate change may not be entirely predictable and our risk management processes may not be effective in mitigating climate risk exposure, we continue to build capabilities to identify, assess, and manage climate risks.</w:t>
      </w:r>
    </w:p>
    <w:p>
      <w:pPr>
        <w:spacing w:after="0" w:line="30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Quantitative Modeling Risk</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29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7160" w:type="dxa"/>
            <w:vAlign w:val="bottom"/>
            <w:gridSpan w:val="5"/>
          </w:tcPr>
          <w:p>
            <w:pPr>
              <w:jc w:val="right"/>
              <w:ind w:right="370"/>
              <w:spacing w:after="0"/>
              <w:rPr>
                <w:sz w:val="20"/>
                <w:szCs w:val="20"/>
                <w:color w:val="auto"/>
              </w:rPr>
            </w:pPr>
            <w:r>
              <w:rPr>
                <w:rFonts w:ascii="Arial" w:cs="Arial" w:eastAsia="Arial" w:hAnsi="Arial"/>
                <w:sz w:val="18"/>
                <w:szCs w:val="18"/>
                <w:color w:val="auto"/>
                <w:w w:val="94"/>
              </w:rPr>
              <w:t>ITEM 2 UNREGISTERED SALES OF EQUITY SECURITIES AND USE OF PROCEEDS</w:t>
            </w: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5000" w:type="dxa"/>
            <w:vAlign w:val="bottom"/>
            <w:gridSpan w:val="3"/>
          </w:tcPr>
          <w:p>
            <w:pPr>
              <w:jc w:val="right"/>
              <w:spacing w:after="0"/>
              <w:rPr>
                <w:sz w:val="20"/>
                <w:szCs w:val="20"/>
                <w:color w:val="auto"/>
              </w:rPr>
            </w:pPr>
            <w:r>
              <w:rPr>
                <w:rFonts w:ascii="Arial" w:cs="Arial" w:eastAsia="Arial" w:hAnsi="Arial"/>
                <w:sz w:val="18"/>
                <w:szCs w:val="18"/>
                <w:color w:val="auto"/>
                <w:w w:val="91"/>
              </w:rPr>
              <w:t>Treasury stock repurchased the quarter ended September 30, 2023.</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of Shares Purchased</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purchased under the</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40" w:type="dxa"/>
            <w:vAlign w:val="bottom"/>
          </w:tcPr>
          <w:p>
            <w:pPr>
              <w:jc w:val="right"/>
              <w:spacing w:after="0" w:line="181" w:lineRule="exact"/>
              <w:rPr>
                <w:sz w:val="20"/>
                <w:szCs w:val="20"/>
                <w:color w:val="auto"/>
              </w:rPr>
            </w:pPr>
            <w:r>
              <w:rPr>
                <w:rFonts w:ascii="Arial" w:cs="Arial" w:eastAsia="Arial" w:hAnsi="Arial"/>
                <w:sz w:val="18"/>
                <w:szCs w:val="18"/>
                <w:color w:val="auto"/>
              </w:rPr>
              <w:t>(a) Total Number of</w:t>
            </w:r>
          </w:p>
        </w:tc>
        <w:tc>
          <w:tcPr>
            <w:tcW w:w="340" w:type="dxa"/>
            <w:vAlign w:val="bottom"/>
          </w:tcPr>
          <w:p>
            <w:pPr>
              <w:spacing w:after="0"/>
              <w:rPr>
                <w:sz w:val="15"/>
                <w:szCs w:val="15"/>
                <w:color w:val="auto"/>
              </w:rPr>
            </w:pPr>
          </w:p>
        </w:tc>
        <w:tc>
          <w:tcPr>
            <w:tcW w:w="1580" w:type="dxa"/>
            <w:vAlign w:val="bottom"/>
          </w:tcPr>
          <w:p>
            <w:pPr>
              <w:jc w:val="right"/>
              <w:ind w:right="190"/>
              <w:spacing w:after="0" w:line="181" w:lineRule="exact"/>
              <w:rPr>
                <w:sz w:val="20"/>
                <w:szCs w:val="20"/>
                <w:color w:val="auto"/>
              </w:rPr>
            </w:pPr>
            <w:r>
              <w:rPr>
                <w:rFonts w:ascii="Arial" w:cs="Arial" w:eastAsia="Arial" w:hAnsi="Arial"/>
                <w:sz w:val="18"/>
                <w:szCs w:val="18"/>
                <w:color w:val="auto"/>
                <w:w w:val="91"/>
              </w:rPr>
              <w:t>(b) Average Price</w:t>
            </w:r>
          </w:p>
        </w:tc>
        <w:tc>
          <w:tcPr>
            <w:tcW w:w="1780" w:type="dxa"/>
            <w:vAlign w:val="bottom"/>
          </w:tcPr>
          <w:p>
            <w:pPr>
              <w:jc w:val="center"/>
              <w:spacing w:after="0" w:line="181" w:lineRule="exact"/>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line="181" w:lineRule="exact"/>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79"/>
        </w:trPr>
        <w:tc>
          <w:tcPr>
            <w:tcW w:w="580" w:type="dxa"/>
            <w:vAlign w:val="bottom"/>
          </w:tcPr>
          <w:p>
            <w:pPr>
              <w:spacing w:after="0"/>
              <w:rPr>
                <w:sz w:val="24"/>
                <w:szCs w:val="24"/>
                <w:color w:val="auto"/>
              </w:rPr>
            </w:pPr>
          </w:p>
        </w:tc>
        <w:tc>
          <w:tcPr>
            <w:tcW w:w="2420" w:type="dxa"/>
            <w:vAlign w:val="bottom"/>
          </w:tcPr>
          <w:p>
            <w:pPr>
              <w:ind w:left="1260"/>
              <w:spacing w:after="0"/>
              <w:rPr>
                <w:sz w:val="20"/>
                <w:szCs w:val="20"/>
                <w:color w:val="auto"/>
              </w:rPr>
            </w:pPr>
            <w:r>
              <w:rPr>
                <w:rFonts w:ascii="Arial" w:cs="Arial" w:eastAsia="Arial" w:hAnsi="Arial"/>
                <w:sz w:val="18"/>
                <w:szCs w:val="18"/>
                <w:color w:val="auto"/>
              </w:rPr>
              <w:t>Period</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Shares Purchased</w:t>
            </w:r>
          </w:p>
        </w:tc>
        <w:tc>
          <w:tcPr>
            <w:tcW w:w="340" w:type="dxa"/>
            <w:vAlign w:val="bottom"/>
            <w:vMerge w:val="restart"/>
          </w:tcPr>
          <w:p>
            <w:pPr>
              <w:jc w:val="right"/>
              <w:ind w:right="80"/>
              <w:spacing w:after="0"/>
              <w:rPr>
                <w:sz w:val="20"/>
                <w:szCs w:val="20"/>
                <w:color w:val="auto"/>
              </w:rPr>
            </w:pPr>
            <w:r>
              <w:rPr>
                <w:rFonts w:ascii="Arial" w:cs="Arial" w:eastAsia="Arial" w:hAnsi="Arial"/>
                <w:sz w:val="12"/>
                <w:szCs w:val="12"/>
                <w:color w:val="auto"/>
              </w:rPr>
              <w:t>(2</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98"/>
              </w:rPr>
              <w:t>Paid per Share</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 xml:space="preserve">or Programs </w:t>
            </w:r>
            <w:r>
              <w:rPr>
                <w:rFonts w:ascii="Arial" w:cs="Arial" w:eastAsia="Arial" w:hAnsi="Arial"/>
                <w:sz w:val="24"/>
                <w:szCs w:val="24"/>
                <w:color w:val="auto"/>
                <w:w w:val="87"/>
                <w:vertAlign w:val="superscript"/>
              </w:rPr>
              <w:t>(1)</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58"/>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7/1/2023 to 7/31/2023</w:t>
            </w:r>
          </w:p>
        </w:tc>
        <w:tc>
          <w:tcPr>
            <w:tcW w:w="224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22.41</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301"/>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(2</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8/1/2023 to 8/31/2023</w:t>
            </w:r>
          </w:p>
        </w:tc>
        <w:tc>
          <w:tcPr>
            <w:tcW w:w="2240" w:type="dxa"/>
            <w:vAlign w:val="bottom"/>
          </w:tcPr>
          <w:p>
            <w:pPr>
              <w:jc w:val="right"/>
              <w:spacing w:after="0"/>
              <w:rPr>
                <w:sz w:val="20"/>
                <w:szCs w:val="20"/>
                <w:color w:val="auto"/>
              </w:rPr>
            </w:pPr>
            <w:r>
              <w:rPr>
                <w:rFonts w:ascii="Arial" w:cs="Arial" w:eastAsia="Arial" w:hAnsi="Arial"/>
                <w:sz w:val="18"/>
                <w:szCs w:val="18"/>
                <w:color w:val="auto"/>
              </w:rPr>
              <w:t>8,952</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780" w:type="dxa"/>
            <w:vAlign w:val="bottom"/>
          </w:tcPr>
          <w:p>
            <w:pPr>
              <w:ind w:left="14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301"/>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(2</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80" w:type="dxa"/>
            <w:vAlign w:val="bottom"/>
          </w:tcPr>
          <w:p>
            <w:pPr>
              <w:spacing w:after="0"/>
              <w:rPr>
                <w:sz w:val="21"/>
                <w:szCs w:val="21"/>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9/1/2023 to 9/30/2023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17.93</w:t>
            </w:r>
          </w:p>
        </w:tc>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-1054100</wp:posOffset>
            </wp:positionV>
            <wp:extent cx="6412230" cy="1974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412230" cy="1974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-702310</wp:posOffset>
            </wp:positionV>
            <wp:extent cx="6412230" cy="18859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-359410</wp:posOffset>
            </wp:positionV>
            <wp:extent cx="6412230" cy="1974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412230" cy="197485"/>
                    </a:xfrm>
                    <a:prstGeom prst="rect">
                      <a:avLst/>
                    </a:prstGeom>
                    <a:noFill/>
                  </pic:spPr>
                </pic:pic>
              </a:graphicData>
            </a:graphic>
          </wp:anchor>
        </w:drawing>
      </w:r>
    </w:p>
    <w:p>
      <w:pPr>
        <w:spacing w:after="0" w:line="182" w:lineRule="exact"/>
        <w:rPr>
          <w:sz w:val="20"/>
          <w:szCs w:val="20"/>
          <w:color w:val="auto"/>
        </w:rPr>
      </w:pPr>
    </w:p>
    <w:p>
      <w:pPr>
        <w:jc w:val="both"/>
        <w:ind w:left="1140" w:hanging="383"/>
        <w:spacing w:after="0" w:line="25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24, 2023. On that date, the Board of Directors authorized the repurchase of 650,000 common shares between January 24, 2023 and December 31, 2023.</w:t>
      </w:r>
    </w:p>
    <w:p>
      <w:pPr>
        <w:spacing w:after="0" w:line="2"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which are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ITEM 6 EXHIBITS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040" w:type="dxa"/>
            <w:vAlign w:val="bottom"/>
            <w:gridSpan w:val="6"/>
          </w:tcPr>
          <w:p>
            <w:pPr>
              <w:spacing w:after="0"/>
              <w:rPr>
                <w:rFonts w:ascii="Arial" w:cs="Arial" w:eastAsia="Arial" w:hAnsi="Arial"/>
                <w:sz w:val="18"/>
                <w:szCs w:val="18"/>
                <w:color w:val="0000FF"/>
                <w:w w:val="91"/>
              </w:rPr>
            </w:pPr>
            <w:hyperlink r:id="rId801">
              <w:r>
                <w:rPr>
                  <w:rFonts w:ascii="Arial" w:cs="Arial" w:eastAsia="Arial" w:hAnsi="Arial"/>
                  <w:sz w:val="18"/>
                  <w:szCs w:val="18"/>
                  <w:color w:val="0000FF"/>
                  <w:w w:val="91"/>
                </w:rPr>
                <w:t>Amended Articles of Incorporation of the Registrant (incorporated by reference to Exhibit 3.1 to Registrant’s Quarterly Report on Form 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94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r:id="rId801">
              <w:r>
                <w:rPr>
                  <w:rFonts w:ascii="Arial" w:cs="Arial" w:eastAsia="Arial" w:hAnsi="Arial"/>
                  <w:sz w:val="18"/>
                  <w:szCs w:val="18"/>
                  <w:color w:val="0000FF"/>
                </w:rPr>
                <w:t>Q filed with the Commission on October 25,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040" w:type="dxa"/>
            <w:vAlign w:val="bottom"/>
            <w:gridSpan w:val="6"/>
          </w:tcPr>
          <w:p>
            <w:pPr>
              <w:spacing w:after="0"/>
              <w:rPr>
                <w:rFonts w:ascii="Arial" w:cs="Arial" w:eastAsia="Arial" w:hAnsi="Arial"/>
                <w:sz w:val="18"/>
                <w:szCs w:val="18"/>
                <w:color w:val="0000FF"/>
                <w:w w:val="90"/>
              </w:rPr>
            </w:pPr>
            <w:hyperlink r:id="rId802">
              <w:r>
                <w:rPr>
                  <w:rFonts w:ascii="Arial" w:cs="Arial" w:eastAsia="Arial" w:hAnsi="Arial"/>
                  <w:sz w:val="18"/>
                  <w:szCs w:val="18"/>
                  <w:color w:val="0000FF"/>
                  <w:w w:val="90"/>
                </w:rPr>
                <w:t>Amended and Restated Code of Regulations of the Registrant (incorporated by reference to Exhibit 3.2 to Registrant's Quarterly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94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r:id="rId802">
              <w:r>
                <w:rPr>
                  <w:rFonts w:ascii="Arial" w:cs="Arial" w:eastAsia="Arial" w:hAnsi="Arial"/>
                  <w:sz w:val="18"/>
                  <w:szCs w:val="18"/>
                  <w:color w:val="0000FF"/>
                </w:rPr>
                <w:t>Form 10-Q filed with the Commission on July 26,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040" w:type="dxa"/>
            <w:vAlign w:val="bottom"/>
            <w:gridSpan w:val="6"/>
          </w:tcPr>
          <w:p>
            <w:pPr>
              <w:spacing w:after="0"/>
              <w:rPr>
                <w:rFonts w:ascii="Arial" w:cs="Arial" w:eastAsia="Arial" w:hAnsi="Arial"/>
                <w:sz w:val="18"/>
                <w:szCs w:val="18"/>
                <w:color w:val="0000FF"/>
                <w:w w:val="94"/>
              </w:rPr>
            </w:pPr>
            <w:hyperlink r:id="rId803">
              <w:r>
                <w:rPr>
                  <w:rFonts w:ascii="Arial" w:cs="Arial" w:eastAsia="Arial" w:hAnsi="Arial"/>
                  <w:sz w:val="18"/>
                  <w:szCs w:val="18"/>
                  <w:color w:val="0000FF"/>
                  <w:w w:val="94"/>
                </w:rPr>
                <w:t>Description of Registrant’s Common Stock (incorporated by reference to Exhibit 4.1 to Registrant's Annual Report on Form 10-K filed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r:id="rId803">
              <w:r>
                <w:rPr>
                  <w:rFonts w:ascii="Arial" w:cs="Arial" w:eastAsia="Arial" w:hAnsi="Arial"/>
                  <w:sz w:val="18"/>
                  <w:szCs w:val="18"/>
                  <w:color w:val="0000FF"/>
                </w:rPr>
                <w:t>with the Commission on February 26,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6"/>
          </w:tcPr>
          <w:p>
            <w:pPr>
              <w:spacing w:after="0"/>
              <w:rPr>
                <w:sz w:val="20"/>
                <w:szCs w:val="20"/>
                <w:color w:val="auto"/>
              </w:rPr>
            </w:pPr>
            <w:r>
              <w:rPr>
                <w:rFonts w:ascii="Arial" w:cs="Arial" w:eastAsia="Arial" w:hAnsi="Arial"/>
                <w:sz w:val="18"/>
                <w:szCs w:val="18"/>
                <w:color w:val="0000FF"/>
              </w:rPr>
              <w:t>Rule 13-a-14(a)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tcBorders>
              <w:left w:val="single" w:sz="8" w:color="0000FF"/>
            </w:tcBorders>
            <w:gridSpan w:val="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6"/>
          </w:tcPr>
          <w:p>
            <w:pPr>
              <w:spacing w:after="0"/>
              <w:rPr>
                <w:sz w:val="20"/>
                <w:szCs w:val="20"/>
                <w:color w:val="auto"/>
              </w:rPr>
            </w:pPr>
            <w:r>
              <w:rPr>
                <w:rFonts w:ascii="Arial" w:cs="Arial" w:eastAsia="Arial" w:hAnsi="Arial"/>
                <w:sz w:val="18"/>
                <w:szCs w:val="18"/>
                <w:color w:val="0000FF"/>
              </w:rPr>
              <w:t>Rule 13-a-14(a)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6"/>
          </w:tcPr>
          <w:p>
            <w:pPr>
              <w:spacing w:after="0"/>
              <w:rPr>
                <w:sz w:val="20"/>
                <w:szCs w:val="20"/>
                <w:color w:val="auto"/>
              </w:rPr>
            </w:pPr>
            <w:r>
              <w:rPr>
                <w:rFonts w:ascii="Arial" w:cs="Arial" w:eastAsia="Arial" w:hAnsi="Arial"/>
                <w:sz w:val="18"/>
                <w:szCs w:val="18"/>
                <w:color w:val="0000FF"/>
              </w:rPr>
              <w:t>Section 1350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tcBorders>
              <w:left w:val="single" w:sz="8" w:color="0000FF"/>
            </w:tcBorders>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6"/>
          </w:tcPr>
          <w:p>
            <w:pPr>
              <w:spacing w:after="0"/>
              <w:rPr>
                <w:sz w:val="20"/>
                <w:szCs w:val="20"/>
                <w:color w:val="auto"/>
              </w:rPr>
            </w:pPr>
            <w:r>
              <w:rPr>
                <w:rFonts w:ascii="Arial" w:cs="Arial" w:eastAsia="Arial" w:hAnsi="Arial"/>
                <w:sz w:val="18"/>
                <w:szCs w:val="18"/>
                <w:color w:val="0000FF"/>
              </w:rPr>
              <w:t>Section 1350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r>
      <w:tr>
        <w:trPr>
          <w:trHeight w:val="470"/>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6"/>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43"/>
        </w:trPr>
        <w:tc>
          <w:tcPr>
            <w:tcW w:w="1160" w:type="dxa"/>
            <w:vAlign w:val="bottom"/>
          </w:tcPr>
          <w:p>
            <w:pPr>
              <w:spacing w:after="0"/>
              <w:rPr>
                <w:sz w:val="21"/>
                <w:szCs w:val="21"/>
                <w:color w:val="auto"/>
              </w:rPr>
            </w:pPr>
          </w:p>
        </w:tc>
        <w:tc>
          <w:tcPr>
            <w:tcW w:w="1004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embedded within the Inline XBRL document. </w:t>
            </w:r>
            <w:r>
              <w:rPr>
                <w:rFonts w:ascii="Arial" w:cs="Arial" w:eastAsia="Arial" w:hAnsi="Arial"/>
                <w:sz w:val="24"/>
                <w:szCs w:val="24"/>
                <w:color w:val="auto"/>
                <w:vertAlign w:val="superscript"/>
              </w:rPr>
              <w:t>(1)</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4"/>
                <w:szCs w:val="24"/>
                <w:color w:val="auto"/>
                <w:vertAlign w:val="superscript"/>
              </w:rPr>
              <w:t>(1)</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4"/>
                <w:szCs w:val="24"/>
                <w:color w:val="auto"/>
                <w:vertAlign w:val="superscript"/>
              </w:rPr>
              <w:t>(1)</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4"/>
                <w:szCs w:val="24"/>
                <w:color w:val="auto"/>
                <w:vertAlign w:val="superscript"/>
              </w:rPr>
              <w:t>(1)</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4"/>
                <w:szCs w:val="24"/>
                <w:color w:val="auto"/>
                <w:vertAlign w:val="superscript"/>
              </w:rPr>
              <w:t>(1)</w:t>
            </w:r>
          </w:p>
        </w:tc>
      </w:tr>
      <w:tr>
        <w:trPr>
          <w:trHeight w:val="28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6"/>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4"/>
                <w:szCs w:val="24"/>
                <w:color w:val="auto"/>
                <w:vertAlign w:val="superscript"/>
              </w:rPr>
              <w:t>(1)</w:t>
            </w:r>
          </w:p>
        </w:tc>
      </w:tr>
    </w:tbl>
    <w:p>
      <w:pPr>
        <w:ind w:left="1160" w:right="20" w:hanging="1139"/>
        <w:spacing w:after="0" w:line="258"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2023, has been formatted in Inline XBRL.</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firstLine="8"/>
        <w:spacing w:after="0" w:line="269" w:lineRule="auto"/>
        <w:tabs>
          <w:tab w:leader="none" w:pos="184"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Farmers &amp; Merchants Bancorp, Inc.,</w:t>
            </w:r>
          </w:p>
        </w:tc>
      </w:tr>
      <w:tr>
        <w:trPr>
          <w:trHeight w:val="49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220"/>
              <w:spacing w:after="0"/>
              <w:rPr>
                <w:sz w:val="20"/>
                <w:szCs w:val="20"/>
                <w:color w:val="auto"/>
              </w:rPr>
            </w:pPr>
            <w:r>
              <w:rPr>
                <w:rFonts w:ascii="Arial" w:cs="Arial" w:eastAsia="Arial" w:hAnsi="Arial"/>
                <w:sz w:val="18"/>
                <w:szCs w:val="18"/>
                <w:color w:val="auto"/>
              </w:rPr>
              <w:t>November 1, 2023</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Lars B. Eller</w:t>
            </w:r>
          </w:p>
        </w:tc>
      </w:tr>
      <w:tr>
        <w:trPr>
          <w:trHeight w:val="230"/>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Lars B. Eller</w:t>
            </w:r>
          </w:p>
        </w:tc>
      </w:tr>
      <w:tr>
        <w:trPr>
          <w:trHeight w:val="242"/>
        </w:trPr>
        <w:tc>
          <w:tcPr>
            <w:tcW w:w="6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Pr>
          <w:p>
            <w:pPr>
              <w:ind w:left="780"/>
              <w:spacing w:after="0"/>
              <w:rPr>
                <w:sz w:val="20"/>
                <w:szCs w:val="20"/>
                <w:color w:val="auto"/>
              </w:rPr>
            </w:pPr>
            <w:r>
              <w:rPr>
                <w:rFonts w:ascii="Arial" w:cs="Arial" w:eastAsia="Arial" w:hAnsi="Arial"/>
                <w:sz w:val="18"/>
                <w:szCs w:val="18"/>
                <w:color w:val="auto"/>
              </w:rPr>
              <w:t>Date:</w:t>
            </w:r>
          </w:p>
        </w:tc>
        <w:tc>
          <w:tcPr>
            <w:tcW w:w="2840" w:type="dxa"/>
            <w:vAlign w:val="bottom"/>
          </w:tcPr>
          <w:p>
            <w:pPr>
              <w:ind w:left="220"/>
              <w:spacing w:after="0"/>
              <w:rPr>
                <w:sz w:val="20"/>
                <w:szCs w:val="20"/>
                <w:color w:val="auto"/>
              </w:rPr>
            </w:pPr>
            <w:r>
              <w:rPr>
                <w:rFonts w:ascii="Arial" w:cs="Arial" w:eastAsia="Arial" w:hAnsi="Arial"/>
                <w:sz w:val="18"/>
                <w:szCs w:val="18"/>
                <w:color w:val="auto"/>
              </w:rPr>
              <w:t>November 1, 2023</w:t>
            </w:r>
          </w:p>
        </w:tc>
        <w:tc>
          <w:tcPr>
            <w:tcW w:w="230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Barbara J. Britenriker</w:t>
            </w:r>
          </w:p>
        </w:tc>
        <w:tc>
          <w:tcPr>
            <w:tcW w:w="400" w:type="dxa"/>
            <w:vAlign w:val="bottom"/>
          </w:tcPr>
          <w:p>
            <w:pPr>
              <w:spacing w:after="0"/>
              <w:rPr>
                <w:sz w:val="20"/>
                <w:szCs w:val="20"/>
                <w:color w:val="auto"/>
              </w:rPr>
            </w:pPr>
          </w:p>
        </w:tc>
      </w:tr>
      <w:tr>
        <w:trPr>
          <w:trHeight w:val="230"/>
        </w:trPr>
        <w:tc>
          <w:tcPr>
            <w:tcW w:w="1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Barbara J. Britenriker</w:t>
            </w:r>
          </w:p>
        </w:tc>
        <w:tc>
          <w:tcPr>
            <w:tcW w:w="400" w:type="dxa"/>
            <w:vAlign w:val="bottom"/>
          </w:tcPr>
          <w:p>
            <w:pPr>
              <w:spacing w:after="0"/>
              <w:rPr>
                <w:sz w:val="20"/>
                <w:szCs w:val="20"/>
                <w:color w:val="auto"/>
              </w:rPr>
            </w:pPr>
          </w:p>
        </w:tc>
      </w:tr>
      <w:tr>
        <w:trPr>
          <w:trHeight w:val="242"/>
        </w:trPr>
        <w:tc>
          <w:tcPr>
            <w:tcW w:w="1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Executive Vice-President and</w:t>
            </w:r>
          </w:p>
        </w:tc>
        <w:tc>
          <w:tcPr>
            <w:tcW w:w="400" w:type="dxa"/>
            <w:vAlign w:val="bottom"/>
          </w:tcPr>
          <w:p>
            <w:pPr>
              <w:spacing w:after="0"/>
              <w:rPr>
                <w:sz w:val="21"/>
                <w:szCs w:val="21"/>
                <w:color w:val="auto"/>
              </w:rPr>
            </w:pPr>
          </w:p>
        </w:tc>
      </w:tr>
      <w:tr>
        <w:trPr>
          <w:trHeight w:val="243"/>
        </w:trPr>
        <w:tc>
          <w:tcPr>
            <w:tcW w:w="1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spacing w:after="0"/>
              <w:rPr>
                <w:sz w:val="21"/>
                <w:szCs w:val="21"/>
                <w:color w:val="auto"/>
              </w:rPr>
            </w:pPr>
          </w:p>
        </w:tc>
      </w:tr>
      <w:tr>
        <w:trPr>
          <w:trHeight w:val="797"/>
        </w:trPr>
        <w:tc>
          <w:tcPr>
            <w:tcW w:w="1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73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760" w:hanging="378"/>
        <w:spacing w:after="0" w:line="291"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369"/>
        <w:spacing w:after="0" w:line="263"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369"/>
        <w:spacing w:after="0" w:line="308" w:lineRule="auto"/>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369"/>
        <w:spacing w:after="0" w:line="277"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168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2023</w:t>
      </w:r>
      <w:r>
        <w:rPr>
          <w:sz w:val="20"/>
          <w:szCs w:val="20"/>
          <w:color w:val="auto"/>
        </w:rPr>
        <w:tab/>
      </w:r>
      <w:r>
        <w:rPr>
          <w:rFonts w:ascii="Arial" w:cs="Arial" w:eastAsia="Arial" w:hAnsi="Arial"/>
          <w:sz w:val="16"/>
          <w:szCs w:val="16"/>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Lars B. Eller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760" w:hanging="378"/>
        <w:spacing w:after="0" w:line="291"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369"/>
        <w:spacing w:after="0" w:line="308"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369"/>
        <w:spacing w:after="0" w:line="277"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60" w:type="dxa"/>
            <w:vAlign w:val="bottom"/>
          </w:tcPr>
          <w:p>
            <w:pPr>
              <w:ind w:left="20"/>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November 1, 2023</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09"/>
        </w:trPr>
        <w:tc>
          <w:tcPr>
            <w:tcW w:w="10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45"/>
        </w:trPr>
        <w:tc>
          <w:tcPr>
            <w:tcW w:w="10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2023,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60" w:hanging="378"/>
        <w:spacing w:after="0" w:line="260"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9" w:lineRule="exact"/>
        <w:rPr>
          <w:sz w:val="20"/>
          <w:szCs w:val="20"/>
          <w:color w:val="auto"/>
        </w:rPr>
      </w:pPr>
    </w:p>
    <w:p>
      <w:pPr>
        <w:ind w:left="20"/>
        <w:spacing w:after="0"/>
        <w:tabs>
          <w:tab w:leader="none" w:pos="168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2023</w:t>
      </w:r>
      <w:r>
        <w:rPr>
          <w:sz w:val="20"/>
          <w:szCs w:val="20"/>
          <w:color w:val="auto"/>
        </w:rPr>
        <w:tab/>
      </w:r>
      <w:r>
        <w:rPr>
          <w:rFonts w:ascii="Arial" w:cs="Arial" w:eastAsia="Arial" w:hAnsi="Arial"/>
          <w:sz w:val="16"/>
          <w:szCs w:val="16"/>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Lars B. Eller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2023,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60" w:hanging="378"/>
        <w:spacing w:after="0" w:line="260"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November 1, 2023</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09"/>
        </w:trPr>
        <w:tc>
          <w:tcPr>
            <w:tcW w:w="1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7"/>
    </w:lvl>
    <w:lvl w:ilvl="1">
      <w:lvlJc w:val="left"/>
      <w:lvlText w:val="%2."/>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o"/>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04"/>
    </w:lvl>
  </w:abstractNum>
  <w:abstractNum w:abstractNumId="17">
    <w:nsid w:val="62BBD95A"/>
    <w:multiLevelType w:val="hybridMultilevel"/>
    <w:lvl w:ilvl="0">
      <w:lvlJc w:val="left"/>
      <w:lvlText w:val="(%1)"/>
      <w:numFmt w:val="decimal"/>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01" Type="http://schemas.openxmlformats.org/officeDocument/2006/relationships/hyperlink" Target="https://www.sec.gov/Archives/edgar/data/792966/000119312517318709/d447990dex31.htm" TargetMode="External"/><Relationship Id="rId802" Type="http://schemas.openxmlformats.org/officeDocument/2006/relationships/hyperlink" Target="https://www.sec.gov/Archives/edgar/data/792966/000119312517235925/d422994dex32.htm" TargetMode="External"/><Relationship Id="rId803"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2023-11-01T13:02:50Z</dcterms:created>
  <dcterms:modified xsi:type="dcterms:W3CDTF">2023-11-01T13:02:50Z</dcterms:modified>
</cp:coreProperties>
</file>