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2570480</wp:posOffset>
            </wp:positionH>
            <wp:positionV relativeFrom="paragraph">
              <wp:posOffset>45720</wp:posOffset>
            </wp:positionV>
            <wp:extent cx="21158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5820" cy="8255"/>
                    </a:xfrm>
                    <a:prstGeom prst="rect">
                      <a:avLst/>
                    </a:prstGeom>
                    <a:noFill/>
                  </pic:spPr>
                </pic:pic>
              </a:graphicData>
            </a:graphic>
          </wp:anchor>
        </w:drawing>
      </w:r>
    </w:p>
    <w:p>
      <w:pPr>
        <w:spacing w:after="0" w:line="95" w:lineRule="exact"/>
        <w:rPr>
          <w:sz w:val="24"/>
          <w:szCs w:val="24"/>
          <w:color w:val="auto"/>
        </w:rPr>
      </w:pPr>
    </w:p>
    <w:p>
      <w:pPr>
        <w:jc w:val="center"/>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2570480</wp:posOffset>
            </wp:positionH>
            <wp:positionV relativeFrom="paragraph">
              <wp:posOffset>57785</wp:posOffset>
            </wp:positionV>
            <wp:extent cx="21158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5820" cy="8255"/>
                    </a:xfrm>
                    <a:prstGeom prst="rect">
                      <a:avLst/>
                    </a:prstGeom>
                    <a:noFill/>
                  </pic:spPr>
                </pic:pic>
              </a:graphicData>
            </a:graphic>
          </wp:anchor>
        </w:drawing>
      </w:r>
    </w:p>
    <w:p>
      <w:pPr>
        <w:spacing w:after="0" w:line="114" w:lineRule="exact"/>
        <w:rPr>
          <w:sz w:val="24"/>
          <w:szCs w:val="24"/>
          <w:color w:val="auto"/>
        </w:rPr>
      </w:pPr>
    </w:p>
    <w:p>
      <w:pPr>
        <w:ind w:left="540" w:hanging="535"/>
        <w:spacing w:after="0"/>
        <w:tabs>
          <w:tab w:leader="none" w:pos="54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Annual Report Pursuant to Section 13 or 15(d) of the Securities Exchange Act of 1934</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 w:lineRule="exact"/>
        <w:rPr>
          <w:sz w:val="24"/>
          <w:szCs w:val="24"/>
          <w:color w:val="auto"/>
        </w:rPr>
      </w:pPr>
    </w:p>
    <w:p>
      <w:pPr>
        <w:ind w:left="540" w:hanging="535"/>
        <w:spacing w:after="0"/>
        <w:tabs>
          <w:tab w:leader="none" w:pos="54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83"/>
        </w:trPr>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3"/>
          </w:tcPr>
          <w:p>
            <w:pPr>
              <w:ind w:left="220"/>
              <w:spacing w:after="0"/>
              <w:rPr>
                <w:sz w:val="20"/>
                <w:szCs w:val="20"/>
                <w:color w:val="auto"/>
              </w:rPr>
            </w:pPr>
            <w:r>
              <w:rPr>
                <w:rFonts w:ascii="Arial" w:cs="Arial" w:eastAsia="Arial" w:hAnsi="Arial"/>
                <w:sz w:val="16"/>
                <w:szCs w:val="16"/>
                <w:b w:val="1"/>
                <w:bCs w:val="1"/>
                <w:color w:val="auto"/>
                <w:w w:val="91"/>
              </w:rPr>
              <w:t>For the transition period from</w:t>
            </w:r>
          </w:p>
        </w:tc>
        <w:tc>
          <w:tcPr>
            <w:tcW w:w="300" w:type="dxa"/>
            <w:vAlign w:val="bottom"/>
            <w:tcBorders>
              <w:bottom w:val="single" w:sz="8" w:color="auto"/>
            </w:tcBorders>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320" w:type="dxa"/>
            <w:vAlign w:val="bottom"/>
            <w:tcBorders>
              <w:bottom w:val="single" w:sz="8" w:color="auto"/>
            </w:tcBorders>
          </w:tcPr>
          <w:p>
            <w:pPr>
              <w:spacing w:after="0"/>
              <w:rPr>
                <w:sz w:val="15"/>
                <w:szCs w:val="15"/>
                <w:color w:val="auto"/>
              </w:rPr>
            </w:pPr>
          </w:p>
        </w:tc>
        <w:tc>
          <w:tcPr>
            <w:tcW w:w="72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gridSpan w:val="9"/>
          </w:tcPr>
          <w:p>
            <w:pPr>
              <w:jc w:val="center"/>
              <w:ind w:right="520"/>
              <w:spacing w:after="0"/>
              <w:rPr>
                <w:sz w:val="20"/>
                <w:szCs w:val="20"/>
                <w:color w:val="auto"/>
              </w:rPr>
            </w:pPr>
            <w:r>
              <w:rPr>
                <w:rFonts w:ascii="Arial" w:cs="Arial" w:eastAsia="Arial" w:hAnsi="Arial"/>
                <w:sz w:val="16"/>
                <w:szCs w:val="16"/>
                <w:b w:val="1"/>
                <w:bCs w:val="1"/>
                <w:color w:val="auto"/>
                <w:w w:val="89"/>
              </w:rPr>
              <w:t>Commission File Number 001-38084</w:t>
            </w: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2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2"/>
          </w:tcPr>
          <w:p>
            <w:pPr>
              <w:spacing w:after="0"/>
              <w:rPr>
                <w:sz w:val="6"/>
                <w:szCs w:val="6"/>
                <w:color w:val="auto"/>
              </w:rPr>
            </w:pPr>
          </w:p>
        </w:tc>
        <w:tc>
          <w:tcPr>
            <w:tcW w:w="15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8"/>
        </w:trPr>
        <w:tc>
          <w:tcPr>
            <w:tcW w:w="1180" w:type="dxa"/>
            <w:vAlign w:val="bottom"/>
          </w:tcPr>
          <w:p>
            <w:pPr>
              <w:spacing w:after="0"/>
              <w:rPr>
                <w:sz w:val="24"/>
                <w:szCs w:val="24"/>
                <w:color w:val="auto"/>
              </w:rPr>
            </w:pPr>
          </w:p>
        </w:tc>
        <w:tc>
          <w:tcPr>
            <w:tcW w:w="10240" w:type="dxa"/>
            <w:vAlign w:val="bottom"/>
            <w:gridSpan w:val="16"/>
          </w:tcPr>
          <w:p>
            <w:pPr>
              <w:jc w:val="center"/>
              <w:ind w:right="1160"/>
              <w:spacing w:after="0"/>
              <w:rPr>
                <w:sz w:val="20"/>
                <w:szCs w:val="20"/>
                <w:color w:val="auto"/>
              </w:rPr>
            </w:pPr>
            <w:r>
              <w:rPr>
                <w:rFonts w:ascii="Arial" w:cs="Arial" w:eastAsia="Arial" w:hAnsi="Arial"/>
                <w:sz w:val="35"/>
                <w:szCs w:val="35"/>
                <w:b w:val="1"/>
                <w:bCs w:val="1"/>
                <w:color w:val="auto"/>
                <w:w w:val="99"/>
              </w:rPr>
              <w:t>FARMERS &amp; MERCHANTS BANCORP, INC.</w:t>
            </w: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1960" w:type="dxa"/>
            <w:vAlign w:val="bottom"/>
            <w:gridSpan w:val="2"/>
            <w:vMerge w:val="restart"/>
          </w:tcPr>
          <w:p>
            <w:pPr>
              <w:jc w:val="center"/>
              <w:ind w:right="520"/>
              <w:spacing w:after="0"/>
              <w:rPr>
                <w:sz w:val="20"/>
                <w:szCs w:val="20"/>
                <w:color w:val="auto"/>
              </w:rPr>
            </w:pPr>
            <w:r>
              <w:rPr>
                <w:rFonts w:ascii="Arial" w:cs="Arial" w:eastAsia="Arial" w:hAnsi="Arial"/>
                <w:sz w:val="16"/>
                <w:szCs w:val="16"/>
                <w:b w:val="1"/>
                <w:bCs w:val="1"/>
                <w:color w:val="auto"/>
              </w:rPr>
              <w:t>OHIO</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34-1469491</w:t>
            </w: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vMerge w:val="continue"/>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3140" w:type="dxa"/>
            <w:vAlign w:val="bottom"/>
            <w:gridSpan w:val="3"/>
          </w:tcPr>
          <w:p>
            <w:pPr>
              <w:jc w:val="center"/>
              <w:ind w:left="588"/>
              <w:spacing w:after="0" w:line="119" w:lineRule="exact"/>
              <w:rPr>
                <w:sz w:val="20"/>
                <w:szCs w:val="20"/>
                <w:color w:val="auto"/>
              </w:rPr>
            </w:pPr>
            <w:r>
              <w:rPr>
                <w:rFonts w:ascii="Arial" w:cs="Arial" w:eastAsia="Arial" w:hAnsi="Arial"/>
                <w:sz w:val="13"/>
                <w:szCs w:val="13"/>
                <w:b w:val="1"/>
                <w:bCs w:val="1"/>
                <w:color w:val="auto"/>
                <w:w w:val="98"/>
              </w:rPr>
              <w:t>(State or other jurisdiction of</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4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83"/>
        </w:trPr>
        <w:tc>
          <w:tcPr>
            <w:tcW w:w="314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w w:val="92"/>
              </w:rPr>
              <w:t>incorporation or organization)</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34"/>
        </w:trPr>
        <w:tc>
          <w:tcPr>
            <w:tcW w:w="3140" w:type="dxa"/>
            <w:vAlign w:val="bottom"/>
            <w:gridSpan w:val="3"/>
          </w:tcPr>
          <w:p>
            <w:pPr>
              <w:jc w:val="center"/>
              <w:ind w:left="588"/>
              <w:spacing w:after="0"/>
              <w:rPr>
                <w:sz w:val="20"/>
                <w:szCs w:val="20"/>
                <w:color w:val="auto"/>
              </w:rPr>
            </w:pPr>
            <w:r>
              <w:rPr>
                <w:rFonts w:ascii="Arial" w:cs="Arial" w:eastAsia="Arial" w:hAnsi="Arial"/>
                <w:sz w:val="16"/>
                <w:szCs w:val="16"/>
                <w:b w:val="1"/>
                <w:bCs w:val="1"/>
                <w:color w:val="auto"/>
                <w:w w:val="90"/>
              </w:rPr>
              <w:t>307 North Defiance Street</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6"/>
                <w:szCs w:val="16"/>
                <w:b w:val="1"/>
                <w:bCs w:val="1"/>
                <w:color w:val="auto"/>
                <w:w w:val="89"/>
              </w:rPr>
              <w:t>Archbold, Ohio</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6"/>
                <w:szCs w:val="16"/>
                <w:b w:val="1"/>
                <w:bCs w:val="1"/>
                <w:color w:val="auto"/>
              </w:rPr>
              <w:t>43502</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196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8"/>
              </w:rPr>
              <w:t>(Address of principal</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4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Executive offices)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80" w:type="dxa"/>
            <w:vAlign w:val="bottom"/>
            <w:gridSpan w:val="14"/>
          </w:tcPr>
          <w:p>
            <w:pPr>
              <w:jc w:val="center"/>
              <w:ind w:right="3140"/>
              <w:spacing w:after="0"/>
              <w:rPr>
                <w:sz w:val="20"/>
                <w:szCs w:val="20"/>
                <w:color w:val="auto"/>
              </w:rPr>
            </w:pPr>
            <w:r>
              <w:rPr>
                <w:rFonts w:ascii="Arial" w:cs="Arial" w:eastAsia="Arial" w:hAnsi="Arial"/>
                <w:sz w:val="16"/>
                <w:szCs w:val="16"/>
                <w:b w:val="1"/>
                <w:bCs w:val="1"/>
                <w:color w:val="auto"/>
                <w:w w:val="88"/>
              </w:rPr>
              <w:t>Registrant’s telephone number, including area code (419) 446-2501</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760" w:type="dxa"/>
            <w:vAlign w:val="bottom"/>
            <w:gridSpan w:val="11"/>
          </w:tcPr>
          <w:p>
            <w:pPr>
              <w:jc w:val="center"/>
              <w:ind w:left="301"/>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40" w:type="dxa"/>
            <w:vAlign w:val="bottom"/>
            <w:gridSpan w:val="8"/>
          </w:tcPr>
          <w:p>
            <w:pPr>
              <w:jc w:val="center"/>
              <w:ind w:left="1041"/>
              <w:spacing w:after="0"/>
              <w:rPr>
                <w:sz w:val="20"/>
                <w:szCs w:val="20"/>
                <w:color w:val="auto"/>
              </w:rPr>
            </w:pPr>
            <w:r>
              <w:rPr>
                <w:rFonts w:ascii="Arial" w:cs="Arial" w:eastAsia="Arial" w:hAnsi="Arial"/>
                <w:sz w:val="16"/>
                <w:szCs w:val="16"/>
                <w:b w:val="1"/>
                <w:bCs w:val="1"/>
                <w:color w:val="auto"/>
                <w:w w:val="88"/>
              </w:rPr>
              <w:t>__________________________________</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Name of each exchange</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tcPr>
          <w:p>
            <w:pPr>
              <w:jc w:val="center"/>
              <w:ind w:left="348"/>
              <w:spacing w:after="0"/>
              <w:rPr>
                <w:sz w:val="20"/>
                <w:szCs w:val="20"/>
                <w:color w:val="auto"/>
              </w:rPr>
            </w:pPr>
            <w:r>
              <w:rPr>
                <w:rFonts w:ascii="Arial" w:cs="Arial" w:eastAsia="Arial" w:hAnsi="Arial"/>
                <w:sz w:val="14"/>
                <w:szCs w:val="14"/>
                <w:b w:val="1"/>
                <w:bCs w:val="1"/>
                <w:color w:val="auto"/>
                <w:w w:val="91"/>
              </w:rPr>
              <w:t>Common Stock, No Par Value</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FMAO</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NASDAQ Capital Market</w:t>
            </w:r>
          </w:p>
        </w:tc>
        <w:tc>
          <w:tcPr>
            <w:tcW w:w="0" w:type="dxa"/>
            <w:vAlign w:val="bottom"/>
          </w:tcPr>
          <w:p>
            <w:pPr>
              <w:spacing w:after="0"/>
              <w:rPr>
                <w:sz w:val="1"/>
                <w:szCs w:val="1"/>
                <w:color w:val="auto"/>
              </w:rPr>
            </w:pPr>
          </w:p>
        </w:tc>
      </w:tr>
      <w:tr>
        <w:trPr>
          <w:trHeight w:val="295"/>
        </w:trPr>
        <w:tc>
          <w:tcPr>
            <w:tcW w:w="7900" w:type="dxa"/>
            <w:vAlign w:val="bottom"/>
            <w:gridSpan w:val="14"/>
          </w:tcPr>
          <w:p>
            <w:pPr>
              <w:spacing w:after="0" w:line="173" w:lineRule="exact"/>
              <w:rPr>
                <w:sz w:val="20"/>
                <w:szCs w:val="20"/>
                <w:color w:val="auto"/>
              </w:rPr>
            </w:pPr>
            <w:r>
              <w:rPr>
                <w:rFonts w:ascii="Arial" w:cs="Arial" w:eastAsia="Arial" w:hAnsi="Arial"/>
                <w:sz w:val="15"/>
                <w:szCs w:val="15"/>
                <w:color w:val="auto"/>
                <w:w w:val="92"/>
              </w:rPr>
              <w:t xml:space="preserve">Indicate by check mark if the registrant is a well-known seasoned issuer, as defined in Rule 405 of the Securities Act.  Yes </w:t>
            </w:r>
            <w:r>
              <w:rPr>
                <w:rFonts w:ascii="MS PGothic" w:cs="MS PGothic" w:eastAsia="MS PGothic" w:hAnsi="MS PGothic"/>
                <w:sz w:val="15"/>
                <w:szCs w:val="15"/>
                <w:color w:val="auto"/>
                <w:w w:val="92"/>
              </w:rPr>
              <w:t>☐</w:t>
            </w:r>
            <w:r>
              <w:rPr>
                <w:rFonts w:ascii="Arial" w:cs="Arial" w:eastAsia="Arial" w:hAnsi="Arial"/>
                <w:sz w:val="15"/>
                <w:szCs w:val="15"/>
                <w:color w:val="auto"/>
                <w:w w:val="92"/>
              </w:rPr>
              <w:t xml:space="preserve"> No</w:t>
            </w:r>
          </w:p>
        </w:tc>
        <w:tc>
          <w:tcPr>
            <w:tcW w:w="3520" w:type="dxa"/>
            <w:vAlign w:val="bottom"/>
            <w:gridSpan w:val="3"/>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90"/>
        </w:trPr>
        <w:tc>
          <w:tcPr>
            <w:tcW w:w="7900" w:type="dxa"/>
            <w:vAlign w:val="bottom"/>
            <w:gridSpan w:val="14"/>
          </w:tcPr>
          <w:p>
            <w:pPr>
              <w:spacing w:after="0"/>
              <w:rPr>
                <w:sz w:val="20"/>
                <w:szCs w:val="20"/>
                <w:color w:val="auto"/>
              </w:rPr>
            </w:pPr>
            <w:r>
              <w:rPr>
                <w:rFonts w:ascii="Arial" w:cs="Arial" w:eastAsia="Arial" w:hAnsi="Arial"/>
                <w:sz w:val="15"/>
                <w:szCs w:val="15"/>
                <w:color w:val="auto"/>
                <w:w w:val="92"/>
              </w:rPr>
              <w:t>Indicate by check mark if the registrant is not required to file reports pursuant to Section 13 or Section 15(d) of the Exchange Act.</w:t>
            </w:r>
          </w:p>
        </w:tc>
        <w:tc>
          <w:tcPr>
            <w:tcW w:w="3520" w:type="dxa"/>
            <w:vAlign w:val="bottom"/>
            <w:gridSpan w:val="3"/>
          </w:tcPr>
          <w:p>
            <w:pPr>
              <w:ind w:left="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both"/>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50" w:right="239" w:bottom="1440" w:gutter="0" w:footer="0" w:header="0"/>
        </w:sectPr>
      </w:pP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7340" w:space="720"/>
            <w:col w:w="3360"/>
          </w:cols>
          <w:pgMar w:left="240" w:top="450" w:right="2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35" w:lineRule="exact"/>
        <w:rPr>
          <w:sz w:val="24"/>
          <w:szCs w:val="24"/>
          <w:color w:val="auto"/>
        </w:rPr>
      </w:pPr>
    </w:p>
    <w:p>
      <w:pPr>
        <w:sectPr>
          <w:pgSz w:w="11900" w:h="16838" w:orient="portrait"/>
          <w:cols w:equalWidth="0" w:num="2">
            <w:col w:w="7340" w:space="720"/>
            <w:col w:w="3360"/>
          </w:cols>
          <w:pgMar w:left="240" w:top="450" w:right="2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420"/>
          </w:cols>
          <w:pgMar w:left="240" w:top="450" w:right="239" w:bottom="1440" w:gutter="0" w:footer="0" w:header="0"/>
          <w:type w:val="continuous"/>
        </w:sectPr>
      </w:pPr>
    </w:p>
    <w:p>
      <w:pPr>
        <w:spacing w:after="0" w:line="106" w:lineRule="exact"/>
        <w:rPr>
          <w:sz w:val="24"/>
          <w:szCs w:val="24"/>
          <w:color w:val="auto"/>
        </w:rPr>
      </w:pPr>
    </w:p>
    <w:p>
      <w:pPr>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spacing w:after="0" w:line="173" w:lineRule="exact"/>
        <w:tabs>
          <w:tab w:leader="none" w:pos="7020" w:val="left"/>
          <w:tab w:leader="none" w:pos="7600" w:val="left"/>
        </w:tabs>
        <w:rPr>
          <w:sz w:val="20"/>
          <w:szCs w:val="20"/>
          <w:color w:val="auto"/>
        </w:rPr>
      </w:pPr>
      <w:r>
        <w:rPr>
          <w:rFonts w:ascii="Arial" w:cs="Arial" w:eastAsia="Arial" w:hAnsi="Arial"/>
          <w:sz w:val="14"/>
          <w:szCs w:val="14"/>
          <w:color w:val="auto"/>
        </w:rPr>
        <w:t>Indicated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rPr>
          <w:sz w:val="20"/>
          <w:szCs w:val="20"/>
          <w:color w:val="auto"/>
        </w:rPr>
      </w:pPr>
      <w:r>
        <w:rPr>
          <w:rFonts w:ascii="Arial" w:cs="Arial" w:eastAsia="Arial" w:hAnsi="Arial"/>
          <w:sz w:val="15"/>
          <w:szCs w:val="15"/>
          <w:color w:val="auto"/>
        </w:rPr>
        <w:t>As of June 30, 2019, the aggregate market value of the registrant’s common stock held by non-affiliates of the registrant was $323,412,049.</w:t>
      </w:r>
    </w:p>
    <w:p>
      <w:pPr>
        <w:spacing w:after="0" w:line="91"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21, 2020, the Registrant had 12,230,000 shares of common stock issued of which 11,134,871 shares are outstanding.</w:t>
      </w:r>
    </w:p>
    <w:p>
      <w:pPr>
        <w:spacing w:after="0" w:line="245" w:lineRule="exact"/>
        <w:rPr>
          <w:sz w:val="24"/>
          <w:szCs w:val="24"/>
          <w:color w:val="auto"/>
        </w:rPr>
      </w:pPr>
    </w:p>
    <w:p>
      <w:pPr>
        <w:ind w:left="4000"/>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95" w:lineRule="exact"/>
        <w:rPr>
          <w:sz w:val="24"/>
          <w:szCs w:val="24"/>
          <w:color w:val="auto"/>
        </w:rPr>
      </w:pPr>
    </w:p>
    <w:p>
      <w:pPr>
        <w:spacing w:after="0"/>
        <w:rPr>
          <w:sz w:val="20"/>
          <w:szCs w:val="20"/>
          <w:color w:val="auto"/>
        </w:rPr>
      </w:pPr>
      <w:r>
        <w:rPr>
          <w:rFonts w:ascii="Arial" w:cs="Arial" w:eastAsia="Arial" w:hAnsi="Arial"/>
          <w:sz w:val="15"/>
          <w:szCs w:val="15"/>
          <w:color w:val="auto"/>
        </w:rPr>
        <w:t>Part III of Form 10-K – Portions of the definitive Proxy Statement for the 2020 Annual Meeting of Shareholders of Farmers &amp; Merchants Bancorp, Inc.</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80" w:type="dxa"/>
            <w:vAlign w:val="bottom"/>
            <w:gridSpan w:val="15"/>
          </w:tcPr>
          <w:p>
            <w:pPr>
              <w:jc w:val="center"/>
              <w:ind w:right="1480"/>
              <w:spacing w:after="0"/>
              <w:rPr>
                <w:sz w:val="20"/>
                <w:szCs w:val="20"/>
                <w:color w:val="auto"/>
              </w:rPr>
            </w:pPr>
            <w:r>
              <w:rPr>
                <w:rFonts w:ascii="Arial" w:cs="Arial" w:eastAsia="Arial" w:hAnsi="Arial"/>
                <w:sz w:val="18"/>
                <w:szCs w:val="18"/>
                <w:color w:val="auto"/>
                <w:w w:val="93"/>
              </w:rPr>
              <w:t>FARMERS &amp; MERCHANTS BANCORP, INC.</w:t>
            </w:r>
          </w:p>
        </w:tc>
        <w:tc>
          <w:tcPr>
            <w:tcW w:w="232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80" w:type="dxa"/>
            <w:vAlign w:val="bottom"/>
            <w:gridSpan w:val="12"/>
          </w:tcPr>
          <w:p>
            <w:pPr>
              <w:jc w:val="center"/>
              <w:ind w:right="2300"/>
              <w:spacing w:after="0"/>
              <w:rPr>
                <w:sz w:val="20"/>
                <w:szCs w:val="20"/>
                <w:color w:val="auto"/>
              </w:rPr>
            </w:pPr>
            <w:r>
              <w:rPr>
                <w:rFonts w:ascii="Arial" w:cs="Arial" w:eastAsia="Arial" w:hAnsi="Arial"/>
                <w:sz w:val="18"/>
                <w:szCs w:val="18"/>
                <w:color w:val="auto"/>
                <w:w w:val="93"/>
              </w:rPr>
              <w:t>TABLE OF CONTENTS</w:t>
            </w:r>
          </w:p>
        </w:tc>
        <w:tc>
          <w:tcPr>
            <w:tcW w:w="2320" w:type="dxa"/>
            <w:vAlign w:val="bottom"/>
          </w:tcPr>
          <w:p>
            <w:pPr>
              <w:spacing w:after="0"/>
              <w:rPr>
                <w:sz w:val="19"/>
                <w:szCs w:val="19"/>
                <w:color w:val="auto"/>
              </w:rPr>
            </w:pPr>
          </w:p>
        </w:tc>
      </w:tr>
      <w:tr>
        <w:trPr>
          <w:trHeight w:val="422"/>
        </w:trPr>
        <w:tc>
          <w:tcPr>
            <w:tcW w:w="182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K Items</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PAGE</w:t>
            </w:r>
          </w:p>
        </w:tc>
      </w:tr>
      <w:tr>
        <w:trPr>
          <w:trHeight w:val="283"/>
        </w:trPr>
        <w:tc>
          <w:tcPr>
            <w:tcW w:w="18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2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728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Unresolved Staff Comments</w:t>
              </w:r>
            </w:hyperlink>
          </w:p>
        </w:tc>
        <w:tc>
          <w:tcPr>
            <w:tcW w:w="5280" w:type="dxa"/>
            <w:vAlign w:val="bottom"/>
            <w:gridSpan w:val="15"/>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Properties</w:t>
              </w:r>
            </w:hyperlink>
          </w:p>
        </w:tc>
        <w:tc>
          <w:tcPr>
            <w:tcW w:w="6560" w:type="dxa"/>
            <w:vAlign w:val="bottom"/>
            <w:gridSpan w:val="2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280" w:type="dxa"/>
            <w:vAlign w:val="bottom"/>
            <w:gridSpan w:val="2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Mine Safety Disclosures</w:t>
              </w:r>
            </w:hyperlink>
          </w:p>
        </w:tc>
        <w:tc>
          <w:tcPr>
            <w:tcW w:w="5540" w:type="dxa"/>
            <w:vAlign w:val="bottom"/>
            <w:gridSpan w:val="17"/>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52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Market for Registrant’s Common Equity and Related Stockholder Matters</w:t>
              </w:r>
            </w:hyperlink>
          </w:p>
        </w:tc>
        <w:tc>
          <w:tcPr>
            <w:tcW w:w="2080" w:type="dxa"/>
            <w:vAlign w:val="bottom"/>
            <w:gridSpan w:val="2"/>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19-20</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7280" w:type="dxa"/>
            <w:vAlign w:val="bottom"/>
            <w:gridSpan w:val="2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7280" w:type="dxa"/>
            <w:vAlign w:val="bottom"/>
            <w:gridSpan w:val="2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 Discussion and Analysis of Financial Condition and Results of Operations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21-43</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Quantitative and Qualitative Disclosures About Market Risk</w:t>
              </w:r>
            </w:hyperlink>
          </w:p>
        </w:tc>
        <w:tc>
          <w:tcPr>
            <w:tcW w:w="1920" w:type="dxa"/>
            <w:vAlign w:val="bottom"/>
            <w:tcBorders>
              <w:top w:val="single" w:sz="8" w:color="0000EE"/>
            </w:tcBorders>
            <w:gridSpan w:val="4"/>
          </w:tcPr>
          <w:p>
            <w:pPr>
              <w:spacing w:after="0"/>
              <w:rPr>
                <w:sz w:val="24"/>
                <w:szCs w:val="24"/>
                <w:color w:val="auto"/>
              </w:rPr>
            </w:pPr>
          </w:p>
        </w:tc>
        <w:tc>
          <w:tcPr>
            <w:tcW w:w="11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7280" w:type="dxa"/>
            <w:vAlign w:val="bottom"/>
            <w:gridSpan w:val="2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44-99</w:t>
            </w: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5060" w:type="dxa"/>
            <w:vAlign w:val="bottom"/>
            <w:tcBorders>
              <w:bottom w:val="single" w:sz="8" w:color="0000EE"/>
            </w:tcBorders>
            <w:gridSpan w:val="22"/>
          </w:tcPr>
          <w:p>
            <w:pPr>
              <w:spacing w:after="0"/>
              <w:rPr>
                <w:rFonts w:ascii="Arial" w:cs="Arial" w:eastAsia="Arial" w:hAnsi="Arial"/>
                <w:sz w:val="18"/>
                <w:szCs w:val="18"/>
                <w:color w:val="0000EE"/>
                <w:w w:val="87"/>
              </w:rPr>
            </w:pPr>
            <w:hyperlink w:anchor="page100">
              <w:r>
                <w:rPr>
                  <w:rFonts w:ascii="Arial" w:cs="Arial" w:eastAsia="Arial" w:hAnsi="Arial"/>
                  <w:sz w:val="18"/>
                  <w:szCs w:val="18"/>
                  <w:color w:val="0000EE"/>
                  <w:w w:val="87"/>
                </w:rPr>
                <w:t>Changes In and Disagreements on Accounting and Financial Disclosure</w:t>
              </w:r>
            </w:hyperlink>
          </w:p>
        </w:tc>
        <w:tc>
          <w:tcPr>
            <w:tcW w:w="2220" w:type="dxa"/>
            <w:vAlign w:val="bottom"/>
            <w:gridSpan w:val="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Item9a.</w:t>
            </w:r>
          </w:p>
        </w:tc>
        <w:tc>
          <w:tcPr>
            <w:tcW w:w="7280" w:type="dxa"/>
            <w:vAlign w:val="bottom"/>
            <w:gridSpan w:val="2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Controls and Procedures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5560" w:type="dxa"/>
            <w:vAlign w:val="bottom"/>
            <w:gridSpan w:val="18"/>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7280" w:type="dxa"/>
            <w:vAlign w:val="bottom"/>
            <w:gridSpan w:val="2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Directors and Executive Officers of the Registrant</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101-102</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7"/>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3760" w:type="dxa"/>
            <w:vAlign w:val="bottom"/>
            <w:gridSpan w:val="8"/>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280" w:type="dxa"/>
            <w:vAlign w:val="bottom"/>
            <w:gridSpan w:val="25"/>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Security Ownership of Certain Beneficial Owners and Management</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33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Certain Relationships and Related Transactions</w:t>
              </w:r>
            </w:hyperlink>
          </w:p>
        </w:tc>
        <w:tc>
          <w:tcPr>
            <w:tcW w:w="1420" w:type="dxa"/>
            <w:vAlign w:val="bottom"/>
            <w:tcBorders>
              <w:top w:val="single" w:sz="8" w:color="0000EE"/>
            </w:tcBorders>
            <w:gridSpan w:val="5"/>
          </w:tcPr>
          <w:p>
            <w:pPr>
              <w:spacing w:after="0"/>
              <w:rPr>
                <w:sz w:val="24"/>
                <w:szCs w:val="24"/>
                <w:color w:val="auto"/>
              </w:rPr>
            </w:pPr>
          </w:p>
        </w:tc>
        <w:tc>
          <w:tcPr>
            <w:tcW w:w="2520" w:type="dxa"/>
            <w:vAlign w:val="bottom"/>
            <w:gridSpan w:val="4"/>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28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Principal Accountant Fees and Services</w:t>
              </w:r>
            </w:hyperlink>
          </w:p>
        </w:tc>
        <w:tc>
          <w:tcPr>
            <w:tcW w:w="4480" w:type="dxa"/>
            <w:vAlign w:val="bottom"/>
            <w:gridSpan w:val="12"/>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9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04">
              <w:r>
                <w:rPr>
                  <w:rFonts w:ascii="Arial" w:cs="Arial" w:eastAsia="Arial" w:hAnsi="Arial"/>
                  <w:sz w:val="18"/>
                  <w:szCs w:val="18"/>
                  <w:color w:val="0000EE"/>
                  <w:w w:val="88"/>
                </w:rPr>
                <w:t>Exhibits, Financial Schedules and Reports on Form 8-K</w:t>
              </w:r>
            </w:hyperlink>
          </w:p>
        </w:tc>
        <w:tc>
          <w:tcPr>
            <w:tcW w:w="3340" w:type="dxa"/>
            <w:vAlign w:val="bottom"/>
            <w:gridSpan w:val="6"/>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7280" w:type="dxa"/>
            <w:vAlign w:val="bottom"/>
            <w:gridSpan w:val="25"/>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Form 10-K Summary</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09"/>
        </w:trPr>
        <w:tc>
          <w:tcPr>
            <w:tcW w:w="1820" w:type="dxa"/>
            <w:vAlign w:val="bottom"/>
            <w:gridSpan w:val="2"/>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9"/>
        </w:trPr>
        <w:tc>
          <w:tcPr>
            <w:tcW w:w="7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Exhibit 4</w:t>
            </w:r>
          </w:p>
        </w:tc>
        <w:tc>
          <w:tcPr>
            <w:tcW w:w="1100" w:type="dxa"/>
            <w:vAlign w:val="bottom"/>
          </w:tcPr>
          <w:p>
            <w:pPr>
              <w:spacing w:after="0"/>
              <w:rPr>
                <w:sz w:val="24"/>
                <w:szCs w:val="24"/>
                <w:color w:val="auto"/>
              </w:rPr>
            </w:pPr>
          </w:p>
        </w:tc>
        <w:tc>
          <w:tcPr>
            <w:tcW w:w="30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Description of Registrant’s Common Stock</w:t>
              </w:r>
            </w:hyperlink>
          </w:p>
        </w:tc>
        <w:tc>
          <w:tcPr>
            <w:tcW w:w="4240" w:type="dxa"/>
            <w:vAlign w:val="bottom"/>
            <w:gridSpan w:val="11"/>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106-107</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Exhibit 21.</w:t>
            </w:r>
          </w:p>
        </w:tc>
        <w:tc>
          <w:tcPr>
            <w:tcW w:w="7280" w:type="dxa"/>
            <w:vAlign w:val="bottom"/>
            <w:gridSpan w:val="2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Subsidiaries of Farmers &amp; Merchants Bancorp, Inc.</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22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7"/>
              </w:rPr>
            </w:pPr>
            <w:hyperlink w:anchor="page109">
              <w:r>
                <w:rPr>
                  <w:rFonts w:ascii="Arial" w:cs="Arial" w:eastAsia="Arial" w:hAnsi="Arial"/>
                  <w:sz w:val="18"/>
                  <w:szCs w:val="18"/>
                  <w:color w:val="0000EE"/>
                  <w:w w:val="87"/>
                </w:rPr>
                <w:t>Certifications Under Section 302</w:t>
              </w:r>
            </w:hyperlink>
          </w:p>
        </w:tc>
        <w:tc>
          <w:tcPr>
            <w:tcW w:w="1260" w:type="dxa"/>
            <w:vAlign w:val="bottom"/>
            <w:tcBorders>
              <w:top w:val="single" w:sz="8" w:color="0000EE"/>
            </w:tcBorders>
            <w:gridSpan w:val="6"/>
          </w:tcPr>
          <w:p>
            <w:pPr>
              <w:spacing w:after="0"/>
              <w:rPr>
                <w:sz w:val="24"/>
                <w:szCs w:val="24"/>
                <w:color w:val="auto"/>
              </w:rPr>
            </w:pPr>
          </w:p>
        </w:tc>
        <w:tc>
          <w:tcPr>
            <w:tcW w:w="3740" w:type="dxa"/>
            <w:vAlign w:val="bottom"/>
            <w:gridSpan w:val="7"/>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109-110</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7280" w:type="dxa"/>
            <w:vAlign w:val="bottom"/>
            <w:gridSpan w:val="25"/>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Certifications Under Section 906</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111-112</w:t>
            </w:r>
          </w:p>
        </w:tc>
      </w:tr>
      <w:tr>
        <w:trPr>
          <w:trHeight w:val="336"/>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226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w w:val="95"/>
              </w:rPr>
              <w:t>XBRL Instance Document (1)</w:t>
            </w:r>
          </w:p>
        </w:tc>
        <w:tc>
          <w:tcPr>
            <w:tcW w:w="5020" w:type="dxa"/>
            <w:vAlign w:val="bottom"/>
            <w:gridSpan w:val="14"/>
          </w:tcPr>
          <w:p>
            <w:pPr>
              <w:spacing w:after="0"/>
              <w:rPr>
                <w:sz w:val="24"/>
                <w:szCs w:val="24"/>
                <w:color w:val="auto"/>
              </w:rPr>
            </w:pPr>
          </w:p>
        </w:tc>
        <w:tc>
          <w:tcPr>
            <w:tcW w:w="2320" w:type="dxa"/>
            <w:vAlign w:val="bottom"/>
          </w:tcPr>
          <w:p>
            <w:pPr>
              <w:spacing w:after="0"/>
              <w:rPr>
                <w:sz w:val="24"/>
                <w:szCs w:val="24"/>
                <w:color w:val="auto"/>
              </w:rPr>
            </w:pPr>
          </w:p>
        </w:tc>
      </w:tr>
      <w:tr>
        <w:trPr>
          <w:trHeight w:val="211"/>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728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 (1)</w:t>
            </w:r>
          </w:p>
        </w:tc>
        <w:tc>
          <w:tcPr>
            <w:tcW w:w="2320" w:type="dxa"/>
            <w:vAlign w:val="bottom"/>
          </w:tcPr>
          <w:p>
            <w:pPr>
              <w:spacing w:after="0"/>
              <w:rPr>
                <w:sz w:val="18"/>
                <w:szCs w:val="18"/>
                <w:color w:val="auto"/>
              </w:rPr>
            </w:pPr>
          </w:p>
        </w:tc>
      </w:tr>
      <w:tr>
        <w:trPr>
          <w:trHeight w:val="211"/>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101.CAL</w:t>
            </w:r>
          </w:p>
        </w:tc>
        <w:tc>
          <w:tcPr>
            <w:tcW w:w="728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2320" w:type="dxa"/>
            <w:vAlign w:val="bottom"/>
          </w:tcPr>
          <w:p>
            <w:pPr>
              <w:spacing w:after="0"/>
              <w:rPr>
                <w:sz w:val="18"/>
                <w:szCs w:val="18"/>
                <w:color w:val="auto"/>
              </w:rPr>
            </w:pPr>
          </w:p>
        </w:tc>
      </w:tr>
      <w:tr>
        <w:trPr>
          <w:trHeight w:val="211"/>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101.DEF</w:t>
            </w:r>
          </w:p>
        </w:tc>
        <w:tc>
          <w:tcPr>
            <w:tcW w:w="728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2320" w:type="dxa"/>
            <w:vAlign w:val="bottom"/>
          </w:tcPr>
          <w:p>
            <w:pPr>
              <w:spacing w:after="0"/>
              <w:rPr>
                <w:sz w:val="18"/>
                <w:szCs w:val="18"/>
                <w:color w:val="auto"/>
              </w:rPr>
            </w:pPr>
          </w:p>
        </w:tc>
      </w:tr>
      <w:tr>
        <w:trPr>
          <w:trHeight w:val="211"/>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101.LAB</w:t>
            </w:r>
          </w:p>
        </w:tc>
        <w:tc>
          <w:tcPr>
            <w:tcW w:w="728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 (1)</w:t>
            </w:r>
          </w:p>
        </w:tc>
        <w:tc>
          <w:tcPr>
            <w:tcW w:w="2320" w:type="dxa"/>
            <w:vAlign w:val="bottom"/>
          </w:tcPr>
          <w:p>
            <w:pPr>
              <w:spacing w:after="0"/>
              <w:rPr>
                <w:sz w:val="18"/>
                <w:szCs w:val="18"/>
                <w:color w:val="auto"/>
              </w:rPr>
            </w:pPr>
          </w:p>
        </w:tc>
      </w:tr>
      <w:tr>
        <w:trPr>
          <w:trHeight w:val="222"/>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101.PRE</w:t>
            </w:r>
          </w:p>
        </w:tc>
        <w:tc>
          <w:tcPr>
            <w:tcW w:w="728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2320" w:type="dxa"/>
            <w:vAlign w:val="bottom"/>
          </w:tcPr>
          <w:p>
            <w:pPr>
              <w:spacing w:after="0"/>
              <w:rPr>
                <w:sz w:val="19"/>
                <w:szCs w:val="19"/>
                <w:color w:val="auto"/>
              </w:rPr>
            </w:pPr>
          </w:p>
        </w:tc>
      </w:tr>
    </w:tbl>
    <w:p>
      <w:pPr>
        <w:spacing w:after="0" w:line="10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following materials from Farmers &amp; Merchants Bancorp, Inc. on Form 10-K for the year ended December 31, 2018, formatted in XBRL (Extensible Business Reporting Language): (i) the Consolidated Balance Sheets; (ii) the Consolidated Statements of Income and Comprehensive Income; (iii) the Consolidated Statements of Cash Flows and (iv) Notes to Consolidated Financial Statements, tagged as blocks of text.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Total Pages:</w:t>
            </w:r>
          </w:p>
        </w:tc>
        <w:tc>
          <w:tcPr>
            <w:tcW w:w="542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Forward Looking Statements</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Statements contained in the Company's Annual Report on Form 10-K may be forward-looking statements, as that term is defined in the Private Securities Litigation Reform Act of 1995. Forward-looking statements may be identified by the use of such words as "intend," "believe," "expect," "anticipate," "should," "planned," "estimated," and "potential." Such forward-looking statements are based on current expectations but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which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could differ from those projected in the forward-looking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404040"/>
        </w:rPr>
        <w:t>PART I</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Farmers &amp; Merchants Bancorp, Inc. (Company) is a bank holding company incorporated under the laws of Ohio in 1985 and elected to become a financial holding company under the Federal Reserve in 2014. Our primary subsidiary, The Farmers &amp; Merchants State Bank (Bank) is a community bank operating in Northwest Ohio and Northeast Indiana since 1897. Our other subsidiary, Farmers &amp; Merchants Risk Management (Captive) is a captive insurance company formed in December 2014 and located in Nevada. We report our financial condition and net income on a consolidated basis and we report only one segment.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40" w:type="dxa"/>
            <w:vAlign w:val="bottom"/>
          </w:tcPr>
          <w:p>
            <w:pPr>
              <w:spacing w:after="0"/>
              <w:rPr>
                <w:sz w:val="20"/>
                <w:szCs w:val="20"/>
                <w:color w:val="auto"/>
              </w:rPr>
            </w:pPr>
            <w:r>
              <w:rPr>
                <w:rFonts w:ascii="Arial" w:cs="Arial" w:eastAsia="Arial" w:hAnsi="Arial"/>
                <w:sz w:val="18"/>
                <w:szCs w:val="18"/>
                <w:color w:val="auto"/>
                <w:w w:val="92"/>
              </w:rPr>
              <w:t>Our executive offices are located at 307 North Defiance Street, Archbold, Ohio 43502, and our telephone number is</w:t>
            </w:r>
          </w:p>
        </w:tc>
        <w:tc>
          <w:tcPr>
            <w:tcW w:w="1540" w:type="dxa"/>
            <w:vAlign w:val="bottom"/>
          </w:tcPr>
          <w:p>
            <w:pPr>
              <w:jc w:val="right"/>
              <w:spacing w:after="0"/>
              <w:rPr>
                <w:sz w:val="20"/>
                <w:szCs w:val="20"/>
                <w:color w:val="auto"/>
              </w:rPr>
            </w:pPr>
            <w:r>
              <w:rPr>
                <w:rFonts w:ascii="Arial" w:cs="Arial" w:eastAsia="Arial" w:hAnsi="Arial"/>
                <w:sz w:val="18"/>
                <w:szCs w:val="18"/>
                <w:color w:val="auto"/>
              </w:rPr>
              <w:t>(419) 446-2501.</w:t>
            </w:r>
          </w:p>
        </w:tc>
      </w:tr>
    </w:tbl>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a discussion of the general development of the Company’s business throughout 2019, please see the portion of Management’s Discussion and Analysis of Financial Condition and Results of Operations captioned “2019 in Review.”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8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Farmers &amp; Merchants State Bank engages in general commercial banking business. Its activities include commercial, agricultural and residential mortgage as well as consumer and credit card lending activities. Because the Bank's offices are located in Northwest Ohio and Northeast Indiana, a substantial amount of the loan portfolio is comprised of loans made to customers in the farming industry for such things as farm land, farm equipment, livestock and operating loans for seed, fertilizer, and feed. Other types of lending activities include loans for home improvements and loans for such items as autos, trucks, recreational vehicles and motorcycles. With the expansion into newer market areas, the most recent increases in loan activity have been in commercial real estate, providing operating lines of credit and machinery purchases.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Upgrades to our digital products and services continue to occur in both retail and business lines.</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jc w:val="both"/>
        <w:spacing w:after="0" w:line="235"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ind w:left="700" w:hanging="300"/>
        <w:spacing w:after="0" w:line="21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Maximum loan to value (LTV) for cars, trucks and light trucks vary from 90% to 110% depending on whether direct or indirect.</w:t>
      </w:r>
    </w:p>
    <w:p>
      <w:pPr>
        <w:ind w:left="700" w:hanging="300"/>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Loans above 100% are generally the result of additional charges for extended warranties and/or insurance coverage for wage or death.</w:t>
      </w:r>
    </w:p>
    <w:p>
      <w:pPr>
        <w:ind w:left="700" w:hanging="300"/>
        <w:spacing w:after="0" w:line="21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ind w:left="700" w:hanging="300"/>
        <w:spacing w:after="0" w:line="21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spacing w:after="0" w:line="1" w:lineRule="exact"/>
        <w:rPr>
          <w:rFonts w:ascii="Arial" w:cs="Arial" w:eastAsia="Arial" w:hAnsi="Arial"/>
          <w:sz w:val="18"/>
          <w:szCs w:val="18"/>
          <w:color w:val="auto"/>
        </w:rPr>
      </w:pPr>
    </w:p>
    <w:p>
      <w:pPr>
        <w:ind w:left="700" w:hanging="300"/>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Commercial/Agriculture/Real Estate:</w:t>
      </w:r>
    </w:p>
    <w:p>
      <w:pPr>
        <w:ind w:left="700" w:hanging="300"/>
        <w:spacing w:after="0" w:line="21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ind w:left="700" w:hanging="300"/>
        <w:spacing w:after="0" w:line="21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ind w:left="700" w:hanging="30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w:t>
      </w:r>
    </w:p>
    <w:p>
      <w:pPr>
        <w:ind w:left="700" w:hanging="300"/>
        <w:spacing w:after="0" w:line="210"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Agriculture:</w:t>
      </w:r>
    </w:p>
    <w:p>
      <w:pPr>
        <w:ind w:left="1500" w:hanging="388"/>
        <w:spacing w:after="0" w:line="202" w:lineRule="auto"/>
        <w:tabs>
          <w:tab w:leader="none" w:pos="1500"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Livestock and grain up to 80% LTV, crops (insured) up to 75% and Warehouse Receipts up to 87%.</w:t>
      </w:r>
    </w:p>
    <w:p>
      <w:pPr>
        <w:ind w:left="700" w:hanging="300"/>
        <w:spacing w:after="0" w:line="213"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w:t>
      </w:r>
    </w:p>
    <w:p>
      <w:pPr>
        <w:ind w:left="1500" w:hanging="388"/>
        <w:spacing w:after="0" w:line="198" w:lineRule="auto"/>
        <w:tabs>
          <w:tab w:leader="none" w:pos="1500"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Maximum LTV of 50% on raw and finished goods.</w:t>
      </w:r>
    </w:p>
    <w:p>
      <w:pPr>
        <w:ind w:left="700" w:hanging="300"/>
        <w:spacing w:after="0" w:line="210"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Floor plan:</w:t>
      </w:r>
    </w:p>
    <w:p>
      <w:pPr>
        <w:ind w:left="1400" w:hanging="394"/>
        <w:spacing w:after="0" w:line="202" w:lineRule="auto"/>
        <w:tabs>
          <w:tab w:leader="none" w:pos="140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1400" w:hanging="394"/>
        <w:spacing w:after="0" w:line="224" w:lineRule="auto"/>
        <w:tabs>
          <w:tab w:leader="none" w:pos="140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Equipment:</w:t>
      </w:r>
    </w:p>
    <w:p>
      <w:pPr>
        <w:ind w:left="700" w:hanging="300"/>
        <w:spacing w:after="0" w:line="21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ind w:left="700" w:hanging="300"/>
        <w:spacing w:after="0" w:line="21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ind w:left="700" w:hanging="30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7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 December of 2014, the Company became a financial holding company within the meaning of the Bank Holding Company Act of 1956 as amended,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in December 2014. The Captive is located in Nevada and regulated by the State of Nevada Division of Insurance.</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Bank’s primary market includes communities located in the Ohio counties of Defiance, Fulton, Hancock, Henry, Lucas, Williams, Wood and in the Indiana counties of Adams, Allen, DeKalb, Jay and Steuben. The commercial banking business in this market is highly competitive, with approximately 34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including Huntington National Bank, Fifth Third Bank, Wells Fargo Bank, NA, KeyBank NA and JPMorgan Chase Bank, NA. Based on deposit data as of June 30, 2019 from the FDIC and using zip codes in our markets, the Bank ranked 3rd with a 14.24% market share in markets served. The primary factors in competing for loans and deposits are the rates charged as well as location and quality of the services provided.</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December 31, 2019, we had 357 full time equivalent employees. The employees are not represented by a collective bargaining unit. We provide our employees with a comprehensive benefit program, some of which is contributory. We consider our employee relations to be good.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Supervision and Regulation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8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is a corporation organized under the laws of the State of Ohio. The business in which the Company and its subsidiaries are engaged is subject to extensive supervision, regulation and examination by various bank regulatory authorities. The supervision, regulation and examination to which the Company and its subsidiaries are subject to are intended primarily for the protection of depositors and the deposit insurance funds that insure the deposits of banks, rather than for the protection of shareholders.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Several of the more significant regulatory provisions applicable to banks and bank holding companies to which the Company and its subsidiaries are subject to are discussed below along with certain regulatory matters concerning the Company and its subsidiaries. To the extent that the following information describes statutory or regulatory provisions, it is qualified in its entirety by reference to the particular statutory provisions. Any change in applicable law or regulation may have a material effect on the business and prospects of the Company and its subsidiaries.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and Soundness Standards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federal banking agencies have adopted guidelines that establish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institution’s primary federal regulator may require the institution to submit a plan for achieving and maintaining compliance. If an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institution’s rate of growth, require the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banking regulators, including cease and desist orders and civil money penalty assessments.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Agencies</w:t>
      </w:r>
    </w:p>
    <w:p>
      <w:pPr>
        <w:spacing w:after="0" w:line="8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Company is a financial holding company and is subject to inspection, examination and supervision by the Board of Governors of the Federal Reserve System (the “Federal Reserve Board”) pursuant to the Bank Holding Company Act of 1956, as amended. As a financial holding company, the Company is still subject to all the bank holding company regulations.</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Bank is an Ohio chartered commercial bank. It is subject to regulation and examination by both the Ohio Division of Financial Institutions (ODFI) and the Federal Deposit Insurance Corporation (FDIC).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Captive is an insurance company incorporated in Nevada and regulated by the State of Nevada, Division of Insurance.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Company Activities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financial holding company incorporated and doing business within the State of Ohio, the Company is subject to regulation and supervision under the Bank Holding Act of 1956, as amended (the "Act"). The Company is required to file with the Federal Reserve Board on quarterly basis information pursuant to the Act. The Federal Reserve Board may conduct examinations or inspections of the Company and its subsidiaries.</w:t>
      </w:r>
    </w:p>
    <w:p>
      <w:pPr>
        <w:spacing w:after="0" w:line="15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On November 12, 1999, the Gramm-Leach-Bliley Act (the "GLB Act") was enacted into law. The GLB Act made sweeping changes with respect to the permissible financial services which various types of financial institutions may now provide. The Glass-Steagall Act, which had generally prevented banks from affiliation with securities and insurance firms, was repealed. Pursuant to the GLB Act, bank holding companies may elect to become a "financial holding company," provided that all of the depository institution subsidiaries of the bank holding company are “well capitalized” and “well managed” under applicable regulatory standards.</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Under the GLB Act, a bank holding company that has elected to become a financial holding company may affiliate with securities firms and insurance companies and engage in other activities that are financial in nature. Activities that are "financial in nature" include securities underwriting, dealing and market-making, sponsoring mutual funds and investment companies,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24" w:right="2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16"/>
          <w:szCs w:val="16"/>
          <w:color w:val="auto"/>
        </w:rPr>
        <w:t>insurance underwriting and agency, merchant banking, and activities that the Federal Reserve Board has determined to be closely related to banking. Federal Reserve Board approval is not required for the Company to acquire a company, other than a bank holding company, bank or savings association, engaged in activities that are financial in nature or incidental to activities that are financial in nature, as determined by the Federal Reserve Board. Prior Federal Reserve Board approval is required before the Company may acquire the beneficial ownership or control of more than 5% of the voting shares, or substantially all of the assets, of a bank holding company, bank or savings association. If any subsidiary bank of the Company ceases to be "well capitalized" or "well managed" under applicable regulatory standards, the Federal Reserve Board may, among other actions, order the Company to divest the subsidiary bank. Alternatively, the Company may elect to conform its activities to those permissible for a bank holding company that is not also a financial holding company. If any subsidiary bank of the Company receives a rating under the Community Reinvestment Act of 1977 of less than satisfactory, the Company will be prohibited from engaging in new activities or acquiring companies other than bank holding companies, banks or savings associations.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Affiliate Transactions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Various governmental requirements, including Sections 23A and 23B of the Federal Reserve Act and Regulation W promulgated thereunder limit borrowings by holding companies and non-bank subsidiaries from affiliated insured depository institutions, and also limit various other transactions between holding companies and their non-bank subsidiaries, on the one hand, and their affiliated insured depository institutions on the other. Section 23A of the Federal Reserve Act also generally requires that an insured depository institution's loans to its non-bank affiliates be secured, and Section 23B of the Federal Reserve Act generally requires that an insured depository institution's transactions with its non-bank affiliates be on arms-length terms.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Interstate Banking and Branching</w:t>
      </w:r>
    </w:p>
    <w:p>
      <w:pPr>
        <w:spacing w:after="0" w:line="8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Under the Riegle-Neal Interstate Banking and Branching Efficiency Act ("Riegle-Neal"), subject to certain concentration limits and other requirements, adequately capitalized bank holding companies such as the Company are permitted to acquire banks and bank holding companies located in any state. Any bank that is a subsidiary of a bank holding company is permitted to receive deposits, renew time deposits, close loans, service loans and receive loan payments as an agent for any other bank subsidiary of that bank holding company. Banks are permitted to acquire branch offices outside their home states by merging with out-of-state banks, purchasing branches in other states and establishing de novo branch offices in other states. The Company could from time to time use Riegle-Neal to acquire banks in additional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Acquisitions</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Change in Bank Control Act prohibits a person or group of persons from acquiring "control" of a bank holding company, unless the Federal Reserve Board has been notified and has not objected to the transaction. Under the rebuttable presumption established by the Federal Reserve Board, the acquisition of 10% or more of a class of voting stock of a bank holding company with a class of securities registered under Section 12 of the Exchange Act, such as the Company, would, under the circumstances set forth in the presumption, constitute acquisition of control of the bank holding company. In addition, a company is required to obtain the approval of the Federal Reserve Board under the Bank Holding Company Act before acquiring 25% (5% in the case of an acquirer that is a bank holding company) or more of any class of outstanding voting stock of a bank holding company, or otherwise obtaining control or a "controlling influence" over that bank holding company.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for Banking Subsidiaries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current Federal Reserve Board policy, a bank holding company is expected to act as a source of financial and managerial strength to each of its subsidiary banks and to maintain resources adequate to support each subsidiary bank. This support may be required at times when the bank holding company may not have the resources to provide it. In the event of a bank holding company's bankruptcy, any commitment by the bank holding company to a U.S. federal bank regulatory agency to maintain the capital of a subsidiary bank would be assumed by the bankruptcy trustee and entitled to priority of payment. Any depository institution insured by the FDIC can be held liable for any loss incurred, or reasonably expected to be incurred, by the FDIC in connection with (1) the "default" of a commonly controlled FDIC-insured depository institution; or (2) any assistance provided by the FDIC to both a commonly controlled FDIC-insured depository institution "in danger of default." The Bank is an FDIC-insured depository institution. If a default occurred with respect to the Bank, any capital loans to the Bank from its parent holding company would be subordinate in right of payment to payment of the Bank's depositors and certain of its other obligations.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Capital Requirements</w:t>
      </w:r>
    </w:p>
    <w:p>
      <w:pPr>
        <w:spacing w:after="0" w:line="83" w:lineRule="exact"/>
        <w:rPr>
          <w:sz w:val="20"/>
          <w:szCs w:val="20"/>
          <w:color w:val="auto"/>
        </w:rPr>
      </w:pPr>
    </w:p>
    <w:p>
      <w:pPr>
        <w:jc w:val="both"/>
        <w:spacing w:after="0" w:line="194" w:lineRule="exact"/>
        <w:rPr>
          <w:sz w:val="20"/>
          <w:szCs w:val="20"/>
          <w:color w:val="auto"/>
        </w:rPr>
      </w:pPr>
      <w:r>
        <w:rPr>
          <w:rFonts w:ascii="Arial" w:cs="Arial" w:eastAsia="Arial" w:hAnsi="Arial"/>
          <w:sz w:val="18"/>
          <w:szCs w:val="18"/>
          <w:color w:val="auto"/>
        </w:rPr>
        <w:t>The Company is required by the various regulatory authorities to maintain certain capital levels. Bank holding companies are required to maintain minimum levels of capital in accordance with Federal Reserve Board capital adequacy guidelines. If capital falls below minimum guideline levels, a bank holding company, among other things, may be denied approval to acquire or establish additional banks or non</w:t>
      </w:r>
      <w:r>
        <w:rPr>
          <w:rFonts w:ascii="MS PGothic" w:cs="MS PGothic" w:eastAsia="MS PGothic" w:hAnsi="MS PGothic"/>
          <w:sz w:val="18"/>
          <w:szCs w:val="18"/>
          <w:color w:val="auto"/>
        </w:rPr>
        <w:t>‑</w:t>
      </w:r>
      <w:r>
        <w:rPr>
          <w:rFonts w:ascii="Arial" w:cs="Arial" w:eastAsia="Arial" w:hAnsi="Arial"/>
          <w:sz w:val="18"/>
          <w:szCs w:val="18"/>
          <w:color w:val="auto"/>
        </w:rPr>
        <w:t>bank businesses. The required capital levels along with the Bank’s capital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6" w:name="page7"/>
    <w:bookmarkEnd w:id="6"/>
    <w:p>
      <w:pPr>
        <w:jc w:val="both"/>
        <w:spacing w:after="0" w:line="235" w:lineRule="auto"/>
        <w:rPr>
          <w:sz w:val="20"/>
          <w:szCs w:val="20"/>
          <w:color w:val="auto"/>
        </w:rPr>
      </w:pPr>
      <w:r>
        <w:rPr>
          <w:rFonts w:ascii="Arial" w:cs="Arial" w:eastAsia="Arial" w:hAnsi="Arial"/>
          <w:sz w:val="18"/>
          <w:szCs w:val="18"/>
          <w:color w:val="auto"/>
        </w:rPr>
        <w:t>position at December 31, 2019 and 2018 are summarized in the table included in Note 15 to the consolidated financial statements. Beginning in 2018, the consolidated amounts and ratios for the Company are no longer required.</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Beginning in 2015, the Company and Bank were required to measure capital adequacy using Basel III accounting. Basel III is a comprehensive set of reform measures, developed by the Basel Committee on Banking Supervision, to strengthen the regulation, supervision and risk management of the banking sector. Implementation of the rules will be overseen by the Federal Reserve, the FDIC and the OCC. Reporting under the new rules began with the March 2015 quarterly regulatory filings.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FDICIA</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Federal Deposit Insurance Corporation Improvement Act of 1991 ("FDICIA"), and the regulations promulgated under FDICIA, among other things, established five capital categories for insured depository institutions-well capitalized, adequately capitalized, undercapitalized, significantly undercapitalized and critically undercapitalized-and requires U.S. federal bank regulatory agencies to implement systems for "prompt corrective action" for insured depository institutions that do not meet minimum capital requirements based on these categories. Unless a bank is well capitalized, it is subject to restrictions on its ability to offer brokered deposits and on certain other aspects of its operations. An undercapitalized bank must develop a capital restoration plan and its parent bank holding company must guarantee the bank's compliance with the plan up to the lesser of 5% of the bank’s assets at the time it became undercapitalized and the amount needed to comply with the plan. As of December 31, 2019, the Bank was well capitalized pursuant to these prompt corrective action guidelines.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ability of the Company to obtain funds for the payment of dividends and for other cash requirements will be largely dependent on the amount of dividends which may be declared by its banking subsidiary, which are limited to the Bank’s retained earnings during the current year and its prior two years. Various U.S. federal statutory provisions limit the amount of dividends the Company's banking subsidiar</w:t>
      </w:r>
      <w:r>
        <w:rPr>
          <w:rFonts w:ascii="Arial" w:cs="Arial" w:eastAsia="Arial" w:hAnsi="Arial"/>
          <w:sz w:val="16"/>
          <w:szCs w:val="16"/>
          <w:b w:val="1"/>
          <w:bCs w:val="1"/>
          <w:color w:val="auto"/>
        </w:rPr>
        <w:t>y</w:t>
      </w:r>
      <w:r>
        <w:rPr>
          <w:rFonts w:ascii="Arial" w:cs="Arial" w:eastAsia="Arial" w:hAnsi="Arial"/>
          <w:sz w:val="16"/>
          <w:szCs w:val="16"/>
          <w:color w:val="auto"/>
        </w:rPr>
        <w:t xml:space="preserve"> can pay to the Company without regulatory approval. In 2009, The Board of Governors of the Federal Reserve Division of Banking Supervision and Regulation issued SR09-4 regarding the safe and sound payment of dividends by bank holding companies. See Note 16 to the consolidated financial statements for additional information on applicable dividend restrictions.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 Insurance Assessments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deposits of the Bank are insured up to the regulatory limits set by the FDIC. The FDIC maintains the Deposit Insurance fund (“DIF”) by assessing depository institutions an insurance premium (assessment). The amount assessed to each institution is based on statutory factors that take into consideration the degree of risk the institution poses to the DIF. The primary purposes of the DIF are to (1) insure the deposits and protect the depositors of insured depository institutions; and (2) resolve failed banks. The DIF is primarily funded through quarterly assessments on insured depository institutions, but it also earns interest income on its securities. Decreases in the DIF result from loss provisions associated with the resolution of failed banks and FDIC operating expenses.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Dodd-Frank Wall Street Reform and Consumer Protection Act of 2010 (“Dodd-Frank Act”) revised the statutory authorities governing the FDIC’s management of the DIF. A key requirement from the Dodd-Frank Act resulted in the FDIC’s adoption of new rules in February 2011 regarding Assessments, Dividends, Assessment Base, and Large Bank Pricing. The new rules implemented the following changes: (1) redefined the definition of an institution’s deposit insurance assessment base from one based on domestic deposits to one based on assets now defined as “average consolidated total assets minus average tangible equity”; (2) changed the assessment rate adjustments to better account for risk based on an institution’s funding sources; (3) revised the deposit insurance assessment rate schedule in light of the new assessment base and assessment rate adjustments; (4) implemented Dodd-Frank Act dividend provisions; (5) revised the large insured depository institution assessment system to better differentiate for risk and to take into account losses the FDIC may incur from large institution failures; and (6) provided technical and other changes to the FDIC’s assessment rules. Though deposit insurance assessments maintain a risk-based approach, the FDIC imposed a more extensive risk-based assessment system on large insured depository institutions with at least $10 billion in total assets since they are more complex in nature and could pose greater risk. The rules became effective April 1, 2011 implementing the revised assessment rate schedule for the quarter beginning April 1, 2011. The revised assessment rate schedule was used to calculate the June 30, 2011 assessments which were due September 30, 2011 and subsequent quarterly assessments thereafter. Due to the changes to the assessment base and assessment rates, as well as the DIF restoration time frame, the impact on the Company’s future deposit insurance assessments has been and should continue to be favorable.</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Dodd-Frank Act permanently raised the standard maximum deposit insurance coverage amount to $250,000 and applies per depositor, per insured depository institution for each account ownership category.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Depositor Preference Statute</w:t>
      </w:r>
    </w:p>
    <w:p>
      <w:pPr>
        <w:spacing w:after="0" w:line="8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the "liquidation or other resolution" of an institution by any receiver, U.S. federal legislation provides that deposits and certain claims for administrative expenses and employee compensation against the insured depository institution would be afforded a priority over general unsecured claims against that institution, including federal funds and letters of credit.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Monetary Policy</w:t>
      </w:r>
    </w:p>
    <w:p>
      <w:pPr>
        <w:spacing w:after="0" w:line="8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earnings of the Company are affected primarily by general economic conditions and to a lesser extent by the fiscal and monetary policies of the federal government and its agencies, particularly the Federal Reserve. Its policies influence, to some degree, the volume of bank loans and deposits, and interest rates charged and paid thereon, and thus have an effect on the earnings of the Company's subsidiary Bank.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Regulation</w:t>
      </w:r>
    </w:p>
    <w:p>
      <w:pPr>
        <w:spacing w:after="0" w:line="8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Provisions of the Dodd-Frank Act have resulted in additional rulemaking by the federal regulatory agencies and new rules yet to be issued. Implementing the new and expanded regulations involved extreme diligence to ensure compliance with the complexities of the rules, as well as extensive new disclosure and reporting requirements.</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Dodd-Frank Act created an independent regulatory body, the Bureau of Consumer Financial Protection (“Bureau”), with authority and responsibility to set rules and regulations for most consumer protection laws applicable to all banks – large and small - adds another regulator to scrutinize and police financial activities. Transfer to the Bureau of all consumer financial protection functions for designated laws by the other federal agencies was completed in July 2011.</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Bureau was given responsibility for mortgage reform and enforcement, as well as broad new powers over consumer financial activities, including consumer financial products and services and how they are provided.</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accordance with the Gramm-Leach-Bliley Financial Modernization Act of 1999 (the “GLB Act”), federal banking regulators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6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 major focus of governmental policy on financial institutions has been aimed at combating money laundering and terrorist financing. The USA PATRIOT Act of 2001 (the “USA Patriot Act”) substantially broadened the scope of United States anti-money laundering laws and regulations by imposing significant new compliance and due diligence obligations, creating new crimes and penalties and expanding the extra-territorial jurisdiction of the United States. The U. S. Treasury Department has issued a number of regulations that apply various requirements of the USA Patriot Act to financial institutions such as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money laundering and terrorist financing, or to comply with all of the relevant laws or regulations, could have serious legal and reputational consequences for the institution.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Significant mortgage rules mandated by the Dodd-Frank Act provisions were enacted in response to the breakdown in the mortgage lending markets and to provide for consumer protections. Final rules issued by the Bureau or jointly with other regulatory agencies implemented requirements under the Dodd-Frank Act regarding mortgage-related matters such as ability-to-repay, qualified mortgage standards, mortgage servicing, mortgage loan originator compensation, escrow requirements for higher-priced mortgage loans, and providing appraisals. These new mortgage rules, effective in January 2014, addressed problems consumers faced in the three major steps in buying a home – shopping for a mortgage, closing on a mortgage, and paying off a mortgage.</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Final rules and amendments to the integrated mortgage disclosure rules under the Real Estate Settlement Act (RESPA) and Truth in Lending Act (TILA) became effective in October 2015. The TILA-RESPA Integrated Disclosure rule commonly referred to as TRID combined required disclosures into two single forms: 1) The Loan Estimate which is provided shortly after a mortgage loan application and 2) The Closing Disclosure which is provided prior to loan consummation. In addition, a mandated appraisal notice under the Equal Credit Opportunity Act and the servicing application disclosure under RESPA were also combined into the new integrated disclosures. Process and procedural adjustments were necessary to appropriately implement the new requirements. Implementation to achieve TRID compliance involved extensive collaboration with the Mortgage Loan Origination software vendor, as well as outreach and coordination efforts with real estate agents, attorneys, and closing agents to cultivate preparedness for the new integrated mortgage loan disclosure forms. Amendments to the TRID rules effective in October 2017 with a mandatory compliance in October 2018 were intended to provide further clarity to certain provisions. Remaining attentive to the complexities of the TRID rules will ensure practices and procedures remain compliant and not subject the Bank to unnecessary liability.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8" w:name="page9"/>
    <w:bookmarkEnd w:id="8"/>
    <w:p>
      <w:pPr>
        <w:jc w:val="both"/>
        <w:spacing w:after="0" w:line="250" w:lineRule="auto"/>
        <w:rPr>
          <w:sz w:val="20"/>
          <w:szCs w:val="20"/>
          <w:color w:val="auto"/>
        </w:rPr>
      </w:pPr>
      <w:r>
        <w:rPr>
          <w:rFonts w:ascii="Arial" w:cs="Arial" w:eastAsia="Arial" w:hAnsi="Arial"/>
          <w:sz w:val="16"/>
          <w:szCs w:val="16"/>
          <w:color w:val="auto"/>
        </w:rPr>
        <w:t>Final rules, mostly effective in October 2015, were issued by the Board of Governors of the Federal Reserve System (FRB), the Farm Credit Administration, the Federal Deposit Insurance Corporation (FDIC), the National Credit Union Administration (NCUA), and the Office of the Comptroller of the Currency (OCC) to implement provisions of the Homeowner Flood Insurance Affordability Act of 2014 (HFIAA) and the Biggert-Waters Flood Insurance Reform Act of 2012 (the Biggert-Waters Act). These provisions amended regulations which apply to loans secured by properties located in special flood hazard areas. Final rules for acceptance of private flood insurance policies became effective on July 1, 2019. Fines and penalties continue to be assessed by regulators for non-compliance with flood insurance requirements promote a continued focus on adherence to the flood rules and requirements.</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Department of Defense (DOD) rules amending its regulation that implements the Military Lending Act (MLA) became effective in October 2016. The MLA enacted as part of the John Warner National Defense Act of 2007, significantly expanded the scope of the Act to cover all consumer credit except residential mortgages and purchase money loans. Compliance requirements for credit cards became effective in October 2017. Coverage applies to consumer credit defined as “credit offered or extended for personal, family, or household purpose and that is subject to a finance charge or payable by written agreement in more than four installments.” A covered borrower is a consumer who at the time of becoming obligated on a consumer credit transaction or establishing an account for consumer credit, is a covered member or dependent (including a spouse) of a covered member. A covered member is a member of the armed forces serving on active duty or active guard or reserve duty.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Providing a loan to a MLA-covered borrower that exceeds the 36% Military Annual Percentage Rate is prohibited. Any covered loans made without providing proper disclosures or in violation of the MLA is void. Creditors who knowingly or willfully violate the rules could be subject to a fine, imprisonment up to one year or both. Reliance on and collaboration with Loan Origination System vendors for assistance with calculations and required disclosures along with an efficient and effective process for identifying covered borrowers remains the best defense to prevent violations.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TILA Ability to Repay requirements, the Bank meets the criteria to qualify as a small creditor based on the number of first-lien mortgage loans transactions and due to its asset size; however it is not a creditor that operates predominantly in rural or underserved areas as it did not extend more than 50% of its total first-lien covered transactions in rural or underserved areas. The Bank focuses on Qualified Mortgage (QM) status for mortgage loans originated as they provide certain presumptions of compliance under the Ability to Repay rules adopted under the Dodd-Frank Act. In satisfying QM requirements, any mortgage lender regardless of their size can make loans which are entitled to the QM presumption of compliance.</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Revised Regulation C rules which implement the Home Mortgage Disclosure Act (HMDA) published by the Bureau become effective on January 1, 2018 for reportable loan applications. Dodd-Frank Act provisions added new data points for HMDA and authorized the Bureau to require additional information. The types of transactions reportable have expanded to include most consumer purpose transactions that are dwelling-secured loans or open-end lines of credit. Reportable data points were significantly expanded to 52 fields which included applicant age, credit score, automated underwriting system information, property value, application channel, points and fees, borrower-paid origination charges, discount points, lender credits, loan term, prepayment penalty, interest rate, loan originator identifier, as well as other data fields. Ethnicity categories were expanded to include certain subcategories along with a means to capture information on how an applicant’s or borrower’s ethnicity, race, and sex were collected by the institution. A thorough review and validation of data fields to be reported for each application was conducted throughout the year. Year-end submission of data to be reported will utilize the web-based tool developed by the Bureau.</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Enactment of the Economic Growth, Regulatory Relief and Consumer Protection Act (EGRRCPA) on May 24, 2018, resulted in a regulatory reform law deemed to be relief from certain burdensome provisions of the Dodd-Frank Act. The EGRRCPA included provisions with various effective dates, including some that were effective immediately. Matters impacted included access to mortgage credit; access to credit; protections for veterans, consumers, and homeowners; rules for holding companies; capital access; and protections for student borrowers. Though effective immediately, conforming regulations were required for certain provisions such as Reciprocal Deposits, Examination Cycles, and High Volatility Commercial Real Estate (HVCRE). The Protecting Tenants in Foreclosure Act was restored and permanently extended as of June 23, 2018. An interim final rule was jointly issued by the OCC, FRB, and FDIC allowing an extended examination cycle for qualifying insured depository institutions with less than $3 billion in total assets. Effective September 21, 2018, consumers could freeze their credit information and place one-year fraud alerts for free. Additionally, parents can freeze the credit information of their children under age 16 for free. In many instances, regulators still need to issue proposals, provide guidance, and publish final rules for various provisions. Thus, issuance of guidance and final rules must be monitored in order to be effectively implemented.</w:t>
      </w:r>
    </w:p>
    <w:p>
      <w:pPr>
        <w:spacing w:after="0" w:line="16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Unfair or deceptive acts or practices (UDAP) standards originally developed years ago by the Federal Trade Commission focused on unacceptable practices that may not specifically be addressed elsewhere in banking or consumer finance law. Banking regulatory agencies have increasingly used this authority over the years to address acts or practices that are deemed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9" w:name="page10"/>
    <w:bookmarkEnd w:id="9"/>
    <w:p>
      <w:pPr>
        <w:jc w:val="both"/>
        <w:spacing w:after="0" w:line="250" w:lineRule="auto"/>
        <w:rPr>
          <w:sz w:val="20"/>
          <w:szCs w:val="20"/>
          <w:color w:val="auto"/>
        </w:rPr>
      </w:pPr>
      <w:r>
        <w:rPr>
          <w:rFonts w:ascii="Arial" w:cs="Arial" w:eastAsia="Arial" w:hAnsi="Arial"/>
          <w:sz w:val="16"/>
          <w:szCs w:val="16"/>
          <w:color w:val="auto"/>
        </w:rPr>
        <w:t>harmful, deceptive, or misleading to consumers. The authority of the Federal Trade Commission (FTC) for credit practice rules was repealed as a result of the Dodd-Frank Act. Guidance issued collectively by the FDIC, FRB, the Bureau, NCUA, and OCC in August 2014 clearly indicated certain consumer credit practices were not permissible and remained subject to Section 5 of the Federal Trade Commission Act, as well as Sections 1031 and 1036 of the Dodd-Frank Act. The interagency guidance further noted that the Agencies will continue to have supervisory authority and enforcement authority for unfair or deceptive acts or practices, which could include those practices previously addressed in the former credit practices rules. Awareness of UDAP standards, in relation to the offering and marketing of Bank products and services remains important.</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Bank is also subject to federal regulation relating to such matters as required reserves, limitation as to the nature and amount of its loans and investments, regulatory approval of any merger or consolidation, issuance or retirement of their own securities, limitations upon the payment of dividends and other aspects of banking operations. In addition, the activities and operations of the Bank are subject to numerous additional detailed, complex and sometimes overlapping laws and regulations. These include state usury and consumer credit laws, state laws relating to fiduciaries, the federal Equal Credit Opportunity Act and Regulation B, the federal Electronic Funds Transfer Act and Regulation E, the federal Fair Credit Reporting Act and Regulation V, the federal Real Estate Settlement Procedures Act (RESPA) and Regulation X, the federal Truth in Lending Act and Regulation Z, the federal Truth in Savings Act and Regulation DD, the Bank Secrecy Act, the federal Community Reinvestment Act, anti-discrimination laws and legislation, and antitrust laws.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Legislation</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Changes to the laws and regulations, both at the federal and state levels, can affect the operating environment of the Company and its subsidiaries in substantial and unpredictable ways. The Company cannot accurately predict whether those changes in laws and regulations will occur, and, if those changes occur, the ultimate effect they would have upon the financial condition or results of operations of the Company or its subsidiaries.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Company maintains an Internet web site at the following internet address: www.fm.bank. The Company files reports with the Securities and Exchange Commission (SEC). Because the Company makes its filing with the SEC electronically, you may access such reports at the SEC’s website (www.sec.gov). The Company makes available, free of charge through its internet address, copies of its annual report on Form 10-K, quarterly reports on Form 10-Q, current reports on Form 8-K, and any amendments to these reports as soon as reasonably practicable after such materials have been filed with or furnished to the SEC. Copies of these documents may also be obtained, either in electronic or paper form, by contacting Barbara J. Britenriker, Chief Financial Officer of the Company at (419) 446-2501.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Competition from an Array of Financial Service Providers</w:t>
      </w:r>
    </w:p>
    <w:p>
      <w:pPr>
        <w:spacing w:after="0" w:line="8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Our ability to achieve strong financial performance and a satisfactory return on investment to shareholders will depend in part on our ability to expand our available financial services. In addition to the challenge of attracting and retaining customers for traditional banking services, our competitors now include securities dealers, brokers, mortgage bankers, investment advisors and finance and insurance companies who seek to offer one-stop financial services to their customers that may include services that banks have not been able or allowed to offer to their customers in the past. The increasingly competitive environment is a result primarily of changes in regulation, changes in technology and product delivery systems and the accelerating pace of consolidation among financial services providers. If we fail to adequately address each of the competitive pressures in the banking industry, our financial condition and results of operations could be adversely affected.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risk of nonpayment of loans is inherent in commercial banking. Such nonpayment could have an adverse effect on the Company’s earnings and our overall financial condition as well as the value of our common stock. Management attempts to reduce the Bank’s credit exposure by carefully monitoring the concentration of its loans within specific industries and through the loan approval process. However, there can be no assurance that such monitoring and procedures will totally mitigate the risks. Credit losses can cause insolvency and failure of a financial institution and, in such event, its shareholders could lose their entire investment. For more information on the exposure of the Company and the Bank to credit risk, see the section under Part II, Item 7 of this Form 10-K captioned “Loan Portfolio.”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upon the Accuracy and Completeness of Information</w:t>
      </w:r>
    </w:p>
    <w:p>
      <w:pPr>
        <w:spacing w:after="0" w:line="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deciding whether to extend credit or enter into other transactions with customers and counterparties, we may rely on information furnished by or on behalf of customers and counterparties, including financial statements and other financial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0" w:name="page11"/>
    <w:bookmarkEnd w:id="10"/>
    <w:p>
      <w:pPr>
        <w:jc w:val="both"/>
        <w:spacing w:after="0" w:line="265" w:lineRule="auto"/>
        <w:rPr>
          <w:sz w:val="20"/>
          <w:szCs w:val="20"/>
          <w:color w:val="auto"/>
        </w:rPr>
      </w:pPr>
      <w:r>
        <w:rPr>
          <w:rFonts w:ascii="Arial" w:cs="Arial" w:eastAsia="Arial" w:hAnsi="Arial"/>
          <w:sz w:val="16"/>
          <w:szCs w:val="16"/>
          <w:color w:val="auto"/>
        </w:rPr>
        <w:t>information. We also may rely on representations of clients and counterparties as to the accuracy and completeness of that information and, with respect to financial statements, on reports of independent auditors and accountants if made available. If this information is inaccurate, we may be subject to regulatory action, reputational harm or other adverse effects with respect to the operation of our business, our financial condition and our results of operation.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loan portfolio has a large concentration of real estate loans</w:t>
      </w:r>
    </w:p>
    <w:p>
      <w:pPr>
        <w:spacing w:after="0" w:line="8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Real estate loans, which constitute a large portion of our loan portfolio, include home equity, agricultural, commercial, construction and residential loans, and such loans are concentrated in the Bank’s primary markets in northwest Ohio and Northeast Indiana. The market value of real estate can fluctuate significantly in a short period of time as a result of market conditions in the geographic area in which the real estate is located. Adverse developments affecting real estate values in our market could increase the credit risk associated with our loan portfolio. Also, real estate lending typically involves higher loan principal amounts and the repayment of the loans generally is dependent, in large part, on sufficient income from the properties securing the loans to cover operating expenses and debt service. Economic events or governmental regulations outside of the control of the borrower could negatively impact the future cash flow and market values of the affected properties.</w:t>
      </w:r>
    </w:p>
    <w:p>
      <w:pPr>
        <w:spacing w:after="0" w:line="15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If the loans that are collateralized by real estate become troubled during a time when market conditions are declining or have declined, then we may not be able to realize the amount of security that we anticipated at the time of originating the loan, which could cause us to increase our provision for loan losses and adversely affect our operating results and financial condition.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real estate loans also include construction loans, including land acquisition and development. Construction, land acquisition and development lending involve additional risks because funds are advanced based upon estimates of costs and the estimated value of the completed project. Because of the uncertainties inherent in estimating construction costs, as well as the market value of the completed project and the effects of governmental regulation on real property, it is relatively difficult to evaluate accurately the total funds required to complete a project and the related loan-to-value ratio. As a result, commercial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we may have inadequate security for the repayment of the loan upon completion of construction of the project.</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Payments on agricultural real estate loans are dependent on the profitable operation or management of the farm property securing the loan. The success of the farm may be affected by many factors outside the control of the borrower, including adverse weather conditions that prevent the planting of a crop or limit crop yields (such as hail, drought and floods), loss of livestock due to disease or other factors, declines in market prices for agricultural products (both domestically and internationally) and the impact of government regulations (including changes in price supports, subsidies and environmental regulations). In addition, many farms are dependent on a limited number of key individuals whose injury or death may significantly affect the successful operation of the farm. If the cash flow from a farming operation is diminished, the borrower’s ability to repay the loan may be impaired. The primary crops in our market areas are corn, wheat and soybeans. Accordingly, adverse circumstances affecting these crops could have an adverse effect on our agricultural real estate loan portfolio.</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loans make up a significant portion of our loan portfolio</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commercial loans are primarily made based on the identified cash flow of the borrower and secondarily on the underlying collateral provided by the borrower. Repayment of our commercial loans is often dependent on the cash flows of the borrower, which may be unpredictable. Most often, this collateral is accounts receivable, inventory, machinery or real estate. In the case of loans secured by accounts receivable, the availability of funds for the repayment of these loans may be substantially dependent on the ability of the borrower to collect amounts due from its customers. The other types of collateral securing these loans may depreciate over time, may be difficult to appraise and may fluctuate in value based on the success of the business.</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We also originate agricultural operating loans. As with agricultural real estate loans, the repayment of operating loans is dependent on the successful operation or management of the farm property. Likewise, agricultural operating loans involve a greater degree of risk than lending on residential properties, particularly in the case of loans that are unsecured or secured by rapidly depreciating assets such as farm equipment or assets such as livestock or crops. The primary livestock in our market areas is hogs. In these cases, any repossessed collateral for a defaulted loan may not provide an adequate source of repayment of the outstanding loan balance as a result of the greater likelihood of damage, loss or depreciation. The majority of our agricultural customers utilize crop insurance to mitigate the possibility of a large loss within one year on their grain operations. Crop insurance can be structured to be triggered by different factors and claim payment may also be customized, such as based on harvest yields, income generation. Farmers may also use hedging techniques to lock in crop prices, input costs for future production.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Susceptibility to Changes in Regulation</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Any changes to state and federal banking laws and regulations may negatively impact our ability to expand services and to increase the value of our business. We are subject to extensive state and federal regulation, supervision, and legislation that govern almost all aspects of our operations. These laws may change from time to time and are primarily intended for the protection of consumers, depositors and the deposit insurance funds. In addition, the Company’s earnings are affected by the monetary policies of the Board of Governors of the Federal Reserve. These policies, which include regulating the national supply of bank reserves and bank credit, can have a major effect upon the source and cost of funds and the rates of return earned on loans and investments. The Federal Reserve influences the size and distribution of bank reserves through its open market operations and changes in cash reserve requirements against member bank deposits. We cannot predict what effect any presently contemplated or future changes in the laws or regulations or their interpretations would have on us, but such changes could be materially adverse to our financial performance. For more information on this subject, see the section under Part I, Item 1 of this Form 10-K captioned “Supervision and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Trade Policies</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Throughout 2018 and 2019, the U.S. government implemented tariffs on certain products from countries or entities such as Mexico, Canada, China and the European Union. These countries have issued or continue to threaten retaliatory tariffs against products from the United States, including agricultural products. The United States and these countries may impose additional tariffs and retaliatory tariffs in the future. Tariffs, retaliatory tariffs or other trade restrictions on products and materials that our customers import or export, including agricultural products such as soybeans, could cause the prices of our customers’ products to increase which could reduce demand for such products, or reduce our customer margins, and adversely impact their revenues, financial results and ability to service debt. This could adversely affect our financial condition and results of operations. In addition, to the extent changes in the political environment have a negative impact on us or on the markets in which we operate, our business, results of operations and financial condition could be materially and adversely impacted in the future. In January 2020, passage of the United States-Mexico-Canada (USMCA) trade agreement helped to alleviate some of these risks. The USMCA updates trading rules to better reflect 21st century technology, regulates labor and environmental standards in Mexico, tightens the rules the auto industry must follow to trade vehicles duty free across the three countries and provides tariff-free trade in North America.</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Changes in interest rates affect our operating performance and financial condition in diverse ways. Our profitability depends in substantial part on our “net interest spread,” which is the difference between the rates we receive on loans and investments and the rates we pay for deposits and other sources of funds. Our net interest spread will depend on many factors that are partly or entirely outside our control, including competition, federal economic, monetary and fiscal policies, and economic conditions generally. Historically, net interest spreads for other financial institutions have widened and narrowed in response to these and other factors, which are often collectively referred to as “interest rate risk.” After many years of a low and flat rate environment, the Federal Reserve began increasing the Federal Funds rate in 2015 and began decreasing the rate in the second half of 2019. The Company did not experience improvement in its asset yield on loans until such time that the rate increases enabled the loan rates to rise above the floors which had been on the majority of the variable rate loans. During 2017, the increasing rates having reached over 100 basis points, triggered rate changes above the floors and the Company experienced improvement in the interest spread. The improvement in the net interest spread during 2017 through 2019 directly correlated to the improvement of the Bank’s loan to asset ratio.</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Bank manages interest rate risk within an overall asset/liability framework. The principal objectives of asset/liability management are to manage sensitivity of net interest spreads and net interest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For more information regarding the Company’s exposure to interest rate risk, see Part II, Item 7A of this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Attraction and Retention of Key Personnel</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success depends upon the continued service of our senior management team and upon our ability to attract and retain qualified financial services personnel. Competition for qualified employees is intense. In our experience, it can take a significant period of time to identify and hire personnel with the combination of skills and attributes required in carrying out our strategy. If we lose the services of our key personnel or are unable to attract additional qualified personnel, our business, financial condition, results of operations and cash flows could be adversely affected.</w:t>
      </w:r>
    </w:p>
    <w:p>
      <w:pPr>
        <w:spacing w:after="0" w:line="16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 key component of employee retention is providing a fair compensation base combined with the opportunity for additional compensation for above average performance. In this regard, the Company and the Bank use two incentive programs. The Company uses a stock award program to recognize and incentivize officers of the Bank. Under the long-term incentive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24" w:right="239" w:bottom="1440" w:gutter="0" w:footer="0" w:header="0"/>
        </w:sectPr>
      </w:pPr>
    </w:p>
    <w:bookmarkStart w:id="12" w:name="page13"/>
    <w:bookmarkEnd w:id="12"/>
    <w:p>
      <w:pPr>
        <w:jc w:val="both"/>
        <w:spacing w:after="0" w:line="253" w:lineRule="auto"/>
        <w:rPr>
          <w:sz w:val="20"/>
          <w:szCs w:val="20"/>
          <w:color w:val="auto"/>
        </w:rPr>
      </w:pPr>
      <w:r>
        <w:rPr>
          <w:rFonts w:ascii="Arial" w:cs="Arial" w:eastAsia="Arial" w:hAnsi="Arial"/>
          <w:sz w:val="16"/>
          <w:szCs w:val="16"/>
          <w:color w:val="auto"/>
        </w:rPr>
        <w:t>compensation plan, restricted stock awards may be granted to officers. The amount of shares to be granted each year is determined by the Board Compensation Committee and may vary each year in its amount of shares and the number of recipients. The Compensation Committee determines the number of shares to be awarded overall and to the Chief Executive Officer (“CEO”) specifically. The CEO then makes recommendations to the committee as to the recipients of the remaining shares. The full Board of Directors approves the action of the Committee. Since the plan’s inception in 2005, all granted stock awards have utilized a three year cliff vesting feature. This is viewed as a retention aid as the awards may be forfeited should an officer leave employment during the vesting period.</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second incentive program of the Bank is based on cash compensation of which almost all employees participate (excluding commission based employees and other employees paid for specific higher paid positions, such as peak time). A discussion of executive officer pay is incorporated within the proxy and as such, this discussion will pertain to all other employees. Non-officer employees are paid a cash incentive based on the projected overall performance of the Bank in terms of Return of Average Assets (“ROA”). The Compensation Committee determines the target performance levels on which the percentage of pay will be based. The Committee takes into account the five and ten year trend of ROA along with budget forecasted for the next year and the Bank’s past year performance. The Committee also considers the predicted banking environment under which the Bank will be operating. With the formation of the Captive, the ROA goal has been exclusive of the effect of the additional insurance expense at the Bank level. Non-officers receive incentive pay in December of the same year based on the year-to-date base compensation through the last pay received in November.</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Officers, other than executive officers, receive incentive pay based on additional criterion. The officers are rewarded based on overall ROA of the Bank along with individual pre-established goals. Officers, therefore, have incentive pay at risk for individual performance. The individualized goals are recommended by each officer’s supervisor and are approved by an incentive committee of the Bank. The goals are designed to improve the performance of the Bank while also limiting the risk of a short-term performance focus. For example, a lending officer may be given two goals of which one is to grow loans within specific targets and another is tied to a specific level of past dues and charge-offs. The second goal limits the ability to be rewarded for growth at all costs along with the specific target levels within the growth goal itself. Officers in a support department may be given goals which create efficiencies, ensure compliance with procedures, or generate new fee or product opportunities. On average, three to four goals were given to each officer in 2019. Officers are paid cash incentives based on the year-end ROA of the Bank and receive it within the first quarter of the following year. Should the ROA be forecasted to be positive but below the base target set by the Board, the officers are paid an incentive under the same basis and timing as non-officers disclosed above.</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percentages of base pay on which the incentive is calculated graduates higher as does the responsibility level of the employee and their ability to impact the financial performance of the Bank. These percentages are recommended by management to the Compensation Committee and Board for approval. The cash incentive plan along with its targets and goals are subject to modification at the Compensation Committee and Board’s discretion throughout each 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Payout Restrictions</w:t>
      </w:r>
    </w:p>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currently pay a quarterly dividend on our common shares. However, there is no assurance that we will be able to pay dividends in the future. Dividends are subject to determination and declaration by our Board of Directors, which takes into account many factors. The declaration of dividends by us on our common stock is subject to the discretion of our Board and to applicable state and federal regulatory limitations. The Company may receive dividends from the Bank which is subject to restrictions and limitations in the amount and timing of the dividends it may pay to the Company. The Bank has been declaring additional dividends each quarter to provide this liquidity to the Company. The Captive also upstreams dividends to the Company when reserve levels are adequately provided for and may not exceed the net income of the prior twelve months.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Maintaining Compliance with Regulatory Capital Requirements</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regulatory capital adequacy guidelines, we must meet guidelines that involve quantitative measures of assets, liabilities and certain off-balance sheet items. Failure to meet minimum capital requirements could have a material effect on our financial condition and could subject us to a variety of enforcement actions, as well as certain restrictions on our business. Failure to maintain the status of “well-capitalized” under the regulatory framework could adversely affect the confidence that our customers have in us, which may lead to a decline in the demand for or a reduction in the prices that we are able to charge for our products and services. Failure to meet the guidelines could also limit our access to liquidity 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New Capital</w:t>
      </w:r>
    </w:p>
    <w:p>
      <w:pPr>
        <w:spacing w:after="0" w:line="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may at some point need to raise additional capital to maintain our “well-capitalized” status. Any capital we obtain may result in the dilution of the interests of existing holders of our stock. Our ability to raise additional capital, if needed, will depend on conditions in the capital markets at that time, which are outside our control, and on our financial condition and performance. Accordingly, we cannot make assurances of our ability to raise additional capital if needed, or if the terms will be acceptable to 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Anti-Takeover Provisions</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Provisions of our Articles of Incorporation and Ohio law could have the effect of discouraging takeover attempts which certain stockholders might deem to be in their interest. These anti-takeover provisions may make us a less attractive target for a takeover bid or merger, potentially depriving shareholders of an opportunity to sell their shares of common stock at a premium over prevailing market prices as a result of a takeover bid or merger.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Laws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 significant portion of our loan portfolio is secured by real property. We may foreclose on and take title to certain real property. There is a risk that hazardous substances could be found on the property and we may be liable for remediation costs, personal injury and/or property damage. We may incur substantial expenses to comply with environmental laws which may materially reduce the property's value or limit our ability to dispose of the property. The remediation costs and any other financial liabilities associated with the property could have a material adverse effect on our financial condition and results of operations.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Change</w:t>
      </w:r>
    </w:p>
    <w:p>
      <w:pPr>
        <w:spacing w:after="0" w:line="8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Our industry is susceptible to significant technological changes in the future as there continue to be a high level of new technology driven products and services introduced. Technological advancement aids the Company in providing customer service and increases efficiency. Our national competitors have more resources to invest in technological changes and associated required resources. As a result, they may be able to offer products and services that are more technologically advanced and that may put us at a competitive disadvantage. Our future depends on our ability to analyze technological changes to determine the best course of action for our business, customers and shareholders.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subject to certain operational risks, including, but not limited to, data processing system failures and errors, customer or employee fraud and catastrophic failures resulting from terrorist acts or natural disasters. We maintain a system of internal controls to mitigate against such occurrences and maintain insurance coverage for such risks that are insurable, but should such an event occur that is not prevented or detected by our internal controls, uninsured or in excess of applicable insurance limits, it could have a significant adverse impact on our business, financial condition or results of operations.</w:t>
      </w:r>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operations are dependent on our ability to process financial transactions in a secure manner. Failure in or breach of our operational or security systems or infrastructure, or those of our third-party vendors and other service providers, could disrupt our business or the businesses of our customers, result in the disclosure or misuse of confidential or proprietary information, damage our reputation, increase our costs and cause losses. We must ensure that information is properly protected from a variety of threats such as cyber attacks, error, fraud, sabotage, terrorism, industrial espionage, privacy violation, service interruption, and natural disaster. These threats arise from numerous sources including human error, fraud on the part of employees or third parties, technological failure, telecommunication outages, and severe weather conditions. Information security risks for financial institutions like us have increased recently in part because of new technologies, the increased use of the internet and telecommunications technologies (including mobile devices and cloud computing) to conduct financial and other business transactions, political activism, and the increased sophistication and activities of organized crime. Although we employ detection and response mechanisms designed to contain and mitigate security incidents, early detection may be thwarted by persistent sophisticated attacks and malware designed to avoid detection.</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also face risks related to cyber attacks and other security breaches in connection with card transactions that typically involve the transmission of sensitive information regarding our customers through various third parties. Some of these parties have in the past been the target of security breaches and cyber attacks, and because the transactions involve third parties and environments that we do not control or secure, future security breaches or cyber attacks affecting any of these third parties could impact us through no fault of our own, and in some cases we may have exposure and suffer losses for breaches or attacks relating to them. We also rely on numerous other third party service providers to conduct other aspects of our business operations and face similar risks relating to them. While we conduct security assessments on our higher risk third party service providers, we cannot be sure that their information security protocols are sufficient to withstand a cyber attack or other security breach. There can be no assurance that cyber incidents will not occur and they could occur more frequently and on a more significant scale.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devote significant resources to implement, maintain, monitor and regularly upgrade our systems and networks with measures such as intrusion detection and prevention and firewalls to safeguard critical business applications. The additional cost to the Company of our cyber security monitoring and protection systems and controls includes the cost of hardware and software, third party technology providers, consulting, and legal fees, in addition to the incremental cost of our personnel who focus a substantial portion of their responsibilities on cyber security. In addition, because cyber attacks can change frequently we may be unable to implement effective preventive or proactive measures in time. With the assistance of third-party service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24" w:right="239" w:bottom="1440" w:gutter="0" w:footer="0" w:header="0"/>
        </w:sectPr>
      </w:pPr>
    </w:p>
    <w:bookmarkStart w:id="14" w:name="page15"/>
    <w:bookmarkEnd w:id="14"/>
    <w:p>
      <w:pPr>
        <w:jc w:val="both"/>
        <w:spacing w:after="0" w:line="228" w:lineRule="auto"/>
        <w:rPr>
          <w:sz w:val="20"/>
          <w:szCs w:val="20"/>
          <w:color w:val="auto"/>
        </w:rPr>
      </w:pPr>
      <w:r>
        <w:rPr>
          <w:rFonts w:ascii="Arial" w:cs="Arial" w:eastAsia="Arial" w:hAnsi="Arial"/>
          <w:sz w:val="18"/>
          <w:szCs w:val="18"/>
          <w:color w:val="auto"/>
        </w:rPr>
        <w:t>providers, we intend to continue to implement security technology and establish procedures to maintain network security, but there is no assurance that these measures will be successful. As cyber threats continue to evolve, we may be required to expend significant additional resources to continue to modify or enhance our protective measures or to investigate and remediate any information security vulnerabilities.</w:t>
      </w:r>
    </w:p>
    <w:p>
      <w:pPr>
        <w:spacing w:after="0" w:line="17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Any activity that jeopardizes our network and the security of the information stored thereon may result in significant cost and have a significant adverse effect on our reputation. We maintain insurance coverage that may, subject to policy terms and conditions, cover certain aspects of cyber risks. Such insurance coverage may be insufficient to cover all losses.</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Any successful cyber attack or other security breach involving the misappropriation or other unauthorized disclosure of confidential customer information or that compromises our ability to function could severely damage our reputation, erode confidence in the security of our systems, products and services, expose us to the risk of litigation and liability, disrupt our operations and have a material adverse effect on our business. Any successful cyber attack may also subject the Company to regulatory investigations, litigation or enforcement, or require the payment of regulatory fines or penalties or undertaking costly remediation efforts with respect to third parties affected by a cyber security incident, all or any of which could adversely affect the Company’s business, financial condition or results of operations and damage its reputation.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Inadequacy of our allowance for loan losses</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Like all financial institutions, we maintain an allowance for loan losses to provide for loan defaults and non-performance. Our allowance for loan losses is based on our historical loss experience as well as an evaluation of the risks associated with our loan portfolio, including the size and composition of the loan portfolio, current economic conditions and concentrations within the portfolio. The determination of the appropriate level of the allowance for loan losses inherently involves a high degree of subjectivity and requires us to make significant estimates of current credit risks and future trends, all of which may undergo material changes. Economic conditions affecting borrowers, new information regarding existing loans, identification of additional problem loans and other factors, both within and outside of our control, may require an increase in the allowance for loan losses. In addition, bank regulatory agencies periodically review our allowance for loan losses and may require an increase in the provision for loan losses or the recognition of further loan charge-offs, based on judgments different than those of management. In addition, if charge-offs in future periods exceed expectations, we will need additional provisions to increase the allowance for loan losses. Any increases in the allowance for loan losses may result in a decrease in net income and capital, and may have a material adverse effect on our financial condition and results of operations.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June 2016, the Financial Accounting Standards Board (FASB) issued ASU 2016-13, "Financial Instruments - Credit Losses (Topic 326), Measurement of Credit Losses on Financial Instruments," which replaces the current "incurred loss" model for recognizing credit losses with an "expected loss" model referred to as the Current Expected Credit Loss model, or “CECL.” Under the CECL model, we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required under current GAAP, which delays recognition until it is probable a loss has been incurred. Accordingly, we expect that the adoption of the CECL model will materially affect how we determine our allowance for loan losses and could require us to significantly increase our allowance. Moreover, the CECL model may create more volatility in the level of our allowance for loan losses. If we are required to increase our level of allowance for loan losses for any reason, such increase could adversely affect our business, financial condition and results of operations.</w:t>
      </w:r>
    </w:p>
    <w:p>
      <w:pPr>
        <w:spacing w:after="0" w:line="16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new CECL standard will become effective for us for fiscal years beginning after December 15, 2022 and for interim periods during 2023. We are currently evaluating the impact the CECL model will have on our accounting, but we expect to recognize a one-time cumulative-effect adjustment to our allowance for loan losses as of the beginning of the first reporting period in which the new standard is effective.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Attraction of Deposits and other Short-term Funding</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managing our liquidity, our primary source of short-term funding is customer deposits. Our ability to continue to attract these deposits, and other short-term funding sources, is subject to variability based upon a number of factors, including the relative interest rates we are prepared to pay for these liabilities and the perception of safety of those deposits or short-term obligations relative to alternative short-term investments. The availability and cost of credit in short-term markets depends upon market perceptions of our liquidity and creditworthiness. Our efforts to monitor and manage liquidity risk may not be successful or sufficient to deal with dramatic or unanticipated changes in event-driven reductions in liquidity. In such events, our cost of funds may increase, thereby reducing our net interest revenue, or we may need to dispose of a portion of our investment portfolio, which, depending on market conditions, could result in our realizing a loss or experiencing other adverse consequences.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Vendor Relationship Risk</w:t>
      </w:r>
    </w:p>
    <w:p>
      <w:pPr>
        <w:spacing w:after="0" w:line="8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rely on third-party vendors to provide key components of our business operations such as data processing, recording and monitoring transactions, online and mobile banking interfaces and services, internet connections and network access. While we have performed due diligence procedures in selecting vendors, we do not control their actions. In the event that one or more of our vendors suffers a bankruptcy or otherwise becomes unable to continue to provide products or services, or fails to protect non-public personal information of our customers or employees, we may suffer operational impairments, reputational damage and financial losses. Replacing these third-party vendors could create significant delay and expense. Accordingly, use of such third parties creates an inherent risk to our business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Trading Market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its shares of stock listed and traded on the NASDAQ Capital Market. The Company’s trading symbol is “FMAO.”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2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office is located in Archbold, Ohio.</w:t>
      </w:r>
    </w:p>
    <w:p>
      <w:pPr>
        <w:spacing w:after="0" w:line="188"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The Bank operates from its principal office located at 307 North Defiance Street, Archbold, Ohio. In addition, the Bank owns the property from 200 to 208 Ditto Street, Archbold, Ohio, which it uses for Bank parking and a community mini-park area. The Bank owns real estate at two locations, 207 Ditto Street and 209 Ditto Street in Archbold, Ohio upon which the bank built a commercial building to be used for storage, and a parking lot for company vehicles and employee parking. The Bank also owns real estate across from the main facilities to provide for parking.</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Bank occupies an Operations Center at 620 S. Clyde’s Way in Archbold, Ohio to accommodate our growth over the years. The bank owns a parking lot in downtown Montpelier which is provided for community use.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Bank owns all of its office locations, with the exception of Angola, Indiana and Bowling Green, Ohio. Both of these office locations are leased.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currently maintains retail banking offices at the following locations:</w:t>
      </w:r>
    </w:p>
    <w:p>
      <w:pPr>
        <w:spacing w:after="0" w:line="138"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3440" w:type="dxa"/>
            <w:vAlign w:val="bottom"/>
            <w:gridSpan w:val="5"/>
          </w:tcPr>
          <w:p>
            <w:pPr>
              <w:ind w:left="1280"/>
              <w:spacing w:after="0"/>
              <w:rPr>
                <w:sz w:val="20"/>
                <w:szCs w:val="20"/>
                <w:color w:val="auto"/>
              </w:rPr>
            </w:pPr>
            <w:r>
              <w:rPr>
                <w:rFonts w:ascii="Arial" w:cs="Arial" w:eastAsia="Arial" w:hAnsi="Arial"/>
                <w:sz w:val="18"/>
                <w:szCs w:val="18"/>
                <w:color w:val="auto"/>
              </w:rPr>
              <w:t>Location</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540" w:type="dxa"/>
            <w:vAlign w:val="bottom"/>
            <w:vMerge w:val="restart"/>
          </w:tcPr>
          <w:p>
            <w:pPr>
              <w:spacing w:after="0" w:line="185" w:lineRule="exact"/>
              <w:rPr>
                <w:sz w:val="20"/>
                <w:szCs w:val="20"/>
                <w:color w:val="auto"/>
              </w:rPr>
            </w:pPr>
            <w:r>
              <w:rPr>
                <w:rFonts w:ascii="Arial" w:cs="Arial" w:eastAsia="Arial" w:hAnsi="Arial"/>
                <w:sz w:val="18"/>
                <w:szCs w:val="18"/>
                <w:color w:val="auto"/>
              </w:rPr>
              <w:t>Defiance Street</w:t>
            </w:r>
          </w:p>
        </w:tc>
        <w:tc>
          <w:tcPr>
            <w:tcW w:w="0" w:type="dxa"/>
            <w:vAlign w:val="bottom"/>
          </w:tcPr>
          <w:p>
            <w:pPr>
              <w:spacing w:after="0" w:line="20" w:lineRule="exact"/>
              <w:rPr>
                <w:sz w:val="1"/>
                <w:szCs w:val="1"/>
                <w:color w:val="auto"/>
              </w:rPr>
            </w:pPr>
          </w:p>
        </w:tc>
      </w:tr>
      <w:tr>
        <w:trPr>
          <w:trHeight w:val="165"/>
        </w:trPr>
        <w:tc>
          <w:tcPr>
            <w:tcW w:w="2780" w:type="dxa"/>
            <w:vAlign w:val="bottom"/>
            <w:gridSpan w:val="2"/>
          </w:tcPr>
          <w:p>
            <w:pPr>
              <w:spacing w:after="0" w:line="165" w:lineRule="exact"/>
              <w:rPr>
                <w:sz w:val="20"/>
                <w:szCs w:val="20"/>
                <w:color w:val="auto"/>
              </w:rPr>
            </w:pPr>
            <w:r>
              <w:rPr>
                <w:rFonts w:ascii="Arial" w:cs="Arial" w:eastAsia="Arial" w:hAnsi="Arial"/>
                <w:sz w:val="18"/>
                <w:szCs w:val="18"/>
                <w:color w:val="auto"/>
              </w:rPr>
              <w:t>Archbold, Ohio</w:t>
            </w:r>
          </w:p>
        </w:tc>
        <w:tc>
          <w:tcPr>
            <w:tcW w:w="1280" w:type="dxa"/>
            <w:vAlign w:val="bottom"/>
            <w:vMerge w:val="continue"/>
          </w:tcPr>
          <w:p>
            <w:pPr>
              <w:spacing w:after="0"/>
              <w:rPr>
                <w:sz w:val="14"/>
                <w:szCs w:val="14"/>
                <w:color w:val="auto"/>
              </w:rPr>
            </w:pPr>
          </w:p>
        </w:tc>
        <w:tc>
          <w:tcPr>
            <w:tcW w:w="280" w:type="dxa"/>
            <w:vAlign w:val="bottom"/>
          </w:tcPr>
          <w:p>
            <w:pPr>
              <w:spacing w:after="0" w:line="165" w:lineRule="exact"/>
              <w:rPr>
                <w:sz w:val="20"/>
                <w:szCs w:val="20"/>
                <w:color w:val="auto"/>
              </w:rPr>
            </w:pPr>
            <w:r>
              <w:rPr>
                <w:rFonts w:ascii="Arial" w:cs="Arial" w:eastAsia="Arial" w:hAnsi="Arial"/>
                <w:sz w:val="18"/>
                <w:szCs w:val="18"/>
                <w:color w:val="auto"/>
                <w:w w:val="86"/>
              </w:rPr>
              <w:t>307</w:t>
            </w:r>
          </w:p>
        </w:tc>
        <w:tc>
          <w:tcPr>
            <w:tcW w:w="340" w:type="dxa"/>
            <w:vAlign w:val="bottom"/>
            <w:gridSpan w:val="2"/>
          </w:tcPr>
          <w:p>
            <w:pPr>
              <w:ind w:left="20"/>
              <w:spacing w:after="0" w:line="165" w:lineRule="exact"/>
              <w:rPr>
                <w:sz w:val="20"/>
                <w:szCs w:val="20"/>
                <w:color w:val="auto"/>
              </w:rPr>
            </w:pPr>
            <w:r>
              <w:rPr>
                <w:rFonts w:ascii="Arial" w:cs="Arial" w:eastAsia="Arial" w:hAnsi="Arial"/>
                <w:sz w:val="18"/>
                <w:szCs w:val="18"/>
                <w:color w:val="auto"/>
              </w:rPr>
              <w:t>N</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60" w:type="dxa"/>
            <w:vAlign w:val="bottom"/>
            <w:gridSpan w:val="3"/>
          </w:tcPr>
          <w:p>
            <w:pPr>
              <w:ind w:left="1280"/>
              <w:spacing w:after="0" w:line="184" w:lineRule="exact"/>
              <w:rPr>
                <w:sz w:val="20"/>
                <w:szCs w:val="20"/>
                <w:color w:val="auto"/>
              </w:rPr>
            </w:pPr>
            <w:r>
              <w:rPr>
                <w:rFonts w:ascii="Arial" w:cs="Arial" w:eastAsia="Arial" w:hAnsi="Arial"/>
                <w:sz w:val="18"/>
                <w:szCs w:val="18"/>
                <w:color w:val="auto"/>
                <w:w w:val="89"/>
              </w:rPr>
              <w:t>1313</w:t>
            </w:r>
          </w:p>
        </w:tc>
        <w:tc>
          <w:tcPr>
            <w:tcW w:w="17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S Defiance Street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Wauseon, Ohio</w:t>
            </w:r>
          </w:p>
        </w:tc>
        <w:tc>
          <w:tcPr>
            <w:tcW w:w="3440" w:type="dxa"/>
            <w:vAlign w:val="bottom"/>
            <w:gridSpan w:val="5"/>
          </w:tcPr>
          <w:p>
            <w:pPr>
              <w:ind w:left="1280"/>
              <w:spacing w:after="0" w:line="184" w:lineRule="exact"/>
              <w:rPr>
                <w:sz w:val="20"/>
                <w:szCs w:val="20"/>
                <w:color w:val="auto"/>
              </w:rPr>
            </w:pPr>
            <w:r>
              <w:rPr>
                <w:rFonts w:ascii="Arial" w:cs="Arial" w:eastAsia="Arial" w:hAnsi="Arial"/>
                <w:sz w:val="18"/>
                <w:szCs w:val="18"/>
                <w:color w:val="auto"/>
              </w:rPr>
              <w:t>1130 N Shoop Avenue</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440" w:type="dxa"/>
            <w:vAlign w:val="bottom"/>
            <w:gridSpan w:val="5"/>
          </w:tcPr>
          <w:p>
            <w:pPr>
              <w:ind w:left="1280"/>
              <w:spacing w:after="0" w:line="184" w:lineRule="exact"/>
              <w:rPr>
                <w:sz w:val="20"/>
                <w:szCs w:val="20"/>
                <w:color w:val="auto"/>
              </w:rPr>
            </w:pPr>
            <w:r>
              <w:rPr>
                <w:rFonts w:ascii="Arial" w:cs="Arial" w:eastAsia="Arial" w:hAnsi="Arial"/>
                <w:sz w:val="18"/>
                <w:szCs w:val="18"/>
                <w:color w:val="auto"/>
              </w:rPr>
              <w:t>119 N Fulton Street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Stryker, Ohio</w:t>
            </w:r>
          </w:p>
        </w:tc>
        <w:tc>
          <w:tcPr>
            <w:tcW w:w="1560" w:type="dxa"/>
            <w:vAlign w:val="bottom"/>
            <w:gridSpan w:val="2"/>
          </w:tcPr>
          <w:p>
            <w:pPr>
              <w:ind w:left="1280"/>
              <w:spacing w:after="0" w:line="184" w:lineRule="exact"/>
              <w:rPr>
                <w:sz w:val="20"/>
                <w:szCs w:val="20"/>
                <w:color w:val="auto"/>
              </w:rPr>
            </w:pPr>
            <w:r>
              <w:rPr>
                <w:rFonts w:ascii="Arial" w:cs="Arial" w:eastAsia="Arial" w:hAnsi="Arial"/>
                <w:sz w:val="18"/>
                <w:szCs w:val="18"/>
                <w:color w:val="auto"/>
                <w:w w:val="86"/>
              </w:rPr>
              <w:t>300</w:t>
            </w:r>
          </w:p>
        </w:tc>
        <w:tc>
          <w:tcPr>
            <w:tcW w:w="1880" w:type="dxa"/>
            <w:vAlign w:val="bottom"/>
            <w:gridSpan w:val="3"/>
          </w:tcPr>
          <w:p>
            <w:pPr>
              <w:ind w:left="20"/>
              <w:spacing w:after="0" w:line="184" w:lineRule="exact"/>
              <w:rPr>
                <w:sz w:val="20"/>
                <w:szCs w:val="20"/>
                <w:color w:val="auto"/>
              </w:rPr>
            </w:pPr>
            <w:r>
              <w:rPr>
                <w:rFonts w:ascii="Arial" w:cs="Arial" w:eastAsia="Arial" w:hAnsi="Arial"/>
                <w:sz w:val="18"/>
                <w:szCs w:val="18"/>
                <w:color w:val="auto"/>
              </w:rPr>
              <w:t>S Defiance Street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West Unity, Ohio</w:t>
            </w:r>
          </w:p>
        </w:tc>
        <w:tc>
          <w:tcPr>
            <w:tcW w:w="1560" w:type="dxa"/>
            <w:vAlign w:val="bottom"/>
            <w:gridSpan w:val="2"/>
          </w:tcPr>
          <w:p>
            <w:pPr>
              <w:ind w:left="1280"/>
              <w:spacing w:after="0" w:line="184" w:lineRule="exact"/>
              <w:rPr>
                <w:sz w:val="20"/>
                <w:szCs w:val="20"/>
                <w:color w:val="auto"/>
              </w:rPr>
            </w:pPr>
            <w:r>
              <w:rPr>
                <w:rFonts w:ascii="Arial" w:cs="Arial" w:eastAsia="Arial" w:hAnsi="Arial"/>
                <w:sz w:val="18"/>
                <w:szCs w:val="18"/>
                <w:color w:val="auto"/>
                <w:w w:val="86"/>
              </w:rPr>
              <w:t>200</w:t>
            </w:r>
          </w:p>
        </w:tc>
        <w:tc>
          <w:tcPr>
            <w:tcW w:w="1880" w:type="dxa"/>
            <w:vAlign w:val="bottom"/>
            <w:gridSpan w:val="3"/>
          </w:tcPr>
          <w:p>
            <w:pPr>
              <w:ind w:left="20"/>
              <w:spacing w:after="0" w:line="184" w:lineRule="exact"/>
              <w:rPr>
                <w:sz w:val="20"/>
                <w:szCs w:val="20"/>
                <w:color w:val="auto"/>
              </w:rPr>
            </w:pPr>
            <w:r>
              <w:rPr>
                <w:rFonts w:ascii="Arial" w:cs="Arial" w:eastAsia="Arial" w:hAnsi="Arial"/>
                <w:sz w:val="18"/>
                <w:szCs w:val="18"/>
                <w:color w:val="auto"/>
              </w:rPr>
              <w:t>W Jackson Street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Bryan, Ohio</w:t>
            </w:r>
          </w:p>
        </w:tc>
        <w:tc>
          <w:tcPr>
            <w:tcW w:w="1560" w:type="dxa"/>
            <w:vAlign w:val="bottom"/>
            <w:gridSpan w:val="2"/>
          </w:tcPr>
          <w:p>
            <w:pPr>
              <w:ind w:left="1280"/>
              <w:spacing w:after="0" w:line="184" w:lineRule="exact"/>
              <w:rPr>
                <w:sz w:val="20"/>
                <w:szCs w:val="20"/>
                <w:color w:val="auto"/>
              </w:rPr>
            </w:pPr>
            <w:r>
              <w:rPr>
                <w:rFonts w:ascii="Arial" w:cs="Arial" w:eastAsia="Arial" w:hAnsi="Arial"/>
                <w:sz w:val="18"/>
                <w:szCs w:val="18"/>
                <w:color w:val="auto"/>
                <w:w w:val="86"/>
              </w:rPr>
              <w:t>929</w:t>
            </w:r>
          </w:p>
        </w:tc>
        <w:tc>
          <w:tcPr>
            <w:tcW w:w="1880" w:type="dxa"/>
            <w:vAlign w:val="bottom"/>
            <w:gridSpan w:val="3"/>
          </w:tcPr>
          <w:p>
            <w:pPr>
              <w:ind w:left="20"/>
              <w:spacing w:after="0" w:line="184" w:lineRule="exact"/>
              <w:rPr>
                <w:sz w:val="20"/>
                <w:szCs w:val="20"/>
                <w:color w:val="auto"/>
              </w:rPr>
            </w:pPr>
            <w:r>
              <w:rPr>
                <w:rFonts w:ascii="Arial" w:cs="Arial" w:eastAsia="Arial" w:hAnsi="Arial"/>
                <w:sz w:val="18"/>
                <w:szCs w:val="18"/>
                <w:color w:val="auto"/>
              </w:rPr>
              <w:t>E High Street</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60" w:type="dxa"/>
            <w:vAlign w:val="bottom"/>
            <w:gridSpan w:val="3"/>
          </w:tcPr>
          <w:p>
            <w:pPr>
              <w:ind w:left="1280"/>
              <w:spacing w:after="0" w:line="184" w:lineRule="exact"/>
              <w:rPr>
                <w:sz w:val="20"/>
                <w:szCs w:val="20"/>
                <w:color w:val="auto"/>
              </w:rPr>
            </w:pPr>
            <w:r>
              <w:rPr>
                <w:rFonts w:ascii="Arial" w:cs="Arial" w:eastAsia="Arial" w:hAnsi="Arial"/>
                <w:sz w:val="18"/>
                <w:szCs w:val="18"/>
                <w:color w:val="auto"/>
                <w:w w:val="89"/>
              </w:rPr>
              <w:t>1000</w:t>
            </w:r>
          </w:p>
        </w:tc>
        <w:tc>
          <w:tcPr>
            <w:tcW w:w="17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S Main Street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Delta, Ohio</w:t>
            </w:r>
          </w:p>
        </w:tc>
        <w:tc>
          <w:tcPr>
            <w:tcW w:w="1560" w:type="dxa"/>
            <w:vAlign w:val="bottom"/>
            <w:gridSpan w:val="2"/>
          </w:tcPr>
          <w:p>
            <w:pPr>
              <w:ind w:left="1280"/>
              <w:spacing w:after="0" w:line="184" w:lineRule="exact"/>
              <w:rPr>
                <w:sz w:val="20"/>
                <w:szCs w:val="20"/>
                <w:color w:val="auto"/>
              </w:rPr>
            </w:pPr>
            <w:r>
              <w:rPr>
                <w:rFonts w:ascii="Arial" w:cs="Arial" w:eastAsia="Arial" w:hAnsi="Arial"/>
                <w:sz w:val="18"/>
                <w:szCs w:val="18"/>
                <w:color w:val="auto"/>
                <w:w w:val="86"/>
              </w:rPr>
              <w:t>101</w:t>
            </w:r>
          </w:p>
        </w:tc>
        <w:tc>
          <w:tcPr>
            <w:tcW w:w="1880" w:type="dxa"/>
            <w:vAlign w:val="bottom"/>
            <w:gridSpan w:val="3"/>
          </w:tcPr>
          <w:p>
            <w:pPr>
              <w:ind w:left="20"/>
              <w:spacing w:after="0" w:line="184" w:lineRule="exact"/>
              <w:rPr>
                <w:sz w:val="20"/>
                <w:szCs w:val="20"/>
                <w:color w:val="auto"/>
              </w:rPr>
            </w:pPr>
            <w:r>
              <w:rPr>
                <w:rFonts w:ascii="Arial" w:cs="Arial" w:eastAsia="Arial" w:hAnsi="Arial"/>
                <w:sz w:val="18"/>
                <w:szCs w:val="18"/>
                <w:color w:val="auto"/>
              </w:rPr>
              <w:t>Main Street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Montpelier, Ohio</w:t>
            </w:r>
          </w:p>
        </w:tc>
        <w:tc>
          <w:tcPr>
            <w:tcW w:w="3440" w:type="dxa"/>
            <w:vAlign w:val="bottom"/>
            <w:gridSpan w:val="5"/>
          </w:tcPr>
          <w:p>
            <w:pPr>
              <w:ind w:left="1280"/>
              <w:spacing w:after="0" w:line="184" w:lineRule="exact"/>
              <w:rPr>
                <w:sz w:val="20"/>
                <w:szCs w:val="20"/>
                <w:color w:val="auto"/>
              </w:rPr>
            </w:pPr>
            <w:r>
              <w:rPr>
                <w:rFonts w:ascii="Arial" w:cs="Arial" w:eastAsia="Arial" w:hAnsi="Arial"/>
                <w:sz w:val="18"/>
                <w:szCs w:val="18"/>
                <w:color w:val="auto"/>
              </w:rPr>
              <w:t>1150 E Main Street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Napoleon, Ohio</w:t>
            </w:r>
          </w:p>
        </w:tc>
        <w:tc>
          <w:tcPr>
            <w:tcW w:w="1660" w:type="dxa"/>
            <w:vAlign w:val="bottom"/>
            <w:gridSpan w:val="3"/>
          </w:tcPr>
          <w:p>
            <w:pPr>
              <w:ind w:left="1280"/>
              <w:spacing w:after="0" w:line="184" w:lineRule="exact"/>
              <w:rPr>
                <w:sz w:val="20"/>
                <w:szCs w:val="20"/>
                <w:color w:val="auto"/>
              </w:rPr>
            </w:pPr>
            <w:r>
              <w:rPr>
                <w:rFonts w:ascii="Arial" w:cs="Arial" w:eastAsia="Arial" w:hAnsi="Arial"/>
                <w:sz w:val="18"/>
                <w:szCs w:val="18"/>
                <w:color w:val="auto"/>
                <w:w w:val="89"/>
              </w:rPr>
              <w:t>2255</w:t>
            </w:r>
          </w:p>
        </w:tc>
        <w:tc>
          <w:tcPr>
            <w:tcW w:w="17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Scott Street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Swanton, Ohio</w:t>
            </w:r>
          </w:p>
        </w:tc>
        <w:tc>
          <w:tcPr>
            <w:tcW w:w="3440" w:type="dxa"/>
            <w:vAlign w:val="bottom"/>
            <w:gridSpan w:val="5"/>
          </w:tcPr>
          <w:p>
            <w:pPr>
              <w:ind w:left="1280"/>
              <w:spacing w:after="0" w:line="184" w:lineRule="exact"/>
              <w:rPr>
                <w:sz w:val="20"/>
                <w:szCs w:val="20"/>
                <w:color w:val="auto"/>
              </w:rPr>
            </w:pPr>
            <w:r>
              <w:rPr>
                <w:rFonts w:ascii="Arial" w:cs="Arial" w:eastAsia="Arial" w:hAnsi="Arial"/>
                <w:sz w:val="18"/>
                <w:szCs w:val="18"/>
                <w:color w:val="auto"/>
              </w:rPr>
              <w:t>7 Turtle Creek Circle</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Defiance, Ohio</w:t>
            </w:r>
          </w:p>
        </w:tc>
        <w:tc>
          <w:tcPr>
            <w:tcW w:w="3440" w:type="dxa"/>
            <w:vAlign w:val="bottom"/>
            <w:gridSpan w:val="5"/>
          </w:tcPr>
          <w:p>
            <w:pPr>
              <w:ind w:left="1280"/>
              <w:spacing w:after="0" w:line="184" w:lineRule="exact"/>
              <w:rPr>
                <w:sz w:val="20"/>
                <w:szCs w:val="20"/>
                <w:color w:val="auto"/>
              </w:rPr>
            </w:pPr>
            <w:r>
              <w:rPr>
                <w:rFonts w:ascii="Arial" w:cs="Arial" w:eastAsia="Arial" w:hAnsi="Arial"/>
                <w:sz w:val="18"/>
                <w:szCs w:val="18"/>
                <w:color w:val="auto"/>
              </w:rPr>
              <w:t>1175 Hotel Drive</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Perrysburg, Ohio</w:t>
            </w:r>
          </w:p>
        </w:tc>
        <w:tc>
          <w:tcPr>
            <w:tcW w:w="1660" w:type="dxa"/>
            <w:vAlign w:val="bottom"/>
            <w:gridSpan w:val="3"/>
          </w:tcPr>
          <w:p>
            <w:pPr>
              <w:ind w:left="1280"/>
              <w:spacing w:after="0" w:line="184" w:lineRule="exact"/>
              <w:rPr>
                <w:sz w:val="20"/>
                <w:szCs w:val="20"/>
                <w:color w:val="auto"/>
              </w:rPr>
            </w:pPr>
            <w:r>
              <w:rPr>
                <w:rFonts w:ascii="Arial" w:cs="Arial" w:eastAsia="Arial" w:hAnsi="Arial"/>
                <w:sz w:val="18"/>
                <w:szCs w:val="18"/>
                <w:color w:val="auto"/>
                <w:w w:val="89"/>
              </w:rPr>
              <w:t>7001</w:t>
            </w:r>
          </w:p>
        </w:tc>
        <w:tc>
          <w:tcPr>
            <w:tcW w:w="17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Lighthouse Way</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Butler, Indiana</w:t>
            </w:r>
          </w:p>
        </w:tc>
        <w:tc>
          <w:tcPr>
            <w:tcW w:w="1560" w:type="dxa"/>
            <w:vAlign w:val="bottom"/>
            <w:gridSpan w:val="2"/>
          </w:tcPr>
          <w:p>
            <w:pPr>
              <w:ind w:left="1280"/>
              <w:spacing w:after="0" w:line="184" w:lineRule="exact"/>
              <w:rPr>
                <w:sz w:val="20"/>
                <w:szCs w:val="20"/>
                <w:color w:val="auto"/>
              </w:rPr>
            </w:pPr>
            <w:r>
              <w:rPr>
                <w:rFonts w:ascii="Arial" w:cs="Arial" w:eastAsia="Arial" w:hAnsi="Arial"/>
                <w:sz w:val="18"/>
                <w:szCs w:val="18"/>
                <w:color w:val="auto"/>
                <w:w w:val="86"/>
              </w:rPr>
              <w:t>200</w:t>
            </w:r>
          </w:p>
        </w:tc>
        <w:tc>
          <w:tcPr>
            <w:tcW w:w="1880" w:type="dxa"/>
            <w:vAlign w:val="bottom"/>
            <w:gridSpan w:val="3"/>
          </w:tcPr>
          <w:p>
            <w:pPr>
              <w:ind w:left="20"/>
              <w:spacing w:after="0" w:line="184" w:lineRule="exact"/>
              <w:rPr>
                <w:sz w:val="20"/>
                <w:szCs w:val="20"/>
                <w:color w:val="auto"/>
              </w:rPr>
            </w:pPr>
            <w:r>
              <w:rPr>
                <w:rFonts w:ascii="Arial" w:cs="Arial" w:eastAsia="Arial" w:hAnsi="Arial"/>
                <w:sz w:val="18"/>
                <w:szCs w:val="18"/>
                <w:color w:val="auto"/>
              </w:rPr>
              <w:t>S Broadway</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Auburn, Indiana</w:t>
            </w:r>
          </w:p>
        </w:tc>
        <w:tc>
          <w:tcPr>
            <w:tcW w:w="1560" w:type="dxa"/>
            <w:vAlign w:val="bottom"/>
            <w:gridSpan w:val="2"/>
          </w:tcPr>
          <w:p>
            <w:pPr>
              <w:ind w:left="1280"/>
              <w:spacing w:after="0" w:line="184" w:lineRule="exact"/>
              <w:rPr>
                <w:sz w:val="20"/>
                <w:szCs w:val="20"/>
                <w:color w:val="auto"/>
              </w:rPr>
            </w:pPr>
            <w:r>
              <w:rPr>
                <w:rFonts w:ascii="Arial" w:cs="Arial" w:eastAsia="Arial" w:hAnsi="Arial"/>
                <w:sz w:val="18"/>
                <w:szCs w:val="18"/>
                <w:color w:val="auto"/>
                <w:w w:val="86"/>
              </w:rPr>
              <w:t>403</w:t>
            </w:r>
          </w:p>
        </w:tc>
        <w:tc>
          <w:tcPr>
            <w:tcW w:w="1880" w:type="dxa"/>
            <w:vAlign w:val="bottom"/>
            <w:gridSpan w:val="3"/>
          </w:tcPr>
          <w:p>
            <w:pPr>
              <w:ind w:left="20"/>
              <w:spacing w:after="0" w:line="184" w:lineRule="exact"/>
              <w:rPr>
                <w:sz w:val="20"/>
                <w:szCs w:val="20"/>
                <w:color w:val="auto"/>
              </w:rPr>
            </w:pPr>
            <w:r>
              <w:rPr>
                <w:rFonts w:ascii="Arial" w:cs="Arial" w:eastAsia="Arial" w:hAnsi="Arial"/>
                <w:sz w:val="18"/>
                <w:szCs w:val="18"/>
                <w:color w:val="auto"/>
              </w:rPr>
              <w:t>Erie Pass</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Angola, Indiana</w:t>
            </w:r>
          </w:p>
        </w:tc>
        <w:tc>
          <w:tcPr>
            <w:tcW w:w="1660" w:type="dxa"/>
            <w:vAlign w:val="bottom"/>
            <w:gridSpan w:val="3"/>
          </w:tcPr>
          <w:p>
            <w:pPr>
              <w:ind w:left="1280"/>
              <w:spacing w:after="0" w:line="184" w:lineRule="exact"/>
              <w:rPr>
                <w:sz w:val="20"/>
                <w:szCs w:val="20"/>
                <w:color w:val="auto"/>
              </w:rPr>
            </w:pPr>
            <w:r>
              <w:rPr>
                <w:rFonts w:ascii="Arial" w:cs="Arial" w:eastAsia="Arial" w:hAnsi="Arial"/>
                <w:sz w:val="18"/>
                <w:szCs w:val="18"/>
                <w:color w:val="auto"/>
                <w:w w:val="89"/>
              </w:rPr>
              <w:t>2310</w:t>
            </w:r>
          </w:p>
        </w:tc>
        <w:tc>
          <w:tcPr>
            <w:tcW w:w="17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N Wayne Street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Hicksville, Ohio</w:t>
            </w:r>
          </w:p>
        </w:tc>
        <w:tc>
          <w:tcPr>
            <w:tcW w:w="1560" w:type="dxa"/>
            <w:vAlign w:val="bottom"/>
            <w:gridSpan w:val="2"/>
          </w:tcPr>
          <w:p>
            <w:pPr>
              <w:ind w:left="1280"/>
              <w:spacing w:after="0" w:line="184" w:lineRule="exact"/>
              <w:rPr>
                <w:sz w:val="20"/>
                <w:szCs w:val="20"/>
                <w:color w:val="auto"/>
              </w:rPr>
            </w:pPr>
            <w:r>
              <w:rPr>
                <w:rFonts w:ascii="Arial" w:cs="Arial" w:eastAsia="Arial" w:hAnsi="Arial"/>
                <w:sz w:val="18"/>
                <w:szCs w:val="18"/>
                <w:color w:val="auto"/>
                <w:w w:val="86"/>
              </w:rPr>
              <w:t>100</w:t>
            </w:r>
          </w:p>
        </w:tc>
        <w:tc>
          <w:tcPr>
            <w:tcW w:w="1880" w:type="dxa"/>
            <w:vAlign w:val="bottom"/>
            <w:gridSpan w:val="3"/>
          </w:tcPr>
          <w:p>
            <w:pPr>
              <w:ind w:left="20"/>
              <w:spacing w:after="0" w:line="184" w:lineRule="exact"/>
              <w:rPr>
                <w:sz w:val="20"/>
                <w:szCs w:val="20"/>
                <w:color w:val="auto"/>
              </w:rPr>
            </w:pPr>
            <w:r>
              <w:rPr>
                <w:rFonts w:ascii="Arial" w:cs="Arial" w:eastAsia="Arial" w:hAnsi="Arial"/>
                <w:sz w:val="18"/>
                <w:szCs w:val="18"/>
                <w:color w:val="auto"/>
              </w:rPr>
              <w:t>N Main Street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Waterville, Ohio</w:t>
            </w:r>
          </w:p>
        </w:tc>
        <w:tc>
          <w:tcPr>
            <w:tcW w:w="1660" w:type="dxa"/>
            <w:vAlign w:val="bottom"/>
            <w:gridSpan w:val="3"/>
          </w:tcPr>
          <w:p>
            <w:pPr>
              <w:ind w:left="1280"/>
              <w:spacing w:after="0" w:line="184" w:lineRule="exact"/>
              <w:rPr>
                <w:sz w:val="20"/>
                <w:szCs w:val="20"/>
                <w:color w:val="auto"/>
              </w:rPr>
            </w:pPr>
            <w:r>
              <w:rPr>
                <w:rFonts w:ascii="Arial" w:cs="Arial" w:eastAsia="Arial" w:hAnsi="Arial"/>
                <w:sz w:val="18"/>
                <w:szCs w:val="18"/>
                <w:color w:val="auto"/>
                <w:w w:val="89"/>
              </w:rPr>
              <w:t>8720</w:t>
            </w:r>
          </w:p>
        </w:tc>
        <w:tc>
          <w:tcPr>
            <w:tcW w:w="1780" w:type="dxa"/>
            <w:vAlign w:val="bottom"/>
            <w:gridSpan w:val="2"/>
          </w:tcPr>
          <w:p>
            <w:pPr>
              <w:ind w:left="20"/>
              <w:spacing w:after="0" w:line="184" w:lineRule="exact"/>
              <w:rPr>
                <w:sz w:val="20"/>
                <w:szCs w:val="20"/>
                <w:color w:val="auto"/>
              </w:rPr>
            </w:pPr>
            <w:r>
              <w:rPr>
                <w:rFonts w:ascii="Arial" w:cs="Arial" w:eastAsia="Arial" w:hAnsi="Arial"/>
                <w:sz w:val="18"/>
                <w:szCs w:val="18"/>
                <w:color w:val="auto"/>
                <w:w w:val="85"/>
              </w:rPr>
              <w:t>Waterville-Swanton Road</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Custar, Ohio</w:t>
            </w:r>
          </w:p>
        </w:tc>
        <w:tc>
          <w:tcPr>
            <w:tcW w:w="3440" w:type="dxa"/>
            <w:vAlign w:val="bottom"/>
            <w:gridSpan w:val="5"/>
          </w:tcPr>
          <w:p>
            <w:pPr>
              <w:ind w:left="1280"/>
              <w:spacing w:after="0" w:line="184" w:lineRule="exact"/>
              <w:rPr>
                <w:sz w:val="20"/>
                <w:szCs w:val="20"/>
                <w:color w:val="auto"/>
              </w:rPr>
            </w:pPr>
            <w:r>
              <w:rPr>
                <w:rFonts w:ascii="Arial" w:cs="Arial" w:eastAsia="Arial" w:hAnsi="Arial"/>
                <w:sz w:val="18"/>
                <w:szCs w:val="18"/>
                <w:color w:val="auto"/>
              </w:rPr>
              <w:t>22973 Defiance Pike</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Sylvania, Ohio</w:t>
            </w:r>
          </w:p>
        </w:tc>
        <w:tc>
          <w:tcPr>
            <w:tcW w:w="1660" w:type="dxa"/>
            <w:vAlign w:val="bottom"/>
            <w:gridSpan w:val="3"/>
          </w:tcPr>
          <w:p>
            <w:pPr>
              <w:ind w:left="1280"/>
              <w:spacing w:after="0" w:line="184" w:lineRule="exact"/>
              <w:rPr>
                <w:sz w:val="20"/>
                <w:szCs w:val="20"/>
                <w:color w:val="auto"/>
              </w:rPr>
            </w:pPr>
            <w:r>
              <w:rPr>
                <w:rFonts w:ascii="Arial" w:cs="Arial" w:eastAsia="Arial" w:hAnsi="Arial"/>
                <w:sz w:val="18"/>
                <w:szCs w:val="18"/>
                <w:color w:val="auto"/>
                <w:w w:val="89"/>
              </w:rPr>
              <w:t>5830</w:t>
            </w:r>
          </w:p>
        </w:tc>
        <w:tc>
          <w:tcPr>
            <w:tcW w:w="17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Monroe Street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Fort Wayne, Indiana</w:t>
            </w:r>
          </w:p>
        </w:tc>
        <w:tc>
          <w:tcPr>
            <w:tcW w:w="3440" w:type="dxa"/>
            <w:vAlign w:val="bottom"/>
            <w:gridSpan w:val="5"/>
          </w:tcPr>
          <w:p>
            <w:pPr>
              <w:ind w:left="1280"/>
              <w:spacing w:after="0" w:line="184" w:lineRule="exact"/>
              <w:rPr>
                <w:sz w:val="20"/>
                <w:szCs w:val="20"/>
                <w:color w:val="auto"/>
              </w:rPr>
            </w:pPr>
            <w:r>
              <w:rPr>
                <w:rFonts w:ascii="Arial" w:cs="Arial" w:eastAsia="Arial" w:hAnsi="Arial"/>
                <w:sz w:val="18"/>
                <w:szCs w:val="18"/>
                <w:color w:val="auto"/>
              </w:rPr>
              <w:t>12106 Lima Road</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4" w:lineRule="exact"/>
              <w:rPr>
                <w:sz w:val="20"/>
                <w:szCs w:val="20"/>
                <w:color w:val="auto"/>
              </w:rPr>
            </w:pPr>
            <w:r>
              <w:rPr>
                <w:rFonts w:ascii="Arial" w:cs="Arial" w:eastAsia="Arial" w:hAnsi="Arial"/>
                <w:sz w:val="18"/>
                <w:szCs w:val="18"/>
                <w:color w:val="auto"/>
              </w:rPr>
              <w:t>Bowling Green, Ohio</w:t>
            </w:r>
          </w:p>
        </w:tc>
        <w:tc>
          <w:tcPr>
            <w:tcW w:w="3440" w:type="dxa"/>
            <w:vAlign w:val="bottom"/>
            <w:gridSpan w:val="5"/>
          </w:tcPr>
          <w:p>
            <w:pPr>
              <w:ind w:left="1280"/>
              <w:spacing w:after="0" w:line="184" w:lineRule="exact"/>
              <w:rPr>
                <w:sz w:val="20"/>
                <w:szCs w:val="20"/>
                <w:color w:val="auto"/>
              </w:rPr>
            </w:pPr>
            <w:r>
              <w:rPr>
                <w:rFonts w:ascii="Arial" w:cs="Arial" w:eastAsia="Arial" w:hAnsi="Arial"/>
                <w:sz w:val="18"/>
                <w:szCs w:val="18"/>
                <w:color w:val="auto"/>
              </w:rPr>
              <w:t>1072 N. Main Street</w:t>
            </w: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Findlay, Ohio</w:t>
            </w:r>
          </w:p>
        </w:tc>
        <w:tc>
          <w:tcPr>
            <w:tcW w:w="1660" w:type="dxa"/>
            <w:vAlign w:val="bottom"/>
            <w:gridSpan w:val="3"/>
          </w:tcPr>
          <w:p>
            <w:pPr>
              <w:ind w:left="1280"/>
              <w:spacing w:after="0"/>
              <w:rPr>
                <w:sz w:val="20"/>
                <w:szCs w:val="20"/>
                <w:color w:val="auto"/>
              </w:rPr>
            </w:pPr>
            <w:r>
              <w:rPr>
                <w:rFonts w:ascii="Arial" w:cs="Arial" w:eastAsia="Arial" w:hAnsi="Arial"/>
                <w:sz w:val="18"/>
                <w:szCs w:val="18"/>
                <w:color w:val="auto"/>
                <w:w w:val="89"/>
              </w:rPr>
              <w:t>1660</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Tiffin Avenue</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All but one of the above locations has drive-up service facilities and an ATM. The Captive operates from leased office space at 101 Convention Center Dr., Suite 850, Las Vegas, NV 89109.</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2019, the Company acquired Limberlost Bancshares, Inc. and its subsidiary, Bank of Geneva. Six offices located in Indiana, were merged into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Bank as listed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7060" w:type="dxa"/>
            <w:vAlign w:val="bottom"/>
            <w:gridSpan w:val="5"/>
          </w:tcPr>
          <w:p>
            <w:pPr>
              <w:ind w:left="1560"/>
              <w:spacing w:after="0"/>
              <w:rPr>
                <w:sz w:val="20"/>
                <w:szCs w:val="20"/>
                <w:color w:val="auto"/>
              </w:rPr>
            </w:pPr>
            <w:r>
              <w:rPr>
                <w:rFonts w:ascii="Arial" w:cs="Arial" w:eastAsia="Arial" w:hAnsi="Arial"/>
                <w:sz w:val="18"/>
                <w:szCs w:val="18"/>
                <w:color w:val="auto"/>
              </w:rPr>
              <w:t>Location</w:t>
            </w:r>
          </w:p>
        </w:tc>
      </w:tr>
      <w:tr>
        <w:trPr>
          <w:trHeight w:val="165"/>
        </w:trPr>
        <w:tc>
          <w:tcPr>
            <w:tcW w:w="1700" w:type="dxa"/>
            <w:vAlign w:val="bottom"/>
          </w:tcPr>
          <w:p>
            <w:pPr>
              <w:spacing w:after="0"/>
              <w:rPr>
                <w:sz w:val="14"/>
                <w:szCs w:val="14"/>
                <w:color w:val="auto"/>
              </w:rPr>
            </w:pPr>
          </w:p>
        </w:tc>
        <w:tc>
          <w:tcPr>
            <w:tcW w:w="420" w:type="dxa"/>
            <w:vAlign w:val="bottom"/>
            <w:tcBorders>
              <w:top w:val="single" w:sz="8" w:color="auto"/>
            </w:tcBorders>
          </w:tcPr>
          <w:p>
            <w:pPr>
              <w:spacing w:after="0" w:line="165" w:lineRule="exact"/>
              <w:rPr>
                <w:sz w:val="20"/>
                <w:szCs w:val="20"/>
                <w:color w:val="auto"/>
              </w:rPr>
            </w:pPr>
            <w:r>
              <w:rPr>
                <w:rFonts w:ascii="Arial" w:cs="Arial" w:eastAsia="Arial" w:hAnsi="Arial"/>
                <w:sz w:val="15"/>
                <w:szCs w:val="15"/>
                <w:color w:val="auto"/>
                <w:w w:val="70"/>
              </w:rPr>
              <w:t>Geneva,</w:t>
            </w:r>
          </w:p>
        </w:tc>
        <w:tc>
          <w:tcPr>
            <w:tcW w:w="2260" w:type="dxa"/>
            <w:vAlign w:val="bottom"/>
          </w:tcPr>
          <w:p>
            <w:pPr>
              <w:ind w:left="180"/>
              <w:spacing w:after="0" w:line="165" w:lineRule="exact"/>
              <w:rPr>
                <w:sz w:val="20"/>
                <w:szCs w:val="20"/>
                <w:color w:val="auto"/>
              </w:rPr>
            </w:pPr>
            <w:r>
              <w:rPr>
                <w:rFonts w:ascii="Arial" w:cs="Arial" w:eastAsia="Arial" w:hAnsi="Arial"/>
                <w:sz w:val="18"/>
                <w:szCs w:val="18"/>
                <w:color w:val="auto"/>
              </w:rPr>
              <w:t>Indiana</w:t>
            </w:r>
          </w:p>
        </w:tc>
        <w:tc>
          <w:tcPr>
            <w:tcW w:w="1560" w:type="dxa"/>
            <w:vAlign w:val="bottom"/>
          </w:tcPr>
          <w:p>
            <w:pPr>
              <w:spacing w:after="0"/>
              <w:rPr>
                <w:sz w:val="14"/>
                <w:szCs w:val="14"/>
                <w:color w:val="auto"/>
              </w:rPr>
            </w:pPr>
          </w:p>
        </w:tc>
        <w:tc>
          <w:tcPr>
            <w:tcW w:w="280" w:type="dxa"/>
            <w:vAlign w:val="bottom"/>
            <w:tcBorders>
              <w:top w:val="single" w:sz="8" w:color="auto"/>
            </w:tcBorders>
          </w:tcPr>
          <w:p>
            <w:pPr>
              <w:spacing w:after="0" w:line="165" w:lineRule="exact"/>
              <w:rPr>
                <w:sz w:val="20"/>
                <w:szCs w:val="20"/>
                <w:color w:val="auto"/>
              </w:rPr>
            </w:pPr>
            <w:r>
              <w:rPr>
                <w:rFonts w:ascii="Arial" w:cs="Arial" w:eastAsia="Arial" w:hAnsi="Arial"/>
                <w:sz w:val="18"/>
                <w:szCs w:val="18"/>
                <w:color w:val="auto"/>
                <w:w w:val="86"/>
              </w:rPr>
              <w:t>215</w:t>
            </w:r>
          </w:p>
        </w:tc>
        <w:tc>
          <w:tcPr>
            <w:tcW w:w="34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8"/>
                <w:szCs w:val="18"/>
                <w:color w:val="auto"/>
                <w:w w:val="83"/>
              </w:rPr>
              <w:t>East</w:t>
            </w:r>
          </w:p>
        </w:tc>
        <w:tc>
          <w:tcPr>
            <w:tcW w:w="4880" w:type="dxa"/>
            <w:vAlign w:val="bottom"/>
          </w:tcPr>
          <w:p>
            <w:pPr>
              <w:ind w:left="20"/>
              <w:spacing w:after="0" w:line="165" w:lineRule="exact"/>
              <w:rPr>
                <w:sz w:val="20"/>
                <w:szCs w:val="20"/>
                <w:color w:val="auto"/>
              </w:rPr>
            </w:pPr>
            <w:r>
              <w:rPr>
                <w:rFonts w:ascii="Arial" w:cs="Arial" w:eastAsia="Arial" w:hAnsi="Arial"/>
                <w:sz w:val="18"/>
                <w:szCs w:val="18"/>
                <w:color w:val="auto"/>
              </w:rPr>
              <w:t>Line Street</w:t>
            </w:r>
          </w:p>
        </w:tc>
      </w:tr>
      <w:tr>
        <w:trPr>
          <w:trHeight w:val="184"/>
        </w:trPr>
        <w:tc>
          <w:tcPr>
            <w:tcW w:w="1700" w:type="dxa"/>
            <w:vAlign w:val="bottom"/>
          </w:tcPr>
          <w:p>
            <w:pPr>
              <w:spacing w:after="0"/>
              <w:rPr>
                <w:sz w:val="16"/>
                <w:szCs w:val="16"/>
                <w:color w:val="auto"/>
              </w:rPr>
            </w:pPr>
          </w:p>
        </w:tc>
        <w:tc>
          <w:tcPr>
            <w:tcW w:w="2680" w:type="dxa"/>
            <w:vAlign w:val="bottom"/>
            <w:gridSpan w:val="2"/>
          </w:tcPr>
          <w:p>
            <w:pPr>
              <w:spacing w:after="0" w:line="184" w:lineRule="exact"/>
              <w:rPr>
                <w:sz w:val="20"/>
                <w:szCs w:val="20"/>
                <w:color w:val="auto"/>
              </w:rPr>
            </w:pPr>
            <w:r>
              <w:rPr>
                <w:rFonts w:ascii="Arial" w:cs="Arial" w:eastAsia="Arial" w:hAnsi="Arial"/>
                <w:sz w:val="18"/>
                <w:szCs w:val="18"/>
                <w:color w:val="auto"/>
              </w:rPr>
              <w:t>Monroe, Indiana</w:t>
            </w:r>
          </w:p>
        </w:tc>
        <w:tc>
          <w:tcPr>
            <w:tcW w:w="1840" w:type="dxa"/>
            <w:vAlign w:val="bottom"/>
            <w:gridSpan w:val="2"/>
          </w:tcPr>
          <w:p>
            <w:pPr>
              <w:ind w:left="1560"/>
              <w:spacing w:after="0" w:line="184" w:lineRule="exact"/>
              <w:rPr>
                <w:sz w:val="20"/>
                <w:szCs w:val="20"/>
                <w:color w:val="auto"/>
              </w:rPr>
            </w:pPr>
            <w:r>
              <w:rPr>
                <w:rFonts w:ascii="Arial" w:cs="Arial" w:eastAsia="Arial" w:hAnsi="Arial"/>
                <w:sz w:val="18"/>
                <w:szCs w:val="18"/>
                <w:color w:val="auto"/>
                <w:w w:val="86"/>
              </w:rPr>
              <w:t>150</w:t>
            </w:r>
          </w:p>
        </w:tc>
        <w:tc>
          <w:tcPr>
            <w:tcW w:w="5220" w:type="dxa"/>
            <w:vAlign w:val="bottom"/>
            <w:gridSpan w:val="3"/>
          </w:tcPr>
          <w:p>
            <w:pPr>
              <w:ind w:left="20"/>
              <w:spacing w:after="0" w:line="184" w:lineRule="exact"/>
              <w:rPr>
                <w:sz w:val="20"/>
                <w:szCs w:val="20"/>
                <w:color w:val="auto"/>
              </w:rPr>
            </w:pPr>
            <w:r>
              <w:rPr>
                <w:rFonts w:ascii="Arial" w:cs="Arial" w:eastAsia="Arial" w:hAnsi="Arial"/>
                <w:sz w:val="18"/>
                <w:szCs w:val="18"/>
                <w:color w:val="auto"/>
              </w:rPr>
              <w:t>W. Washington Street</w:t>
            </w:r>
          </w:p>
        </w:tc>
      </w:tr>
      <w:tr>
        <w:trPr>
          <w:trHeight w:val="184"/>
        </w:trPr>
        <w:tc>
          <w:tcPr>
            <w:tcW w:w="1700" w:type="dxa"/>
            <w:vAlign w:val="bottom"/>
          </w:tcPr>
          <w:p>
            <w:pPr>
              <w:spacing w:after="0"/>
              <w:rPr>
                <w:sz w:val="16"/>
                <w:szCs w:val="16"/>
                <w:color w:val="auto"/>
              </w:rPr>
            </w:pPr>
          </w:p>
        </w:tc>
        <w:tc>
          <w:tcPr>
            <w:tcW w:w="2680" w:type="dxa"/>
            <w:vAlign w:val="bottom"/>
            <w:gridSpan w:val="2"/>
          </w:tcPr>
          <w:p>
            <w:pPr>
              <w:spacing w:after="0" w:line="184" w:lineRule="exact"/>
              <w:rPr>
                <w:sz w:val="20"/>
                <w:szCs w:val="20"/>
                <w:color w:val="auto"/>
              </w:rPr>
            </w:pPr>
            <w:r>
              <w:rPr>
                <w:rFonts w:ascii="Arial" w:cs="Arial" w:eastAsia="Arial" w:hAnsi="Arial"/>
                <w:sz w:val="18"/>
                <w:szCs w:val="18"/>
                <w:color w:val="auto"/>
              </w:rPr>
              <w:t>Berne, Indiana</w:t>
            </w:r>
          </w:p>
        </w:tc>
        <w:tc>
          <w:tcPr>
            <w:tcW w:w="7060" w:type="dxa"/>
            <w:vAlign w:val="bottom"/>
            <w:gridSpan w:val="5"/>
          </w:tcPr>
          <w:p>
            <w:pPr>
              <w:ind w:left="1560"/>
              <w:spacing w:after="0" w:line="184" w:lineRule="exact"/>
              <w:rPr>
                <w:sz w:val="20"/>
                <w:szCs w:val="20"/>
                <w:color w:val="auto"/>
              </w:rPr>
            </w:pPr>
            <w:r>
              <w:rPr>
                <w:rFonts w:ascii="Arial" w:cs="Arial" w:eastAsia="Arial" w:hAnsi="Arial"/>
                <w:sz w:val="18"/>
                <w:szCs w:val="18"/>
                <w:color w:val="auto"/>
              </w:rPr>
              <w:t>718 US Highway 27 N</w:t>
            </w:r>
          </w:p>
        </w:tc>
      </w:tr>
      <w:tr>
        <w:trPr>
          <w:trHeight w:val="184"/>
        </w:trPr>
        <w:tc>
          <w:tcPr>
            <w:tcW w:w="1700" w:type="dxa"/>
            <w:vAlign w:val="bottom"/>
          </w:tcPr>
          <w:p>
            <w:pPr>
              <w:spacing w:after="0"/>
              <w:rPr>
                <w:sz w:val="16"/>
                <w:szCs w:val="16"/>
                <w:color w:val="auto"/>
              </w:rPr>
            </w:pPr>
          </w:p>
        </w:tc>
        <w:tc>
          <w:tcPr>
            <w:tcW w:w="2680" w:type="dxa"/>
            <w:vAlign w:val="bottom"/>
            <w:gridSpan w:val="2"/>
          </w:tcPr>
          <w:p>
            <w:pPr>
              <w:spacing w:after="0" w:line="184" w:lineRule="exact"/>
              <w:rPr>
                <w:sz w:val="20"/>
                <w:szCs w:val="20"/>
                <w:color w:val="auto"/>
              </w:rPr>
            </w:pPr>
            <w:r>
              <w:rPr>
                <w:rFonts w:ascii="Arial" w:cs="Arial" w:eastAsia="Arial" w:hAnsi="Arial"/>
                <w:sz w:val="18"/>
                <w:szCs w:val="18"/>
                <w:color w:val="auto"/>
              </w:rPr>
              <w:t>Monroeville, Indiana</w:t>
            </w:r>
          </w:p>
        </w:tc>
        <w:tc>
          <w:tcPr>
            <w:tcW w:w="1840" w:type="dxa"/>
            <w:vAlign w:val="bottom"/>
            <w:gridSpan w:val="2"/>
          </w:tcPr>
          <w:p>
            <w:pPr>
              <w:ind w:left="1560"/>
              <w:spacing w:after="0" w:line="184" w:lineRule="exact"/>
              <w:rPr>
                <w:sz w:val="20"/>
                <w:szCs w:val="20"/>
                <w:color w:val="auto"/>
              </w:rPr>
            </w:pPr>
            <w:r>
              <w:rPr>
                <w:rFonts w:ascii="Arial" w:cs="Arial" w:eastAsia="Arial" w:hAnsi="Arial"/>
                <w:sz w:val="18"/>
                <w:szCs w:val="18"/>
                <w:color w:val="auto"/>
                <w:w w:val="86"/>
              </w:rPr>
              <w:t>103</w:t>
            </w:r>
          </w:p>
        </w:tc>
        <w:tc>
          <w:tcPr>
            <w:tcW w:w="5220" w:type="dxa"/>
            <w:vAlign w:val="bottom"/>
            <w:gridSpan w:val="3"/>
          </w:tcPr>
          <w:p>
            <w:pPr>
              <w:ind w:left="20"/>
              <w:spacing w:after="0" w:line="184" w:lineRule="exact"/>
              <w:rPr>
                <w:sz w:val="20"/>
                <w:szCs w:val="20"/>
                <w:color w:val="auto"/>
              </w:rPr>
            </w:pPr>
            <w:r>
              <w:rPr>
                <w:rFonts w:ascii="Arial" w:cs="Arial" w:eastAsia="Arial" w:hAnsi="Arial"/>
                <w:sz w:val="18"/>
                <w:szCs w:val="18"/>
                <w:color w:val="auto"/>
              </w:rPr>
              <w:t>Main Street</w:t>
            </w:r>
          </w:p>
        </w:tc>
      </w:tr>
      <w:tr>
        <w:trPr>
          <w:trHeight w:val="184"/>
        </w:trPr>
        <w:tc>
          <w:tcPr>
            <w:tcW w:w="1700" w:type="dxa"/>
            <w:vAlign w:val="bottom"/>
          </w:tcPr>
          <w:p>
            <w:pPr>
              <w:spacing w:after="0"/>
              <w:rPr>
                <w:sz w:val="16"/>
                <w:szCs w:val="16"/>
                <w:color w:val="auto"/>
              </w:rPr>
            </w:pPr>
          </w:p>
        </w:tc>
        <w:tc>
          <w:tcPr>
            <w:tcW w:w="2680" w:type="dxa"/>
            <w:vAlign w:val="bottom"/>
            <w:gridSpan w:val="2"/>
          </w:tcPr>
          <w:p>
            <w:pPr>
              <w:spacing w:after="0" w:line="184" w:lineRule="exact"/>
              <w:rPr>
                <w:sz w:val="20"/>
                <w:szCs w:val="20"/>
                <w:color w:val="auto"/>
              </w:rPr>
            </w:pPr>
            <w:r>
              <w:rPr>
                <w:rFonts w:ascii="Arial" w:cs="Arial" w:eastAsia="Arial" w:hAnsi="Arial"/>
                <w:sz w:val="18"/>
                <w:szCs w:val="18"/>
                <w:color w:val="auto"/>
              </w:rPr>
              <w:t>Portland, Indiana</w:t>
            </w:r>
          </w:p>
        </w:tc>
        <w:tc>
          <w:tcPr>
            <w:tcW w:w="1940" w:type="dxa"/>
            <w:vAlign w:val="bottom"/>
            <w:gridSpan w:val="3"/>
          </w:tcPr>
          <w:p>
            <w:pPr>
              <w:ind w:left="1560"/>
              <w:spacing w:after="0" w:line="184" w:lineRule="exact"/>
              <w:rPr>
                <w:sz w:val="20"/>
                <w:szCs w:val="20"/>
                <w:color w:val="auto"/>
              </w:rPr>
            </w:pPr>
            <w:r>
              <w:rPr>
                <w:rFonts w:ascii="Arial" w:cs="Arial" w:eastAsia="Arial" w:hAnsi="Arial"/>
                <w:sz w:val="18"/>
                <w:szCs w:val="18"/>
                <w:color w:val="auto"/>
                <w:w w:val="89"/>
              </w:rPr>
              <w:t>1451</w:t>
            </w:r>
          </w:p>
        </w:tc>
        <w:tc>
          <w:tcPr>
            <w:tcW w:w="512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N Meridian Street</w:t>
            </w:r>
          </w:p>
        </w:tc>
      </w:tr>
      <w:tr>
        <w:trPr>
          <w:trHeight w:val="24"/>
        </w:trPr>
        <w:tc>
          <w:tcPr>
            <w:tcW w:w="1700" w:type="dxa"/>
            <w:vAlign w:val="bottom"/>
          </w:tcPr>
          <w:p>
            <w:pPr>
              <w:spacing w:after="0"/>
              <w:rPr>
                <w:sz w:val="2"/>
                <w:szCs w:val="2"/>
                <w:color w:val="auto"/>
              </w:rPr>
            </w:pPr>
          </w:p>
        </w:tc>
        <w:tc>
          <w:tcPr>
            <w:tcW w:w="2680" w:type="dxa"/>
            <w:vAlign w:val="bottom"/>
            <w:gridSpan w:val="2"/>
          </w:tcPr>
          <w:p>
            <w:pPr>
              <w:spacing w:after="0"/>
              <w:rPr>
                <w:sz w:val="20"/>
                <w:szCs w:val="20"/>
                <w:color w:val="auto"/>
              </w:rPr>
            </w:pPr>
            <w:r>
              <w:rPr>
                <w:rFonts w:ascii="Arial" w:cs="Arial" w:eastAsia="Arial" w:hAnsi="Arial"/>
                <w:sz w:val="2"/>
                <w:szCs w:val="2"/>
                <w:color w:val="auto"/>
              </w:rPr>
              <w:t>Decatur, Indiana</w:t>
            </w:r>
          </w:p>
        </w:tc>
        <w:tc>
          <w:tcPr>
            <w:tcW w:w="1940" w:type="dxa"/>
            <w:vAlign w:val="bottom"/>
            <w:gridSpan w:val="3"/>
          </w:tcPr>
          <w:p>
            <w:pPr>
              <w:ind w:left="1560"/>
              <w:spacing w:after="0"/>
              <w:rPr>
                <w:sz w:val="20"/>
                <w:szCs w:val="20"/>
                <w:color w:val="auto"/>
              </w:rPr>
            </w:pPr>
            <w:r>
              <w:rPr>
                <w:rFonts w:ascii="Arial" w:cs="Arial" w:eastAsia="Arial" w:hAnsi="Arial"/>
                <w:sz w:val="2"/>
                <w:szCs w:val="2"/>
                <w:color w:val="auto"/>
              </w:rPr>
              <w:t>1061</w:t>
            </w:r>
          </w:p>
        </w:tc>
        <w:tc>
          <w:tcPr>
            <w:tcW w:w="5120" w:type="dxa"/>
            <w:vAlign w:val="bottom"/>
            <w:gridSpan w:val="2"/>
          </w:tcPr>
          <w:p>
            <w:pPr>
              <w:ind w:left="20"/>
              <w:spacing w:after="0"/>
              <w:rPr>
                <w:sz w:val="20"/>
                <w:szCs w:val="20"/>
                <w:color w:val="auto"/>
              </w:rPr>
            </w:pPr>
            <w:r>
              <w:rPr>
                <w:rFonts w:ascii="Arial" w:cs="Arial" w:eastAsia="Arial" w:hAnsi="Arial"/>
                <w:sz w:val="2"/>
                <w:szCs w:val="2"/>
                <w:color w:val="auto"/>
              </w:rPr>
              <w:t>S 13  Street</w:t>
            </w:r>
          </w:p>
        </w:tc>
      </w:tr>
      <w:tr>
        <w:trPr>
          <w:trHeight w:val="189"/>
        </w:trPr>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80" w:type="dxa"/>
            <w:vAlign w:val="bottom"/>
          </w:tcPr>
          <w:p>
            <w:pPr>
              <w:ind w:left="80"/>
              <w:spacing w:after="0"/>
              <w:rPr>
                <w:sz w:val="20"/>
                <w:szCs w:val="20"/>
                <w:color w:val="auto"/>
              </w:rPr>
            </w:pPr>
            <w:r>
              <w:rPr>
                <w:rFonts w:ascii="Arial" w:cs="Arial" w:eastAsia="Arial" w:hAnsi="Arial"/>
                <w:sz w:val="15"/>
                <w:szCs w:val="15"/>
                <w:color w:val="auto"/>
              </w:rPr>
              <w:t>th</w:t>
            </w:r>
          </w:p>
        </w:tc>
      </w:tr>
      <w:tr>
        <w:trPr>
          <w:trHeight w:val="602"/>
        </w:trPr>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60" w:type="dxa"/>
            <w:vAlign w:val="bottom"/>
          </w:tcPr>
          <w:p>
            <w:pPr>
              <w:jc w:val="right"/>
              <w:ind w:right="63"/>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12"/>
        </w:trPr>
        <w:tc>
          <w:tcPr>
            <w:tcW w:w="17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24"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are no material pending legal proceedings, other than ordinary routine proceedings incidental to the business of the Company or its subsidiaries, to which we are a party or of which any of our properties are the subject.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PART II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AND RELATED STOCKHOLDER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on the NASDAQ Stock Market LLC under the trading symbol “FMAO.”</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August 18, 2017, the Company’s Board of Directors authorized a two-for-one stock split payable on September 20, 2017, for shareholders of record on September 5,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Computershare as its transfer agent.</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2019, there were 1,806 record holders of our common stock of which 43.33% of the outstanding shares are being held in brokerage accounts or “street name” and only considered as one record holder.</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Below is a line-graph presentation comparing the cumulative total shareholder returns for the Corporation, an index for NASDAQ Stock Market (U.S. Companies) comprised of all domestic common shares traded on the NASDAQ National Market System and the NASDAQ Bank Index for the five-year period ended December 31, 2019. The chart compares the value of $100 invested in the Corporation and each of the indices and assumes investment on December 31, 2014 with all dividends reinvested.</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of Directors recognizes that the market price of stock is influenced by many factors, only one of which is performance. The stock price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122555</wp:posOffset>
            </wp:positionV>
            <wp:extent cx="5610860" cy="1856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10860" cy="185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19"/>
                <w:szCs w:val="19"/>
                <w:color w:val="auto"/>
              </w:rPr>
            </w:pPr>
          </w:p>
        </w:tc>
      </w:tr>
      <w:tr>
        <w:trPr>
          <w:trHeight w:val="217"/>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FMAO</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103.85</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137.55</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315.56</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302.47</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244.65</w:t>
            </w:r>
          </w:p>
        </w:tc>
        <w:tc>
          <w:tcPr>
            <w:tcW w:w="120" w:type="dxa"/>
            <w:vAlign w:val="bottom"/>
            <w:shd w:val="clear" w:color="auto" w:fill="CFF0FC"/>
          </w:tcPr>
          <w:p>
            <w:pPr>
              <w:spacing w:after="0"/>
              <w:rPr>
                <w:sz w:val="18"/>
                <w:szCs w:val="18"/>
                <w:color w:val="auto"/>
              </w:rPr>
            </w:pPr>
          </w:p>
        </w:tc>
      </w:tr>
      <w:tr>
        <w:trPr>
          <w:trHeight w:val="224"/>
        </w:trPr>
        <w:tc>
          <w:tcPr>
            <w:tcW w:w="4760" w:type="dxa"/>
            <w:vAlign w:val="bottom"/>
          </w:tcPr>
          <w:p>
            <w:pPr>
              <w:spacing w:after="0"/>
              <w:rPr>
                <w:sz w:val="20"/>
                <w:szCs w:val="20"/>
                <w:color w:val="auto"/>
              </w:rPr>
            </w:pPr>
            <w:r>
              <w:rPr>
                <w:rFonts w:ascii="Arial" w:cs="Arial" w:eastAsia="Arial" w:hAnsi="Arial"/>
                <w:sz w:val="18"/>
                <w:szCs w:val="18"/>
                <w:color w:val="auto"/>
              </w:rPr>
              <w:t>NASDAQ - COMPOSITE</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107.08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116.43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146.12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197.34</w:t>
            </w:r>
          </w:p>
        </w:tc>
        <w:tc>
          <w:tcPr>
            <w:tcW w:w="120" w:type="dxa"/>
            <w:vAlign w:val="bottom"/>
          </w:tcPr>
          <w:p>
            <w:pPr>
              <w:spacing w:after="0"/>
              <w:rPr>
                <w:sz w:val="19"/>
                <w:szCs w:val="19"/>
                <w:color w:val="auto"/>
              </w:rPr>
            </w:pPr>
          </w:p>
        </w:tc>
      </w:tr>
      <w:tr>
        <w:trPr>
          <w:trHeight w:val="224"/>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NASDAQ - BANK INDEX</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132.57</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162.08</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Dividends are declared and paid quarterly. Per share dividends declared for the years ended 2019 and 2018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1st Quarter</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3"/>
              </w:rPr>
              <w:t>2nd Quarter</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3rd Quarter</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7"/>
              </w:rPr>
              <w:t>4th Quarter</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tcPr>
          <w:p>
            <w:pPr>
              <w:spacing w:after="0"/>
              <w:rPr>
                <w:sz w:val="19"/>
                <w:szCs w:val="19"/>
                <w:color w:val="auto"/>
              </w:rPr>
            </w:pPr>
          </w:p>
        </w:tc>
      </w:tr>
      <w:tr>
        <w:trPr>
          <w:trHeight w:val="217"/>
        </w:trPr>
        <w:tc>
          <w:tcPr>
            <w:tcW w:w="5300" w:type="dxa"/>
            <w:vAlign w:val="bottom"/>
            <w:shd w:val="clear" w:color="auto" w:fill="CFF0FC"/>
          </w:tcPr>
          <w:p>
            <w:pPr>
              <w:jc w:val="right"/>
              <w:ind w:right="4852"/>
              <w:spacing w:after="0"/>
              <w:rPr>
                <w:sz w:val="20"/>
                <w:szCs w:val="20"/>
                <w:color w:val="auto"/>
              </w:rPr>
            </w:pPr>
            <w:r>
              <w:rPr>
                <w:rFonts w:ascii="Arial" w:cs="Arial" w:eastAsia="Arial" w:hAnsi="Arial"/>
                <w:sz w:val="18"/>
                <w:szCs w:val="18"/>
                <w:color w:val="auto"/>
                <w:w w:val="84"/>
              </w:rPr>
              <w:t>2019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600" w:type="dxa"/>
            <w:vAlign w:val="bottom"/>
            <w:gridSpan w:val="2"/>
            <w:shd w:val="clear" w:color="auto" w:fill="CFF0FC"/>
          </w:tcPr>
          <w:p>
            <w:pPr>
              <w:jc w:val="right"/>
              <w:ind w:right="2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FF0FC"/>
          </w:tcPr>
          <w:p>
            <w:pPr>
              <w:spacing w:after="0"/>
              <w:rPr>
                <w:sz w:val="18"/>
                <w:szCs w:val="18"/>
                <w:color w:val="auto"/>
              </w:rPr>
            </w:pPr>
          </w:p>
        </w:tc>
      </w:tr>
      <w:tr>
        <w:trPr>
          <w:trHeight w:val="223"/>
        </w:trPr>
        <w:tc>
          <w:tcPr>
            <w:tcW w:w="5300" w:type="dxa"/>
            <w:vAlign w:val="bottom"/>
          </w:tcPr>
          <w:p>
            <w:pPr>
              <w:jc w:val="right"/>
              <w:ind w:right="4852"/>
              <w:spacing w:after="0"/>
              <w:rPr>
                <w:sz w:val="20"/>
                <w:szCs w:val="20"/>
                <w:color w:val="auto"/>
              </w:rPr>
            </w:pPr>
            <w:r>
              <w:rPr>
                <w:rFonts w:ascii="Arial" w:cs="Arial" w:eastAsia="Arial" w:hAnsi="Arial"/>
                <w:sz w:val="18"/>
                <w:szCs w:val="18"/>
                <w:color w:val="auto"/>
                <w:w w:val="84"/>
              </w:rPr>
              <w:t>2018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60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r>
    </w:tbl>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Dividends declared during 2019 were $0.61 per share totaling $6.73 million, 8.9% higher than 2018 declared dividends of $0.56 per share. During 2019, the Company awarded 38,100 shares to 94 employees and 3,220 shares were forfeited under its long term incentive plan. At year end, 2019, the Company held 1,093,065 shares in Treasury stock and 88,450 in unearned stock awards.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Dividends declared during 2018 were $0.56 per share totaling $5.14 million, 12% higher than 2017 declared dividends of $0.50 per share. During 2018, the Company awarded 33,000 restricted shares to 80 employees and 2,620 shares were forfeited under its long term incentive plan. At yearend 2018, the Company held 1,114,739 shares in Treasury stock and 93,940 in unearned stock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to continue to maintain the payment of its quarterly dividend consistent with its past practices.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2"/>
        </w:trPr>
        <w:tc>
          <w:tcPr>
            <w:tcW w:w="7060" w:type="dxa"/>
            <w:vAlign w:val="bottom"/>
            <w:gridSpan w:val="2"/>
          </w:tcPr>
          <w:p>
            <w:pPr>
              <w:spacing w:after="0"/>
              <w:rPr>
                <w:sz w:val="20"/>
                <w:szCs w:val="20"/>
                <w:color w:val="auto"/>
              </w:rPr>
            </w:pPr>
            <w:r>
              <w:rPr>
                <w:rFonts w:ascii="Arial" w:cs="Arial" w:eastAsia="Arial" w:hAnsi="Arial"/>
                <w:sz w:val="18"/>
                <w:szCs w:val="18"/>
                <w:color w:val="auto"/>
              </w:rPr>
              <w:t>The Company continues to have a strong capital base.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5"/>
        </w:trPr>
        <w:tc>
          <w:tcPr>
            <w:tcW w:w="1740" w:type="dxa"/>
            <w:vAlign w:val="bottom"/>
          </w:tcPr>
          <w:p>
            <w:pPr>
              <w:spacing w:after="0"/>
              <w:rPr>
                <w:sz w:val="24"/>
                <w:szCs w:val="24"/>
                <w:color w:val="auto"/>
              </w:rPr>
            </w:pPr>
          </w:p>
        </w:tc>
        <w:tc>
          <w:tcPr>
            <w:tcW w:w="5320" w:type="dxa"/>
            <w:vAlign w:val="bottom"/>
            <w:tcBorders>
              <w:bottom w:val="single" w:sz="8" w:color="CFF0FC"/>
            </w:tcBorders>
          </w:tcPr>
          <w:p>
            <w:pPr>
              <w:spacing w:after="0"/>
              <w:rPr>
                <w:sz w:val="24"/>
                <w:szCs w:val="24"/>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FF0FC"/>
            </w:tcBorders>
          </w:tcPr>
          <w:p>
            <w:pPr>
              <w:spacing w:after="0"/>
              <w:rPr>
                <w:sz w:val="24"/>
                <w:szCs w:val="24"/>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4"/>
                <w:szCs w:val="24"/>
                <w:color w:val="auto"/>
              </w:rPr>
            </w:pPr>
          </w:p>
        </w:tc>
      </w:tr>
      <w:tr>
        <w:trPr>
          <w:trHeight w:val="217"/>
        </w:trPr>
        <w:tc>
          <w:tcPr>
            <w:tcW w:w="174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11.52%</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12.81%</w:t>
            </w:r>
          </w:p>
        </w:tc>
      </w:tr>
      <w:tr>
        <w:trPr>
          <w:trHeight w:val="224"/>
        </w:trPr>
        <w:tc>
          <w:tcPr>
            <w:tcW w:w="7060" w:type="dxa"/>
            <w:vAlign w:val="bottom"/>
            <w:gridSpan w:val="2"/>
          </w:tcPr>
          <w:p>
            <w:pPr>
              <w:ind w:left="1720"/>
              <w:spacing w:after="0"/>
              <w:rPr>
                <w:sz w:val="20"/>
                <w:szCs w:val="20"/>
                <w:color w:val="auto"/>
              </w:rPr>
            </w:pPr>
            <w:r>
              <w:rPr>
                <w:rFonts w:ascii="Arial" w:cs="Arial" w:eastAsia="Arial" w:hAnsi="Arial"/>
                <w:sz w:val="18"/>
                <w:szCs w:val="18"/>
                <w:color w:val="auto"/>
              </w:rPr>
              <w:t>Risk Based Capital Tier I</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13.63%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15.44%</w:t>
            </w:r>
          </w:p>
        </w:tc>
      </w:tr>
      <w:tr>
        <w:trPr>
          <w:trHeight w:val="224"/>
        </w:trPr>
        <w:tc>
          <w:tcPr>
            <w:tcW w:w="174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14.22%</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16.21%</w:t>
            </w:r>
          </w:p>
        </w:tc>
      </w:tr>
      <w:tr>
        <w:trPr>
          <w:trHeight w:val="224"/>
        </w:trPr>
        <w:tc>
          <w:tcPr>
            <w:tcW w:w="7060" w:type="dxa"/>
            <w:vAlign w:val="bottom"/>
            <w:gridSpan w:val="2"/>
          </w:tcPr>
          <w:p>
            <w:pPr>
              <w:ind w:left="1720"/>
              <w:spacing w:after="0"/>
              <w:rPr>
                <w:sz w:val="20"/>
                <w:szCs w:val="20"/>
                <w:color w:val="auto"/>
              </w:rPr>
            </w:pPr>
            <w:r>
              <w:rPr>
                <w:rFonts w:ascii="Arial" w:cs="Arial" w:eastAsia="Arial" w:hAnsi="Arial"/>
                <w:sz w:val="18"/>
                <w:szCs w:val="18"/>
                <w:color w:val="auto"/>
              </w:rPr>
              <w:t>Stockholders' Equity/Total Assets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14.33%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r>
      <w:tr>
        <w:trPr>
          <w:trHeight w:val="224"/>
        </w:trPr>
        <w:tc>
          <w:tcPr>
            <w:tcW w:w="174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6.22%</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8.21%</w:t>
            </w:r>
          </w:p>
        </w:tc>
      </w:tr>
    </w:tbl>
    <w:p>
      <w:pPr>
        <w:spacing w:after="0" w:line="198"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On January 17, 2020, the Company announced the authorization by its Board of Directors for the Company’s repurchase, either on the open market, or in privately negotiated transactions, of up to 550,000 shares of its outstanding common stock commencing January 17, 2020 and ending December 31, 2020.</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900" w:type="dxa"/>
            <w:vAlign w:val="bottom"/>
            <w:gridSpan w:val="5"/>
          </w:tcPr>
          <w:p>
            <w:pPr>
              <w:jc w:val="right"/>
              <w:ind w:right="1552"/>
              <w:spacing w:after="0"/>
              <w:rPr>
                <w:sz w:val="20"/>
                <w:szCs w:val="20"/>
                <w:color w:val="auto"/>
              </w:rPr>
            </w:pPr>
            <w:r>
              <w:rPr>
                <w:rFonts w:ascii="Arial" w:cs="Arial" w:eastAsia="Arial" w:hAnsi="Arial"/>
                <w:sz w:val="18"/>
                <w:szCs w:val="18"/>
                <w:b w:val="1"/>
                <w:bCs w:val="1"/>
                <w:color w:val="auto"/>
              </w:rPr>
              <w:t>ISSUER PURCHASES OF EQUITY SECURITIES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3"/>
        </w:trPr>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Total Number of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Remaining Share</w:t>
            </w:r>
          </w:p>
        </w:tc>
      </w:tr>
      <w:tr>
        <w:trPr>
          <w:trHeight w:val="211"/>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1"/>
              </w:rPr>
              <w:t>Total Number of</w:t>
            </w:r>
          </w:p>
        </w:tc>
        <w:tc>
          <w:tcPr>
            <w:tcW w:w="6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w w:val="95"/>
              </w:rPr>
              <w:t>Average Price</w:t>
            </w:r>
          </w:p>
        </w:tc>
        <w:tc>
          <w:tcPr>
            <w:tcW w:w="5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Purchased as Part of Publicly</w:t>
            </w:r>
          </w:p>
        </w:tc>
        <w:tc>
          <w:tcPr>
            <w:tcW w:w="24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Repurchases</w:t>
            </w:r>
          </w:p>
        </w:tc>
      </w:tr>
      <w:tr>
        <w:trPr>
          <w:trHeight w:val="184"/>
        </w:trPr>
        <w:tc>
          <w:tcPr>
            <w:tcW w:w="2820" w:type="dxa"/>
            <w:vAlign w:val="bottom"/>
            <w:gridSpan w:val="2"/>
          </w:tcPr>
          <w:p>
            <w:pPr>
              <w:spacing w:after="0" w:line="183" w:lineRule="exact"/>
              <w:rPr>
                <w:sz w:val="20"/>
                <w:szCs w:val="20"/>
                <w:color w:val="auto"/>
              </w:rPr>
            </w:pPr>
            <w:r>
              <w:rPr>
                <w:rFonts w:ascii="Arial" w:cs="Arial" w:eastAsia="Arial" w:hAnsi="Arial"/>
                <w:sz w:val="18"/>
                <w:szCs w:val="18"/>
                <w:color w:val="auto"/>
              </w:rPr>
              <w:t>Period</w:t>
            </w:r>
          </w:p>
        </w:tc>
        <w:tc>
          <w:tcPr>
            <w:tcW w:w="1260" w:type="dxa"/>
            <w:vAlign w:val="bottom"/>
          </w:tcPr>
          <w:p>
            <w:pPr>
              <w:jc w:val="right"/>
              <w:spacing w:after="0" w:line="183" w:lineRule="exact"/>
              <w:rPr>
                <w:sz w:val="20"/>
                <w:szCs w:val="20"/>
                <w:color w:val="auto"/>
              </w:rPr>
            </w:pPr>
            <w:r>
              <w:rPr>
                <w:rFonts w:ascii="Arial" w:cs="Arial" w:eastAsia="Arial" w:hAnsi="Arial"/>
                <w:sz w:val="18"/>
                <w:szCs w:val="18"/>
                <w:color w:val="auto"/>
                <w:w w:val="82"/>
              </w:rPr>
              <w:t>Shares Purchased</w:t>
            </w:r>
          </w:p>
        </w:tc>
        <w:tc>
          <w:tcPr>
            <w:tcW w:w="640" w:type="dxa"/>
            <w:vAlign w:val="bottom"/>
          </w:tcPr>
          <w:p>
            <w:pPr>
              <w:spacing w:after="0"/>
              <w:rPr>
                <w:sz w:val="15"/>
                <w:szCs w:val="15"/>
                <w:color w:val="auto"/>
              </w:rPr>
            </w:pPr>
          </w:p>
        </w:tc>
        <w:tc>
          <w:tcPr>
            <w:tcW w:w="1260" w:type="dxa"/>
            <w:vAlign w:val="bottom"/>
          </w:tcPr>
          <w:p>
            <w:pPr>
              <w:jc w:val="right"/>
              <w:ind w:right="52"/>
              <w:spacing w:after="0" w:line="183" w:lineRule="exact"/>
              <w:rPr>
                <w:sz w:val="20"/>
                <w:szCs w:val="20"/>
                <w:color w:val="auto"/>
              </w:rPr>
            </w:pPr>
            <w:r>
              <w:rPr>
                <w:rFonts w:ascii="Arial" w:cs="Arial" w:eastAsia="Arial" w:hAnsi="Arial"/>
                <w:sz w:val="18"/>
                <w:szCs w:val="18"/>
                <w:color w:val="auto"/>
                <w:w w:val="91"/>
              </w:rPr>
              <w:t>Paid per Share</w:t>
            </w:r>
          </w:p>
        </w:tc>
        <w:tc>
          <w:tcPr>
            <w:tcW w:w="560" w:type="dxa"/>
            <w:vAlign w:val="bottom"/>
          </w:tcPr>
          <w:p>
            <w:pPr>
              <w:spacing w:after="0"/>
              <w:rPr>
                <w:sz w:val="15"/>
                <w:szCs w:val="15"/>
                <w:color w:val="auto"/>
              </w:rPr>
            </w:pPr>
          </w:p>
        </w:tc>
        <w:tc>
          <w:tcPr>
            <w:tcW w:w="2180" w:type="dxa"/>
            <w:vAlign w:val="bottom"/>
          </w:tcPr>
          <w:p>
            <w:pPr>
              <w:jc w:val="center"/>
              <w:spacing w:after="0" w:line="183" w:lineRule="exact"/>
              <w:rPr>
                <w:sz w:val="20"/>
                <w:szCs w:val="20"/>
                <w:color w:val="auto"/>
              </w:rPr>
            </w:pPr>
            <w:r>
              <w:rPr>
                <w:rFonts w:ascii="Arial" w:cs="Arial" w:eastAsia="Arial" w:hAnsi="Arial"/>
                <w:sz w:val="18"/>
                <w:szCs w:val="18"/>
                <w:color w:val="auto"/>
                <w:w w:val="88"/>
              </w:rPr>
              <w:t>Announced Plan or Programs</w:t>
            </w:r>
          </w:p>
        </w:tc>
        <w:tc>
          <w:tcPr>
            <w:tcW w:w="240" w:type="dxa"/>
            <w:vAlign w:val="bottom"/>
          </w:tcPr>
          <w:p>
            <w:pPr>
              <w:spacing w:after="0"/>
              <w:rPr>
                <w:sz w:val="15"/>
                <w:szCs w:val="15"/>
                <w:color w:val="auto"/>
              </w:rPr>
            </w:pPr>
          </w:p>
        </w:tc>
        <w:tc>
          <w:tcPr>
            <w:tcW w:w="1320" w:type="dxa"/>
            <w:vAlign w:val="bottom"/>
            <w:gridSpan w:val="2"/>
          </w:tcPr>
          <w:p>
            <w:pPr>
              <w:jc w:val="center"/>
              <w:ind w:right="100"/>
              <w:spacing w:after="0" w:line="183" w:lineRule="exact"/>
              <w:rPr>
                <w:sz w:val="20"/>
                <w:szCs w:val="20"/>
                <w:color w:val="auto"/>
              </w:rPr>
            </w:pPr>
            <w:r>
              <w:rPr>
                <w:rFonts w:ascii="Arial" w:cs="Arial" w:eastAsia="Arial" w:hAnsi="Arial"/>
                <w:sz w:val="18"/>
                <w:szCs w:val="18"/>
                <w:color w:val="auto"/>
                <w:w w:val="93"/>
              </w:rPr>
              <w:t>Authorization</w:t>
            </w:r>
          </w:p>
        </w:tc>
      </w:tr>
      <w:tr>
        <w:trPr>
          <w:trHeight w:val="20"/>
        </w:trPr>
        <w:tc>
          <w:tcPr>
            <w:tcW w:w="460" w:type="dxa"/>
            <w:vAlign w:val="bottom"/>
            <w:tcBorders>
              <w:top w:val="single" w:sz="8" w:color="auto"/>
              <w:bottom w:val="single" w:sz="8" w:color="CFF0FC"/>
            </w:tcBorders>
          </w:tcPr>
          <w:p>
            <w:pPr>
              <w:spacing w:after="0" w:line="20" w:lineRule="exact"/>
              <w:rPr>
                <w:sz w:val="1"/>
                <w:szCs w:val="1"/>
                <w:color w:val="auto"/>
              </w:rPr>
            </w:pPr>
          </w:p>
        </w:tc>
        <w:tc>
          <w:tcPr>
            <w:tcW w:w="236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FF0FC"/>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17"/>
        </w:trPr>
        <w:tc>
          <w:tcPr>
            <w:tcW w:w="2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10/1/2019</w:t>
            </w:r>
          </w:p>
        </w:tc>
        <w:tc>
          <w:tcPr>
            <w:tcW w:w="1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4"/>
        </w:trPr>
        <w:tc>
          <w:tcPr>
            <w:tcW w:w="2820" w:type="dxa"/>
            <w:vAlign w:val="bottom"/>
            <w:gridSpan w:val="2"/>
          </w:tcPr>
          <w:p>
            <w:pPr>
              <w:spacing w:after="0"/>
              <w:rPr>
                <w:sz w:val="20"/>
                <w:szCs w:val="20"/>
                <w:color w:val="auto"/>
              </w:rPr>
            </w:pPr>
            <w:r>
              <w:rPr>
                <w:rFonts w:ascii="Arial" w:cs="Arial" w:eastAsia="Arial" w:hAnsi="Arial"/>
                <w:sz w:val="18"/>
                <w:szCs w:val="18"/>
                <w:color w:val="auto"/>
              </w:rPr>
              <w:t>to</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r>
      <w:tr>
        <w:trPr>
          <w:trHeight w:val="224"/>
        </w:trPr>
        <w:tc>
          <w:tcPr>
            <w:tcW w:w="2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10/31/2019</w:t>
            </w:r>
          </w:p>
        </w:tc>
        <w:tc>
          <w:tcPr>
            <w:tcW w:w="1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4"/>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4"/>
        </w:trPr>
        <w:tc>
          <w:tcPr>
            <w:tcW w:w="2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11/1/2019</w:t>
            </w:r>
          </w:p>
        </w:tc>
        <w:tc>
          <w:tcPr>
            <w:tcW w:w="1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4"/>
        </w:trPr>
        <w:tc>
          <w:tcPr>
            <w:tcW w:w="2820" w:type="dxa"/>
            <w:vAlign w:val="bottom"/>
            <w:gridSpan w:val="2"/>
          </w:tcPr>
          <w:p>
            <w:pPr>
              <w:spacing w:after="0"/>
              <w:rPr>
                <w:sz w:val="20"/>
                <w:szCs w:val="20"/>
                <w:color w:val="auto"/>
              </w:rPr>
            </w:pPr>
            <w:r>
              <w:rPr>
                <w:rFonts w:ascii="Arial" w:cs="Arial" w:eastAsia="Arial" w:hAnsi="Arial"/>
                <w:sz w:val="18"/>
                <w:szCs w:val="18"/>
                <w:color w:val="auto"/>
              </w:rPr>
              <w:t>to</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r>
      <w:tr>
        <w:trPr>
          <w:trHeight w:val="224"/>
        </w:trPr>
        <w:tc>
          <w:tcPr>
            <w:tcW w:w="2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11/30/2019</w:t>
            </w:r>
          </w:p>
        </w:tc>
        <w:tc>
          <w:tcPr>
            <w:tcW w:w="1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4"/>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4"/>
        </w:trPr>
        <w:tc>
          <w:tcPr>
            <w:tcW w:w="2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12/1/2019</w:t>
            </w:r>
          </w:p>
        </w:tc>
        <w:tc>
          <w:tcPr>
            <w:tcW w:w="1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4"/>
        </w:trPr>
        <w:tc>
          <w:tcPr>
            <w:tcW w:w="2820" w:type="dxa"/>
            <w:vAlign w:val="bottom"/>
            <w:gridSpan w:val="2"/>
          </w:tcPr>
          <w:p>
            <w:pPr>
              <w:spacing w:after="0"/>
              <w:rPr>
                <w:sz w:val="20"/>
                <w:szCs w:val="20"/>
                <w:color w:val="auto"/>
              </w:rPr>
            </w:pPr>
            <w:r>
              <w:rPr>
                <w:rFonts w:ascii="Arial" w:cs="Arial" w:eastAsia="Arial" w:hAnsi="Arial"/>
                <w:sz w:val="18"/>
                <w:szCs w:val="18"/>
                <w:color w:val="auto"/>
              </w:rPr>
              <w:t>to</w:t>
            </w: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640" w:type="dxa"/>
            <w:vAlign w:val="bottom"/>
          </w:tcPr>
          <w:p>
            <w:pPr>
              <w:jc w:val="right"/>
              <w:ind w:right="145"/>
              <w:spacing w:after="0"/>
              <w:rPr>
                <w:sz w:val="20"/>
                <w:szCs w:val="20"/>
                <w:color w:val="auto"/>
              </w:rPr>
            </w:pPr>
            <w:r>
              <w:rPr>
                <w:rFonts w:ascii="Arial" w:cs="Arial" w:eastAsia="Arial" w:hAnsi="Arial"/>
                <w:sz w:val="15"/>
                <w:szCs w:val="15"/>
                <w:color w:val="auto"/>
              </w:rPr>
              <w:t>(2 )</w:t>
            </w:r>
          </w:p>
        </w:tc>
        <w:tc>
          <w:tcPr>
            <w:tcW w:w="1260" w:type="dxa"/>
            <w:vAlign w:val="bottom"/>
          </w:tcPr>
          <w:p>
            <w:pPr>
              <w:jc w:val="right"/>
              <w:spacing w:after="0"/>
              <w:rPr>
                <w:sz w:val="20"/>
                <w:szCs w:val="20"/>
                <w:color w:val="auto"/>
              </w:rPr>
            </w:pPr>
            <w:r>
              <w:rPr>
                <w:rFonts w:ascii="Arial" w:cs="Arial" w:eastAsia="Arial" w:hAnsi="Arial"/>
                <w:sz w:val="18"/>
                <w:szCs w:val="18"/>
                <w:color w:val="auto"/>
              </w:rPr>
              <w:t>28.70</w:t>
            </w:r>
          </w:p>
        </w:tc>
        <w:tc>
          <w:tcPr>
            <w:tcW w:w="560" w:type="dxa"/>
            <w:vAlign w:val="bottom"/>
          </w:tcPr>
          <w:p>
            <w:pPr>
              <w:jc w:val="right"/>
              <w:ind w:right="125"/>
              <w:spacing w:after="0"/>
              <w:rPr>
                <w:sz w:val="20"/>
                <w:szCs w:val="20"/>
                <w:color w:val="auto"/>
              </w:rPr>
            </w:pPr>
            <w:r>
              <w:rPr>
                <w:rFonts w:ascii="Arial" w:cs="Arial" w:eastAsia="Arial" w:hAnsi="Arial"/>
                <w:sz w:val="15"/>
                <w:szCs w:val="15"/>
                <w:color w:val="auto"/>
              </w:rPr>
              <w:t>(2 )</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r>
      <w:tr>
        <w:trPr>
          <w:trHeight w:val="224"/>
        </w:trPr>
        <w:tc>
          <w:tcPr>
            <w:tcW w:w="2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12/31/2019</w:t>
            </w:r>
          </w:p>
        </w:tc>
        <w:tc>
          <w:tcPr>
            <w:tcW w:w="1260" w:type="dxa"/>
            <w:vAlign w:val="bottom"/>
            <w:tcBorders>
              <w:bottom w:val="single" w:sz="8" w:color="auto"/>
            </w:tcBorders>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6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560" w:type="dxa"/>
            <w:vAlign w:val="bottom"/>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left="540" w:hanging="535"/>
        <w:spacing w:after="0" w:line="282"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6"/>
          <w:szCs w:val="16"/>
          <w:color w:val="auto"/>
        </w:rPr>
        <w:t>From time to time, the Company purchases shares in the market pursuant to a stock repurchase program publicly announced on January 18, 2019. On that date, the Board of Directors authorized the repurchase of 500,000 common shares between January 18, 2019 and December 31, 2019.</w:t>
      </w:r>
    </w:p>
    <w:p>
      <w:pPr>
        <w:ind w:left="540" w:hanging="535"/>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8"/>
          <w:szCs w:val="18"/>
          <w:color w:val="auto"/>
        </w:rPr>
        <w:t>Shares which were repurchased for taxes on vested stock awards are outside of this program.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2018 and 2017 consolidated financial statements have been reclassified to conform with the 2019 presentation.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SUMMARY OF SELECTED CONSOLIDATED FINANCIAL DATA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53"/>
        </w:trPr>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6"/>
              </w:rPr>
              <w:t>Summary of Consolidated Statement of Income - UNAUDITED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8"/>
        </w:trPr>
        <w:tc>
          <w:tcPr>
            <w:tcW w:w="5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8"/>
                <w:szCs w:val="18"/>
                <w:color w:val="auto"/>
                <w:w w:val="92"/>
              </w:rPr>
              <w:t>(In Thousands, except share data)</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5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FF0FC"/>
            </w:tcBorders>
          </w:tcPr>
          <w:p>
            <w:pPr>
              <w:spacing w:after="0"/>
              <w:rPr>
                <w:sz w:val="18"/>
                <w:szCs w:val="18"/>
                <w:color w:val="auto"/>
              </w:rPr>
            </w:pPr>
          </w:p>
        </w:tc>
      </w:tr>
      <w:tr>
        <w:trPr>
          <w:trHeight w:val="217"/>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4"/>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68,306</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46,429</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41,248</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37,727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33,650</w:t>
            </w:r>
          </w:p>
        </w:tc>
        <w:tc>
          <w:tcPr>
            <w:tcW w:w="120" w:type="dxa"/>
            <w:vAlign w:val="bottom"/>
          </w:tcPr>
          <w:p>
            <w:pPr>
              <w:spacing w:after="0"/>
              <w:rPr>
                <w:sz w:val="19"/>
                <w:szCs w:val="19"/>
                <w:color w:val="auto"/>
              </w:rPr>
            </w:pPr>
          </w:p>
        </w:tc>
      </w:tr>
      <w:tr>
        <w:trPr>
          <w:trHeight w:val="224"/>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120" w:type="dxa"/>
            <w:vAlign w:val="bottom"/>
            <w:shd w:val="clear" w:color="auto" w:fill="CFF0FC"/>
          </w:tcPr>
          <w:p>
            <w:pPr>
              <w:spacing w:after="0"/>
              <w:rPr>
                <w:sz w:val="19"/>
                <w:szCs w:val="19"/>
                <w:color w:val="auto"/>
              </w:rPr>
            </w:pPr>
          </w:p>
        </w:tc>
      </w:tr>
      <w:tr>
        <w:trPr>
          <w:trHeight w:val="217"/>
        </w:trPr>
        <w:tc>
          <w:tcPr>
            <w:tcW w:w="6080" w:type="dxa"/>
            <w:vAlign w:val="bottom"/>
            <w:gridSpan w:val="2"/>
          </w:tcPr>
          <w:p>
            <w:pPr>
              <w:ind w:left="480"/>
              <w:spacing w:after="0"/>
              <w:rPr>
                <w:sz w:val="20"/>
                <w:szCs w:val="20"/>
                <w:color w:val="auto"/>
              </w:rPr>
            </w:pPr>
            <w:r>
              <w:rPr>
                <w:rFonts w:ascii="Arial" w:cs="Arial" w:eastAsia="Arial" w:hAnsi="Arial"/>
                <w:sz w:val="18"/>
                <w:szCs w:val="18"/>
                <w:color w:val="auto"/>
              </w:rPr>
              <w:t>Net Interest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53,547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30,063</w:t>
            </w:r>
          </w:p>
        </w:tc>
        <w:tc>
          <w:tcPr>
            <w:tcW w:w="120" w:type="dxa"/>
            <w:vAlign w:val="bottom"/>
          </w:tcPr>
          <w:p>
            <w:pPr>
              <w:spacing w:after="0"/>
              <w:rPr>
                <w:sz w:val="18"/>
                <w:szCs w:val="18"/>
                <w:color w:val="auto"/>
              </w:rPr>
            </w:pPr>
          </w:p>
        </w:tc>
      </w:tr>
      <w:tr>
        <w:trPr>
          <w:trHeight w:val="224"/>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FF0FC"/>
          </w:tcPr>
          <w:p>
            <w:pPr>
              <w:spacing w:after="0"/>
              <w:rPr>
                <w:sz w:val="19"/>
                <w:szCs w:val="19"/>
                <w:color w:val="auto"/>
              </w:rPr>
            </w:pPr>
          </w:p>
        </w:tc>
      </w:tr>
      <w:tr>
        <w:trPr>
          <w:trHeight w:val="217"/>
        </w:trPr>
        <w:tc>
          <w:tcPr>
            <w:tcW w:w="6080" w:type="dxa"/>
            <w:vAlign w:val="bottom"/>
            <w:gridSpan w:val="2"/>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39,533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29,438</w:t>
            </w:r>
          </w:p>
        </w:tc>
        <w:tc>
          <w:tcPr>
            <w:tcW w:w="120" w:type="dxa"/>
            <w:vAlign w:val="bottom"/>
          </w:tcPr>
          <w:p>
            <w:pPr>
              <w:spacing w:after="0"/>
              <w:rPr>
                <w:sz w:val="18"/>
                <w:szCs w:val="18"/>
                <w:color w:val="auto"/>
              </w:rPr>
            </w:pPr>
          </w:p>
        </w:tc>
      </w:tr>
      <w:tr>
        <w:trPr>
          <w:trHeight w:val="224"/>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(29,775)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(21,357)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(17,996)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(16,063)</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(15,279)</w:t>
            </w:r>
          </w:p>
        </w:tc>
      </w:tr>
      <w:tr>
        <w:trPr>
          <w:trHeight w:val="217"/>
        </w:trPr>
        <w:tc>
          <w:tcPr>
            <w:tcW w:w="6080" w:type="dxa"/>
            <w:vAlign w:val="bottom"/>
            <w:gridSpan w:val="2"/>
          </w:tcPr>
          <w:p>
            <w:pPr>
              <w:spacing w:after="0"/>
              <w:rPr>
                <w:sz w:val="20"/>
                <w:szCs w:val="20"/>
                <w:color w:val="auto"/>
              </w:rPr>
            </w:pPr>
            <w:r>
              <w:rPr>
                <w:rFonts w:ascii="Arial" w:cs="Arial" w:eastAsia="Arial" w:hAnsi="Arial"/>
                <w:sz w:val="18"/>
                <w:szCs w:val="18"/>
                <w:color w:val="auto"/>
              </w:rPr>
              <w:t>Net income before income taxes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16,320</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14,159</w:t>
            </w:r>
          </w:p>
        </w:tc>
        <w:tc>
          <w:tcPr>
            <w:tcW w:w="120" w:type="dxa"/>
            <w:vAlign w:val="bottom"/>
          </w:tcPr>
          <w:p>
            <w:pPr>
              <w:spacing w:after="0"/>
              <w:rPr>
                <w:sz w:val="18"/>
                <w:szCs w:val="18"/>
                <w:color w:val="auto"/>
              </w:rPr>
            </w:pPr>
          </w:p>
        </w:tc>
      </w:tr>
      <w:tr>
        <w:trPr>
          <w:trHeight w:val="224"/>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120" w:type="dxa"/>
            <w:vAlign w:val="bottom"/>
            <w:shd w:val="clear" w:color="auto" w:fill="CFF0FC"/>
          </w:tcPr>
          <w:p>
            <w:pPr>
              <w:spacing w:after="0"/>
              <w:rPr>
                <w:sz w:val="19"/>
                <w:szCs w:val="19"/>
                <w:color w:val="auto"/>
              </w:rPr>
            </w:pPr>
          </w:p>
        </w:tc>
      </w:tr>
      <w:tr>
        <w:trPr>
          <w:trHeight w:val="257"/>
        </w:trPr>
        <w:tc>
          <w:tcPr>
            <w:tcW w:w="6080" w:type="dxa"/>
            <w:vAlign w:val="bottom"/>
            <w:gridSpan w:val="2"/>
          </w:tcPr>
          <w:p>
            <w:pPr>
              <w:ind w:left="48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18,402</w:t>
            </w:r>
          </w:p>
        </w:tc>
        <w:tc>
          <w:tcPr>
            <w:tcW w:w="1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14,949</w:t>
            </w:r>
          </w:p>
        </w:tc>
        <w:tc>
          <w:tcPr>
            <w:tcW w:w="1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12,720</w:t>
            </w:r>
          </w:p>
        </w:tc>
        <w:tc>
          <w:tcPr>
            <w:tcW w:w="1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11,664</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22"/>
                <w:szCs w:val="22"/>
                <w:color w:val="auto"/>
              </w:rPr>
            </w:pPr>
          </w:p>
        </w:tc>
      </w:tr>
      <w:tr>
        <w:trPr>
          <w:trHeight w:val="204"/>
        </w:trPr>
        <w:tc>
          <w:tcPr>
            <w:tcW w:w="6080" w:type="dxa"/>
            <w:vAlign w:val="bottom"/>
            <w:tcBorders>
              <w:top w:val="single" w:sz="8" w:color="CFF0FC"/>
            </w:tcBorders>
            <w:gridSpan w:val="2"/>
            <w:shd w:val="clear" w:color="auto" w:fill="CFF0FC"/>
          </w:tcPr>
          <w:p>
            <w:pPr>
              <w:spacing w:after="0" w:line="203" w:lineRule="exact"/>
              <w:rPr>
                <w:sz w:val="20"/>
                <w:szCs w:val="20"/>
                <w:color w:val="auto"/>
              </w:rPr>
            </w:pPr>
            <w:r>
              <w:rPr>
                <w:rFonts w:ascii="Arial" w:cs="Arial" w:eastAsia="Arial" w:hAnsi="Arial"/>
                <w:sz w:val="18"/>
                <w:szCs w:val="18"/>
                <w:color w:val="auto"/>
              </w:rPr>
              <w:t>Per Share of Common Stock:</w:t>
            </w: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4"/>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Earnings per common share outstanding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4"/>
        </w:trPr>
        <w:tc>
          <w:tcPr>
            <w:tcW w:w="60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Net income</w:t>
            </w:r>
            <w:r>
              <w:rPr>
                <w:rFonts w:ascii="Arial" w:cs="Arial" w:eastAsia="Arial" w:hAnsi="Arial"/>
                <w:sz w:val="14"/>
                <w:szCs w:val="14"/>
                <w:color w:val="auto"/>
              </w:rPr>
              <w:t>(1)</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r>
      <w:tr>
        <w:trPr>
          <w:trHeight w:val="217"/>
        </w:trPr>
        <w:tc>
          <w:tcPr>
            <w:tcW w:w="6080" w:type="dxa"/>
            <w:vAlign w:val="bottom"/>
            <w:gridSpan w:val="2"/>
          </w:tcPr>
          <w:p>
            <w:pPr>
              <w:ind w:left="480"/>
              <w:spacing w:after="0"/>
              <w:rPr>
                <w:sz w:val="20"/>
                <w:szCs w:val="20"/>
                <w:color w:val="auto"/>
              </w:rPr>
            </w:pPr>
            <w:r>
              <w:rPr>
                <w:rFonts w:ascii="Arial" w:cs="Arial" w:eastAsia="Arial" w:hAnsi="Arial"/>
                <w:sz w:val="18"/>
                <w:szCs w:val="18"/>
                <w:color w:val="auto"/>
              </w:rPr>
              <w:t>Dividends</w:t>
            </w:r>
            <w:r>
              <w:rPr>
                <w:rFonts w:ascii="Arial" w:cs="Arial" w:eastAsia="Arial" w:hAnsi="Arial"/>
                <w:sz w:val="14"/>
                <w:szCs w:val="14"/>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8"/>
                <w:szCs w:val="18"/>
                <w:color w:val="auto"/>
              </w:rPr>
            </w:pPr>
          </w:p>
        </w:tc>
      </w:tr>
      <w:tr>
        <w:trPr>
          <w:trHeight w:val="205"/>
        </w:trPr>
        <w:tc>
          <w:tcPr>
            <w:tcW w:w="6080" w:type="dxa"/>
            <w:vAlign w:val="bottom"/>
            <w:tcBorders>
              <w:top w:val="single" w:sz="8" w:color="CFF0FC"/>
            </w:tcBorders>
            <w:gridSpan w:val="2"/>
            <w:shd w:val="clear" w:color="auto" w:fill="CFF0FC"/>
          </w:tcPr>
          <w:p>
            <w:pPr>
              <w:ind w:left="480"/>
              <w:spacing w:after="0" w:line="205" w:lineRule="exact"/>
              <w:rPr>
                <w:sz w:val="20"/>
                <w:szCs w:val="20"/>
                <w:color w:val="auto"/>
              </w:rPr>
            </w:pPr>
            <w:r>
              <w:rPr>
                <w:rFonts w:ascii="Arial" w:cs="Arial" w:eastAsia="Arial" w:hAnsi="Arial"/>
                <w:sz w:val="18"/>
                <w:szCs w:val="18"/>
                <w:color w:val="auto"/>
              </w:rPr>
              <w:t>Weighted average number of shares</w:t>
            </w: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0"/>
        </w:trPr>
        <w:tc>
          <w:tcPr>
            <w:tcW w:w="608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outstanding, including participating</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4"/>
        </w:trPr>
        <w:tc>
          <w:tcPr>
            <w:tcW w:w="608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securities</w:t>
            </w:r>
            <w:r>
              <w:rPr>
                <w:rFonts w:ascii="Arial" w:cs="Arial" w:eastAsia="Arial" w:hAnsi="Arial"/>
                <w:sz w:val="14"/>
                <w:szCs w:val="14"/>
                <w:color w:val="auto"/>
              </w:rPr>
              <w:t>(1)</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11,113,810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9,272,964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9,250,825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9,224,230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9,234,116</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540" w:hanging="535"/>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w:t>
      </w:r>
    </w:p>
    <w:p>
      <w:pPr>
        <w:spacing w:after="0" w:line="15" w:lineRule="exact"/>
        <w:rPr>
          <w:sz w:val="20"/>
          <w:szCs w:val="20"/>
          <w:color w:val="auto"/>
        </w:rPr>
      </w:pPr>
    </w:p>
    <w:p>
      <w:pPr>
        <w:ind w:left="540" w:hanging="5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Share data has been adjusted to reflect a 2-for-1 stock split on September 20,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(In Thousands)</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590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FF0FC"/>
            </w:tcBorders>
          </w:tcPr>
          <w:p>
            <w:pPr>
              <w:spacing w:after="0"/>
              <w:rPr>
                <w:sz w:val="18"/>
                <w:szCs w:val="18"/>
                <w:color w:val="auto"/>
              </w:rPr>
            </w:pPr>
          </w:p>
        </w:tc>
      </w:tr>
      <w:tr>
        <w:trPr>
          <w:trHeight w:val="217"/>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$ 1,607,330</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$ 1,116,163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$ 1,107,009</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$ 1,055,895</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$ 989,068</w:t>
            </w:r>
          </w:p>
        </w:tc>
        <w:tc>
          <w:tcPr>
            <w:tcW w:w="160" w:type="dxa"/>
            <w:vAlign w:val="bottom"/>
            <w:shd w:val="clear" w:color="auto" w:fill="CFF0FC"/>
          </w:tcPr>
          <w:p>
            <w:pPr>
              <w:spacing w:after="0"/>
              <w:rPr>
                <w:sz w:val="18"/>
                <w:szCs w:val="18"/>
                <w:color w:val="auto"/>
              </w:rPr>
            </w:pPr>
          </w:p>
        </w:tc>
      </w:tr>
      <w:tr>
        <w:trPr>
          <w:trHeight w:val="224"/>
        </w:trPr>
        <w:tc>
          <w:tcPr>
            <w:tcW w:w="5900" w:type="dxa"/>
            <w:vAlign w:val="bottom"/>
          </w:tcPr>
          <w:p>
            <w:pPr>
              <w:spacing w:after="0"/>
              <w:rPr>
                <w:sz w:val="20"/>
                <w:szCs w:val="20"/>
                <w:color w:val="auto"/>
              </w:rPr>
            </w:pPr>
            <w:r>
              <w:rPr>
                <w:rFonts w:ascii="Arial" w:cs="Arial" w:eastAsia="Arial" w:hAnsi="Arial"/>
                <w:sz w:val="18"/>
                <w:szCs w:val="18"/>
                <w:color w:val="auto"/>
              </w:rPr>
              <w:t>Loans, net</w:t>
            </w:r>
          </w:p>
        </w:tc>
        <w:tc>
          <w:tcPr>
            <w:tcW w:w="860" w:type="dxa"/>
            <w:vAlign w:val="bottom"/>
          </w:tcPr>
          <w:p>
            <w:pPr>
              <w:jc w:val="right"/>
              <w:spacing w:after="0"/>
              <w:rPr>
                <w:sz w:val="20"/>
                <w:szCs w:val="20"/>
                <w:color w:val="auto"/>
              </w:rPr>
            </w:pPr>
            <w:r>
              <w:rPr>
                <w:rFonts w:ascii="Arial" w:cs="Arial" w:eastAsia="Arial" w:hAnsi="Arial"/>
                <w:sz w:val="18"/>
                <w:szCs w:val="18"/>
                <w:color w:val="auto"/>
              </w:rPr>
              <w:t>1,211,771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839,599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816,156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751,310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678,573</w:t>
            </w:r>
          </w:p>
        </w:tc>
        <w:tc>
          <w:tcPr>
            <w:tcW w:w="160" w:type="dxa"/>
            <w:vAlign w:val="bottom"/>
          </w:tcPr>
          <w:p>
            <w:pPr>
              <w:spacing w:after="0"/>
              <w:rPr>
                <w:sz w:val="19"/>
                <w:szCs w:val="19"/>
                <w:color w:val="auto"/>
              </w:rPr>
            </w:pPr>
          </w:p>
        </w:tc>
      </w:tr>
      <w:tr>
        <w:trPr>
          <w:trHeight w:val="224"/>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Total deposits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1,288,347</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928,790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919,340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842,203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771,339</w:t>
            </w:r>
          </w:p>
        </w:tc>
        <w:tc>
          <w:tcPr>
            <w:tcW w:w="160" w:type="dxa"/>
            <w:vAlign w:val="bottom"/>
            <w:shd w:val="clear" w:color="auto" w:fill="CFF0FC"/>
          </w:tcPr>
          <w:p>
            <w:pPr>
              <w:spacing w:after="0"/>
              <w:rPr>
                <w:sz w:val="19"/>
                <w:szCs w:val="19"/>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tcPr>
          <w:p>
            <w:pPr>
              <w:jc w:val="right"/>
              <w:spacing w:after="0"/>
              <w:rPr>
                <w:sz w:val="20"/>
                <w:szCs w:val="20"/>
                <w:color w:val="auto"/>
              </w:rPr>
            </w:pPr>
            <w:r>
              <w:rPr>
                <w:rFonts w:ascii="Arial" w:cs="Arial" w:eastAsia="Arial" w:hAnsi="Arial"/>
                <w:sz w:val="18"/>
                <w:szCs w:val="18"/>
                <w:color w:val="auto"/>
              </w:rPr>
              <w:t>230,258</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143,287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134,137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125,577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120,097</w:t>
            </w:r>
          </w:p>
        </w:tc>
        <w:tc>
          <w:tcPr>
            <w:tcW w:w="160" w:type="dxa"/>
            <w:vAlign w:val="bottom"/>
          </w:tcPr>
          <w:p>
            <w:pPr>
              <w:spacing w:after="0"/>
              <w:rPr>
                <w:sz w:val="19"/>
                <w:szCs w:val="19"/>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Key Ratios</w:t>
            </w:r>
          </w:p>
        </w:tc>
        <w:tc>
          <w:tcPr>
            <w:tcW w:w="30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Return on average equity</w:t>
            </w:r>
          </w:p>
        </w:tc>
        <w:tc>
          <w:tcPr>
            <w:tcW w:w="3020" w:type="dxa"/>
            <w:vAlign w:val="bottom"/>
          </w:tcPr>
          <w:p>
            <w:pPr>
              <w:jc w:val="right"/>
              <w:ind w:right="212"/>
              <w:spacing w:after="0"/>
              <w:rPr>
                <w:sz w:val="20"/>
                <w:szCs w:val="20"/>
                <w:color w:val="auto"/>
              </w:rPr>
            </w:pPr>
            <w:r>
              <w:rPr>
                <w:rFonts w:ascii="Arial" w:cs="Arial" w:eastAsia="Arial" w:hAnsi="Arial"/>
                <w:sz w:val="18"/>
                <w:szCs w:val="18"/>
                <w:color w:val="auto"/>
              </w:rPr>
              <w:t>8.26%</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10.86%</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9.75%</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9.38%</w:t>
            </w:r>
          </w:p>
        </w:tc>
        <w:tc>
          <w:tcPr>
            <w:tcW w:w="84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24"/>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Return on average assets</w:t>
            </w:r>
          </w:p>
        </w:tc>
        <w:tc>
          <w:tcPr>
            <w:tcW w:w="302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1.23%</w:t>
            </w:r>
          </w:p>
        </w:tc>
        <w:tc>
          <w:tcPr>
            <w:tcW w:w="114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1.34%</w:t>
            </w:r>
          </w:p>
        </w:tc>
        <w:tc>
          <w:tcPr>
            <w:tcW w:w="114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1.18%</w:t>
            </w:r>
          </w:p>
        </w:tc>
        <w:tc>
          <w:tcPr>
            <w:tcW w:w="11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1.14%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Loans to deposits</w:t>
            </w:r>
          </w:p>
        </w:tc>
        <w:tc>
          <w:tcPr>
            <w:tcW w:w="3020" w:type="dxa"/>
            <w:vAlign w:val="bottom"/>
          </w:tcPr>
          <w:p>
            <w:pPr>
              <w:jc w:val="right"/>
              <w:ind w:right="212"/>
              <w:spacing w:after="0"/>
              <w:rPr>
                <w:sz w:val="20"/>
                <w:szCs w:val="20"/>
                <w:color w:val="auto"/>
              </w:rPr>
            </w:pPr>
            <w:r>
              <w:rPr>
                <w:rFonts w:ascii="Arial" w:cs="Arial" w:eastAsia="Arial" w:hAnsi="Arial"/>
                <w:sz w:val="18"/>
                <w:szCs w:val="18"/>
                <w:color w:val="auto"/>
              </w:rPr>
              <w:t>94.06%</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90.40%</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88.78%</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89.45%</w:t>
            </w:r>
          </w:p>
        </w:tc>
        <w:tc>
          <w:tcPr>
            <w:tcW w:w="840" w:type="dxa"/>
            <w:vAlign w:val="bottom"/>
          </w:tcPr>
          <w:p>
            <w:pPr>
              <w:jc w:val="right"/>
              <w:spacing w:after="0"/>
              <w:rPr>
                <w:sz w:val="20"/>
                <w:szCs w:val="20"/>
                <w:color w:val="auto"/>
              </w:rPr>
            </w:pPr>
            <w:r>
              <w:rPr>
                <w:rFonts w:ascii="Arial" w:cs="Arial" w:eastAsia="Arial" w:hAnsi="Arial"/>
                <w:sz w:val="18"/>
                <w:szCs w:val="18"/>
                <w:color w:val="auto"/>
              </w:rPr>
              <w:t>88.14%</w:t>
            </w:r>
          </w:p>
        </w:tc>
      </w:tr>
      <w:tr>
        <w:trPr>
          <w:trHeight w:val="224"/>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to assets</w:t>
            </w:r>
          </w:p>
        </w:tc>
        <w:tc>
          <w:tcPr>
            <w:tcW w:w="302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14.33%</w:t>
            </w:r>
          </w:p>
        </w:tc>
        <w:tc>
          <w:tcPr>
            <w:tcW w:w="114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12.84%</w:t>
            </w:r>
          </w:p>
        </w:tc>
        <w:tc>
          <w:tcPr>
            <w:tcW w:w="114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12.12%</w:t>
            </w:r>
          </w:p>
        </w:tc>
        <w:tc>
          <w:tcPr>
            <w:tcW w:w="11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11.89%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r>
      <w:tr>
        <w:trPr>
          <w:trHeight w:val="223"/>
        </w:trPr>
        <w:tc>
          <w:tcPr>
            <w:tcW w:w="4180" w:type="dxa"/>
            <w:vAlign w:val="bottom"/>
          </w:tcPr>
          <w:p>
            <w:pPr>
              <w:ind w:left="240"/>
              <w:spacing w:after="0"/>
              <w:rPr>
                <w:sz w:val="20"/>
                <w:szCs w:val="20"/>
                <w:color w:val="auto"/>
              </w:rPr>
            </w:pPr>
            <w:r>
              <w:rPr>
                <w:rFonts w:ascii="Arial" w:cs="Arial" w:eastAsia="Arial" w:hAnsi="Arial"/>
                <w:sz w:val="18"/>
                <w:szCs w:val="18"/>
                <w:color w:val="auto"/>
              </w:rPr>
              <w:t>Dividend payout</w:t>
            </w:r>
          </w:p>
        </w:tc>
        <w:tc>
          <w:tcPr>
            <w:tcW w:w="3020" w:type="dxa"/>
            <w:vAlign w:val="bottom"/>
          </w:tcPr>
          <w:p>
            <w:pPr>
              <w:jc w:val="right"/>
              <w:ind w:right="212"/>
              <w:spacing w:after="0"/>
              <w:rPr>
                <w:sz w:val="20"/>
                <w:szCs w:val="20"/>
                <w:color w:val="auto"/>
              </w:rPr>
            </w:pPr>
            <w:r>
              <w:rPr>
                <w:rFonts w:ascii="Arial" w:cs="Arial" w:eastAsia="Arial" w:hAnsi="Arial"/>
                <w:sz w:val="18"/>
                <w:szCs w:val="18"/>
                <w:color w:val="auto"/>
              </w:rPr>
              <w:t>36.59%</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34.40%</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36.02%</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35.67%</w:t>
            </w:r>
          </w:p>
        </w:tc>
        <w:tc>
          <w:tcPr>
            <w:tcW w:w="840" w:type="dxa"/>
            <w:vAlign w:val="bottom"/>
          </w:tcPr>
          <w:p>
            <w:pPr>
              <w:jc w:val="right"/>
              <w:spacing w:after="0"/>
              <w:rPr>
                <w:sz w:val="20"/>
                <w:szCs w:val="20"/>
                <w:color w:val="auto"/>
              </w:rPr>
            </w:pPr>
            <w:r>
              <w:rPr>
                <w:rFonts w:ascii="Arial" w:cs="Arial" w:eastAsia="Arial" w:hAnsi="Arial"/>
                <w:sz w:val="18"/>
                <w:szCs w:val="18"/>
                <w:color w:val="auto"/>
              </w:rPr>
              <w:t>38.54%</w:t>
            </w:r>
          </w:p>
        </w:tc>
      </w:tr>
    </w:tbl>
    <w:p>
      <w:pPr>
        <w:spacing w:after="0" w:line="338" w:lineRule="exact"/>
        <w:rPr>
          <w:sz w:val="20"/>
          <w:szCs w:val="20"/>
          <w:color w:val="auto"/>
        </w:rPr>
      </w:pPr>
    </w:p>
    <w:p>
      <w:pPr>
        <w:ind w:right="1720"/>
        <w:spacing w:after="0" w:line="369" w:lineRule="auto"/>
        <w:rPr>
          <w:sz w:val="20"/>
          <w:szCs w:val="20"/>
          <w:color w:val="auto"/>
        </w:rPr>
      </w:pPr>
      <w:r>
        <w:rPr>
          <w:rFonts w:ascii="Arial" w:cs="Arial" w:eastAsia="Arial" w:hAnsi="Arial"/>
          <w:sz w:val="18"/>
          <w:szCs w:val="18"/>
          <w:b w:val="1"/>
          <w:bCs w:val="1"/>
          <w:u w:val="single" w:color="auto"/>
          <w:color w:val="auto"/>
        </w:rPr>
        <w:t xml:space="preserve">ITEM 7. MANAGEMENTS DISCUSSION AND ANALYSIS OF FINANCIAL CONDITION AND RESULTS OF OPERATIONS </w:t>
      </w:r>
      <w:r>
        <w:rPr>
          <w:rFonts w:ascii="Arial" w:cs="Arial" w:eastAsia="Arial" w:hAnsi="Arial"/>
          <w:sz w:val="18"/>
          <w:szCs w:val="18"/>
          <w:b w:val="1"/>
          <w:bCs w:val="1"/>
          <w:color w:val="auto"/>
        </w:rPr>
        <w:t>Critical Accounting Policies and Estimates</w:t>
      </w:r>
    </w:p>
    <w:p>
      <w:pPr>
        <w:spacing w:after="0" w:line="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 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21" w:name="page22"/>
    <w:bookmarkEnd w:id="21"/>
    <w:p>
      <w:pPr>
        <w:jc w:val="both"/>
        <w:spacing w:after="0" w:line="283" w:lineRule="auto"/>
        <w:rPr>
          <w:sz w:val="20"/>
          <w:szCs w:val="20"/>
          <w:color w:val="auto"/>
        </w:rPr>
      </w:pPr>
      <w:r>
        <w:rPr>
          <w:rFonts w:ascii="Arial" w:cs="Arial" w:eastAsia="Arial" w:hAnsi="Arial"/>
          <w:sz w:val="16"/>
          <w:szCs w:val="16"/>
          <w:color w:val="auto"/>
        </w:rPr>
        <w:t>All significant accounting policies followed by the Company are presented in Note 1 to the consolidated financial statements. These policies, along with the disclosures presented in the notes to the consolidated financial statements and in the management discussion and analysis of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Allowance for Loan and Lease Losses (ALLL) and the valuation of its Mortgage Servicing Rights (MSR) and Other Real Estate Owned (OREO) as the accounting areas that requires the most subjective or complex judgments, and as such could be the most subject to revision as new information becomes available.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OREO, which is comprised of assets acquired by the Bank, through, or in lieu of, loan foreclosure are held for sale and are initially recorded at fair value at the date of foreclosure. Subsequent to foreclosure, valuations are periodically performed by management and the assets are carried at the lower of carrying amount or fair value less cost to sell.</w:t>
      </w:r>
    </w:p>
    <w:p>
      <w:pPr>
        <w:spacing w:after="0" w:line="18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ALLL represents management's estimate of credit losses inherent in the Bank's loan portfolio at the report date. The estimate is a composite of a variety of factors including experience, collateral value, and the general economy. ALLL includes a specific portion, a formula driven portion, and a general nonspecific portion. The collection and ultimate recovery of the book value of the collateral, in most cases, is beyond our control.</w:t>
      </w:r>
    </w:p>
    <w:p>
      <w:pPr>
        <w:spacing w:after="0" w:line="15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is also required to estimate the value of its MSR. The Company recognizes as separate assets rights to service fixed rate single-family mortgage loans that it has sold without recourse but services for others for a fee. Mortgage servicing assets are initially recorded at fair value, based upon pricing multiples as determined by the purchaser, when the loans are sold. Mortgage servicing assets are carried at the lower of the initial carrying value, adjusted for amortization, or estimated fair value. Amortization is determined in proportion to and over the period of estimated net servicing income using the level yield method. For purposes of determining impairment, the mortgage servicing assets are stratified into like groups based on loan type, term, new versus seasoned and interest rate. The valuation is completed by an independent third party.</w:t>
      </w:r>
    </w:p>
    <w:p>
      <w:pPr>
        <w:spacing w:after="0" w:line="16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mortgage servicing rights relating to loans serviced for others represent an asset of the Company. This asset is initially capitalized and included in other assets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Company, including the estimated prepayment speed of the loan and the discount rate used to present value the servicing right. For example, if the mortgage loan is prepaid, the Company will receive fewer servicing fees, meaning that the present value of the mortgage servicing rights is less than the carrying value of those rights on the Company’s balance sheet. Therefore, in an attempt to reflect an accurate expected value to the Company of the mortgage servicing rights, the Company receives a valuation of its mortgage servicing rights from an independent third party. The independent third party’s valuation of the mortgage servicing rights is based on relevant characteristics of the Company’s loan servicing portfolio, such as loan terms, interest rates and recent national prepayment experience, as well as current national market interest rate levels, market forecasts and other economic conditions. Management, with the advice from its third party valuation firm, review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Company’s mortgage servicing rights, management then establishes a valuation allowance by each strata, if necessary, to quantify the likely impairment of the value of the mortgage servicing rights to the Company. The estimates of prepayment speeds and discount rates are inherently uncertain, and different estimates could have a material impact on the Company’s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can be directly tied back to the fact that management has not been required to record a valuation allowance through its income statement based upon the valuation of each stratum of serving rights.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more information regarding the estimates and calculations used to establish the ALLL and the value of Mortgage Servicing Rights, please see Note 1 to the consolidated financial statements provided herewith.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2019 in Review</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completed the merger with Limberlost on January 1, 2019 and three weeks later integrated the Bank of Geneva into The Farmers &amp; Merchants State Bank’s core operating system. Great benefits will follow as the Company continues its strategy for long-term sustainable growth from the six offices that have been added. Financially, the merger was accretive to earnings during 2019, with a larger legal lending limit enabling the expansion of existing customer’s borrowings and a wider range of products and services now available to all customers. F&amp;M continues to operate on the foundation of a strong community bank platform in the communities we serve.</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Federal rate increases and the addition of higher yielding assets from the acquisition resulted in a widening of the net interest margin through second quarter 2019. In the second half of the year, Fed reduced rates three times within a ninety one day period beginning on August 1, 2019. Pressure continues to build on cost of funds as depositors seek out higher rates. The Bank has offered new products in 2019 to attract new depositors and for current depositors to increase their holdings with us. Competitive pressure has forced us to increase rates and thereby put pressure on the margin.</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again reports record earnings in total and in earnings per share. This was achieved even with the acquisition costs associated with the merger deal completed January 1, 2019. Earnings per share, with acquisition costs excluded, would have been $1.75 as reported in Note 2 proforma statements which is higher than $1.66 as reported in Note 12. The improvement is credited to a widening of the net interest margin, loan growth and the change in the effective income tax rate, offset by increases in noninterest expense, primarily attributable to salaries, wages and employee benefits.</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asset size grew $491.2 million with net loans accounting for $372.2 million, and the remaining difference mainly coming from an increase in securities of $53.8 million, goodwill of $43.3 million and cash and equivalents of $12.9 million.</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Chief People Officer was added in second quarter 2019 to assist with increasing the level of our Company’s talent. The Company has invested in our retail infrastructure and has been conducting extensive training. During the second and third quarters, the Company spent time developing a three year strategic plan. The vision statement was updated to be “Community Vested to Help People Realize Their Best Lives.” An outcome of the strategic planning process included the following five strategic initiatives that will help take the Company to the next level: customer acquisition and retention, talent optimization, actively pursue acquisition opportunities, improve operating efficiency and financial performance, and develop a comprehensive digital strategy for internal and external constituencies.</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2019 was an unexpected agricultural grain production year as much of our banking territory experienced an unusually wet spring which resulted in a large area of unplanted acres. The year concluded with better revenue results than anticipated as the crops that did get planted yielded better than expected, the government subsidies were more than originally forecasted, and the crop insurance proved to be a key revenue source. This combined with the fact that area farmers in general have been conservative in the preceding years resulted in financial stress that being significantly mitigated. Recent land sales have showed no real sign of reduction in the price per acre. Financial stability and overall optimism in land ownership continues to buoy the market. The agri-businesses had a very tight financial year as they did not have the same safety nets the farmers had available to them to offset the reduced revenues. Their previous financial success however is helping them weather this setback. Conservative management practices have been implemented by many of these businesses with an eagerness to get back to business as usual in 2020. Overall the ag portfolio remains stable.</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commercial performance has been strong in 2019. Labor shortage issues continue to be expressed by most employers as they try to maintain or grow their staffs. Technology efficiencies are creating lending and business opportunities. The competition is very strong in all industries. Price multiples on business sales has been high with more sales occurring than were experienced in previous years. The growth in the loan portfolio was exceptional in the second half of the year making up for some large paydowns and payoffs experienced in the first half of the year. This was especially so in the commercial real estate lending market. F&amp;M being a community bank has played well with borrowers who desire a banking relationship and not a transactional bank.</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During the first quarter of 2019, we opened a new office in Decatur, Indiana that had been in process at the time of the acquisition. This office utilizes ITM equipment, offering traditional service with a self-service option. An ITM completes teller transactions using a debit card for recognition - the self-service option. The traditional service completes the transaction by the customer requesting teller assistance and talking to a remote customer assistance representative on-line. Personal Relationship Bankers (PRBs) welcome our customers to the office and provide exceptional customer service as they can complete a teller transaction, open a new deposit account and complete a consumer loan. One additional existing office was physically transformed during 2019 with ITMs. Our other offices have begun the personnel transformations with PRBs at each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office and Community Relationship Bankers (CRBs) covering specific market areas.  CRBs focus on the community and especially small business customers.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F&amp;M strives to serve our customers where they want, and how they want.</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trend of increasing improvement in net income continued from 2017 through 2019. 2019 increased 23.1% over 2018 and 2018 was 17.5% higher than 2017. Dividends declared also increased over the corresponding years. 2019’s declared dividends at $0.61 a share was 8.9% higher than 2018’s $0.56 per share and 2018 was 12.0% higher than 2017’s $0.50 per share. The Company remains strong, stable and well capitalized and has the capacity to continue to cover the increased costs of doing business. The Company continues to look for new opportunities to generate and protect revenue while providing additional channels through which to serve our customer and maintain our high level of customer satisfaction. The Company plans to continue our strategy of expansion into new markets, whether by acquisition or the establishment of new branch office locations. A new office in Fort Wayne, Indiana is underway for 2020 expansion.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Changes in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discussion now centers on the individual line items of the consolidated statement of income and their effect on net income. This section will focus on the most traditional source of revenue contributing to the profitability of the Company which is net interest income.</w:t>
      </w:r>
    </w:p>
    <w:p>
      <w:pPr>
        <w:spacing w:after="0" w:line="18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Net interest income is the difference between interest income earned on interest earning assets, such as loans and securities, and interest expense paid on interest bearing liabilities used to fund those assets, such as interest bearing deposits and other borrowings. Net interest income is affected by changes in both interest rates and the amount and composition of earning assets and liabilities. The change in net interest income is most often measured by two statistics – interest spread and net interest margin. The difference between the yields earned on earning assets and the rates paid for interest bearing liabilities represents the interest spread. The net interest margin is the difference of funds (interest expense) between the yield on earning assets and the cost as a percentage of earning assets. Because noninterest bearing sources of funds such as demand deposits and stockholders’ equity also support earning assets, the net interest margin exceeds the net interest spread.</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mentioned previously, the largest factor of the record earnings for 2019 was the $13.7 million improvement in net interest income as compared to 2018. In 2018, net interest income increased $3.7 million as compared to 2017. Interest and fee income from loans were responsible for the improvement. Interest income from loans, including fees, increased $19.9 million in 2019 as compared to 2018. This was preceded by an increase in 2018 of $5.1 million as compared to 2017. The underlying factors for the reason of the increase differed between the two time periods; however, both years were aided by prime rate increases which drove the effective interest rates on the Bank’s variable loans over their floor rates. During the second half of 2019, the prime rate decreased 75 basis points in a 91-day time period. 2019 loan interest income included $1.985 million for the reversal of a credit loss established for two commercial purchased credit-impaired loans that were paid off during the second quarter. In 2019, the volume of loan growth was the largest contributing factor to the improved profitability. As a comparison to 2018, when the improvement was almost equally impacted by the increased volume and increased rates. Securities were sold or matured with the proceeds used to fund the loan growth. The security portfolio increased $1.6 million in average during 2019 as compared to 2018, reversing the 2018 average decrease of $11.0 million over 2017 average balances. Interest income from that balance sheet component increased $678 thousand over 2018 while 2018 decreased $67 thousand over 2017. Overall, total interest income was $21.9 million higher for 2019 than 2018 and was $5.2 million higher for 2018 than 2017.</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Interest expense increased from all interest bearing funding sources with the exception of other borrowed money in 2018 over the time periods shown of 2017 through 2019. Overall, the funding goal the last three years has been to grow core deposits. Two strategies have been employed through the years, one of allowing expensive time deposits to run off until needed for funding and secondly to offer new non-interest bearing deposit products. Both of these strategies were to assist in controlling interest expense in a rising rate environment. Competition has forced us to increase rates for deposits in 2019. During 2019, interest expense from deposits increased by $7.0 million over 2018 and 2018 increased $1.5 million over 2017. The majority, approximately 68.6%, of the increased expense of 2019 was influenced by increased rates rather than due to additional cost associated with deposit growth.</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interest expense (which includes deposit, federal funds purchased, securities sold under agreement to repurchase, and borrowed funds) totaled $14.8, $6.6 and $5.1 million for 2019, 2018 and 2017 respectively. The increased expense is approximately 68.4% attributable to the rising interest rate environment in 2019 as compared to 2018 and almost entirely attributable in the 2018 to 2017 comparison. Borrowed fund balances increased in January of 2019, as a result of the acquisition of Bank of Geneva. All of 2015’s borrowings have since matured in December of 2017 and December of 2018.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jc w:val="both"/>
        <w:spacing w:after="0" w:line="324" w:lineRule="auto"/>
        <w:rPr>
          <w:sz w:val="20"/>
          <w:szCs w:val="20"/>
          <w:color w:val="auto"/>
        </w:rPr>
      </w:pPr>
      <w:r>
        <w:rPr>
          <w:rFonts w:ascii="Arial" w:cs="Arial" w:eastAsia="Arial" w:hAnsi="Arial"/>
          <w:sz w:val="16"/>
          <w:szCs w:val="16"/>
          <w:color w:val="auto"/>
        </w:rPr>
        <w:t>The success in improving net interest income confirmed that management’s long term strategy of repositioning the balance sheet and increasing loan balances was the correct approach. Funding loan growth with internal funds, whether from the liquidation of investment securities or core deposits, was a beneficial move.</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concludes the discussion by dollar amount of the improvement. Now the discussion moves on to the percentages and the change in the net interest margin and spread.</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Overall, we have seen increased improvement in the net interest margin and spread from 2017 to 2018. Interest margin and spread decreased in 2019 as compared to 2018 with the increased interest expense. Looking at the components behind the change in net interest margin for 2019 as compared to 2018, increased average balances in loans of $297.6 million stands out. The additional revenue of almost $19.9 million that those balances were responsible for was the largest contributor to the improved net yield on loans of 42 basis points. Beginning in 2017, loan revenue was positively impacted by the change in the interest rate. The majority of variable loans with floor rates attained the point where rate increases caused the rate to go above the floor. The Bank had expected 100 basis points of change was needed for this to occur which was reached with the June 2017 Fed Funds rate hike. The next hike did not occur until December of 2017, too late to largely impact 2017 though it benefitted 2018. 2018 saw four additional rate hikes of 25 basis points while 2019 had three rate decreases of 25 basis points. The large revenue gain in loan interest was aided by the increased earnings in securities of $678 thousand. The overall asset yield in 2019 improved by 39 basis points over 2018.</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Increased interest expense correlated to the higher rate environment in which the deposits needed to be garnered. The Bank experienced pressure to offer higher rates to public funds in Ohio due to competition. In the area where the strategic plan was to gather core deposits, the average balance in savings grew by $169.1 million during 2019 as compared to 2018’s average balance. The other average balance increase for core deposits was the change in non-interest bearing demand deposits. 2019’s average balance in this portfolio was $49.0 million higher than 2018’s average balance. Overall, cost of funds increased 56 basis points for 2019 over 2018. The reason behind the increase was largely due to rate increases, not the volume increases.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net interest margin for 2019 was 3.80% compared to 2018 which was 3.83%. The 0.03% decrease for 2019 was directly related to the increased interest expense. Net interest spread was 3.43% for 2019 compared to 2018’s 3.60%, creating a 17 basis point difference in the spread. Loans as a percentage of earning assets was 79.9% while loans to total assets was 75.3% for 2019. The goal is, as always, to improve the net interest margin and spread and thereby improve profitability.</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comparing 2018 to 2017, loan volume was primarily responsible for the improvement in interest income as the yield on the overall loan portfolio increased 33 basis points during 2018. The only category of asset yield to decrease was the investment securities which were used to fund growth. Overall, asset yield increased 30 basis points in 2018 as compared to 2017.</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net interest margin also climbed up in 2018, ending 18 basis points over 2017. Asset yield raised 30 basis points while the cost of funds increased 18 basis points. The yields on the individual segments did cause the overall improvement as all increased with the exception of tax exempt securities. The improvement in the asset yield was primarily a result of the change in rate. In addition, loans as a percentage of earning assets increased to 79.3% in 2018 compared to 77.8% in 2017. Loans to total assets also increased to 74.8% for 2018 compared to 2017’s 72.8%. Overall yield improves when the balances of the highest yield asset increases, which is loans.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the cost of funds, the Bank’s goal is to grow the least expensive category of funding sources. The largest average balance increase for 2018 was $32.2 million in savings deposits over 2017’s average balances. This growth was mostly responsible for the increase in funding expense of 18 basis points when comparing 2018 to 2017.</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will always prefer to see improvement in real dollars over percentages. The strategy for increasing core deposits, in order to mitigate the higher cost of funds and to continue to establish the opportunity for fee dollars from services provided, remains for 2020.</w:t>
      </w:r>
    </w:p>
    <w:p>
      <w:pPr>
        <w:spacing w:after="0" w:line="180"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Total assets of the Company increased overall as did the earning assets in both average and year end during 2019 and 2018. This matched the movement in interest dollars and in yields. The percentage of average earning assets to total average assets reflects the best utilization of funds. For 2019, the percentage at 94.26% was only slightly higher than 2018 at 94.23%. The addition of offices in 2017, 2018 and 2019 increased the non-earning assets with cash balances held at the new offices and also the investment in the capital assets of their building and furniture. What made 2019 more profitable was the percentage of average loans to total assets. For 2019 the average balance of loans to total average assets was 75.32%, for 2018, 74.77%, for 2017, 72.76%. Loans are the highest yielding asset for the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5" w:name="page26"/>
    <w:bookmarkEnd w:id="25"/>
    <w:p>
      <w:pPr>
        <w:jc w:val="both"/>
        <w:spacing w:after="0" w:line="279" w:lineRule="auto"/>
        <w:rPr>
          <w:sz w:val="20"/>
          <w:szCs w:val="20"/>
          <w:color w:val="auto"/>
        </w:rPr>
      </w:pPr>
      <w:r>
        <w:rPr>
          <w:rFonts w:ascii="Arial" w:cs="Arial" w:eastAsia="Arial" w:hAnsi="Arial"/>
          <w:sz w:val="16"/>
          <w:szCs w:val="16"/>
          <w:color w:val="auto"/>
        </w:rPr>
        <w:t>Net interest spread is the difference between what the Company earns on its assets and what it pays on its liabilities. It is generally from this spread that the Company must fund its operations and generate profit. When the asset yield decreases so must funding costs in order to maintain profitability. It becomes increasingly challenging as the asset yield gets closer to the prime lending rate, or the break-even point, of operations. The challenge began to change in 2016 as rates increased in December 2015. In a rising rate environment, the challenge is to hold the cost steady while allowing time for the asset portfolio to rise. Floors and ceilings on variable products also impact the level of increase in either scenario. The 25 basis point prime rate increase of 2015 did little to increase the rate on the variable loans because of the floors in place and the spread of rate to prime. The floors provided yield protection in the previous lower rate environment and the rising rates wouldn’t benefit the asset yield until the spread plus prime is higher than the floor. The challenge is to increase the spread during renewals and on new loans. After the December 2015 rate increase, it was another year before the next rate hike in December of 2016. These two rate hikes had little effect on the profitability as the majority of loans were still below the floors. It wasn’t until the third and fourth rate hikes of March and June 2017, that the majority of loans were now either equal to or over the floors. This helped the asset yield in 2017. In December 2017 along with March, June, September and December of 2018, there were rate hikes which contributed to the increased asset yield for 2018 and 2019. During 2019, there were rate decreases in August, September and October.</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terms of interest expense, 2019’s increase as compared to 2018 was approximately 68.4% due to the increase in rates. 2018’s increase was due to an increase in rates as compared to 2017.</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impact of the change in the portfolio mix was a factor in the liabilities as it was in the assets. In comparing to 2018, 2019 had movements as average balances increased in all categories. Other borrowed money increased as part of the acquisition of Bank of Geneva with the final advance maturing in 2028. Time deposits and saving deposits increased in interest expense for 2018 as compared to 2017. Fed Funds purchased and securities sold under agreement to repurchase only increased $6 thousand for 2018 and was due to rate.</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tables present net interest income, interest spread and net interest margin for the three years 2017 through 2019, comparing average outstanding balances of earning assets and interest bearing liabilities with the associated interest income and expense. The tables show the corresponding average rates of interest earned and paid. Average outstanding loan balances include non-performing loans and mortgage loans held for sale. Average outstanding security balances are computed based on carrying values including unrealized gains and losses on available-for-sale securities. The average cost of funds for 2019 was 1.42%, 56 basis points higher than 2018’s 0.86% for interest bearing liabilities.</w:t>
      </w:r>
    </w:p>
    <w:p>
      <w:pPr>
        <w:spacing w:after="0" w:line="16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yield on tax-exempt investment securities shown in the following charts were computed on a tax equivalent basis. The yield on loans has been tax adjusted for the portion of tax-exempt IDB loans included in the total. Total interest earning assets is therefore also reflecting a tax equivalent yield in both line items, also with the net interest spread and margin. The adjustments were based on a 34% tax rate for 2017 and a 21% tax rate for 2018 and 2019.</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Average</w:t>
            </w: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Balance</w:t>
            </w:r>
          </w:p>
        </w:tc>
        <w:tc>
          <w:tcPr>
            <w:tcW w:w="1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Yield/Rate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26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1,129,231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62,213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163,777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3,832</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other</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86,971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1.86%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1,413,091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68,306</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Non-Interest Earning Assets: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43,815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1,499,210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tcBorders>
              <w:top w:val="single" w:sz="8" w:color="CFF0FC"/>
              <w:bottom w:val="single" w:sz="8" w:color="CFF0FC"/>
            </w:tcBorders>
            <w:vMerge w:val="restart"/>
          </w:tcPr>
          <w:p>
            <w:pPr>
              <w:ind w:left="68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720,879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7,323</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265,046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1,083</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29,859</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Interest Bearing Liabilities</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1,041,322</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14,759</w:t>
            </w:r>
          </w:p>
        </w:tc>
        <w:tc>
          <w:tcPr>
            <w:tcW w:w="2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b w:val="1"/>
                <w:bCs w:val="1"/>
                <w:color w:val="auto"/>
              </w:rPr>
              <w:t>Non-Interest Bearing Liabilities:</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Non-interest bearing demand deposits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243,551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(8,541)</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1,276,332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222,878</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 and Shareholders' Equity</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1,499,210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Interest/Dividend income/yield</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68,306</w:t>
            </w:r>
          </w:p>
        </w:tc>
        <w:tc>
          <w:tcPr>
            <w:tcW w:w="22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4.85%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40" w:type="dxa"/>
            <w:vAlign w:val="bottom"/>
            <w:gridSpan w:val="2"/>
          </w:tcPr>
          <w:p>
            <w:pPr>
              <w:ind w:left="1160"/>
              <w:spacing w:after="0"/>
              <w:rPr>
                <w:sz w:val="20"/>
                <w:szCs w:val="20"/>
                <w:color w:val="auto"/>
              </w:rPr>
            </w:pPr>
            <w:r>
              <w:rPr>
                <w:rFonts w:ascii="Arial" w:cs="Arial" w:eastAsia="Arial" w:hAnsi="Arial"/>
                <w:sz w:val="18"/>
                <w:szCs w:val="18"/>
                <w:color w:val="auto"/>
              </w:rPr>
              <w:t>Interest Expense/cost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14,759</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53,547</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color w:val="auto"/>
              </w:rPr>
              <w:t>Net Interest Margin</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3.80%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ind w:left="562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61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Yield/Rate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26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831,614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147,186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2,863</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other</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1.57%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1,048,077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46,429</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Non-Interest Earning Assets: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1,112,213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tcBorders>
              <w:top w:val="single" w:sz="8" w:color="CFF0FC"/>
              <w:bottom w:val="single" w:sz="8" w:color="CFF0FC"/>
            </w:tcBorders>
            <w:vMerge w:val="restart"/>
          </w:tcPr>
          <w:p>
            <w:pPr>
              <w:ind w:left="68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551,746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3,453</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Interest Bearing Liabilities</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766,456</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6,572</w:t>
            </w:r>
          </w:p>
        </w:tc>
        <w:tc>
          <w:tcPr>
            <w:tcW w:w="2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b w:val="1"/>
                <w:bCs w:val="1"/>
                <w:color w:val="auto"/>
              </w:rPr>
              <w:t>Non-Interest Bearing Liabilities:</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Non-interest bearing demand deposits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194,548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974,574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137,639</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 and Shareholders' Equity</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1,112,213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Interest/Dividend income/yield</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46,429</w:t>
            </w:r>
          </w:p>
        </w:tc>
        <w:tc>
          <w:tcPr>
            <w:tcW w:w="22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4.46%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40" w:type="dxa"/>
            <w:vAlign w:val="bottom"/>
            <w:gridSpan w:val="2"/>
          </w:tcPr>
          <w:p>
            <w:pPr>
              <w:ind w:left="1160"/>
              <w:spacing w:after="0"/>
              <w:rPr>
                <w:sz w:val="20"/>
                <w:szCs w:val="20"/>
                <w:color w:val="auto"/>
              </w:rPr>
            </w:pPr>
            <w:r>
              <w:rPr>
                <w:rFonts w:ascii="Arial" w:cs="Arial" w:eastAsia="Arial" w:hAnsi="Arial"/>
                <w:sz w:val="18"/>
                <w:szCs w:val="18"/>
                <w:color w:val="auto"/>
              </w:rPr>
              <w:t>Interest Expense/cost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6,572</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39,857</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color w:val="auto"/>
              </w:rPr>
              <w:t>Net Interest Margin</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3.83%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ind w:left="562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61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Yield/Rate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26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783,140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37,195</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154,081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interest bearing deposits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1,006,010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41,248</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Non-Interest Earning Assets: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1,076,334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tcBorders>
              <w:top w:val="single" w:sz="8" w:color="CFF0FC"/>
              <w:bottom w:val="single" w:sz="8" w:color="CFF0FC"/>
            </w:tcBorders>
            <w:vMerge w:val="restart"/>
          </w:tcPr>
          <w:p>
            <w:pPr>
              <w:ind w:left="68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519,580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2,302</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188,443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Interest Bearing Liabilities</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750,156</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b w:val="1"/>
                <w:bCs w:val="1"/>
                <w:color w:val="auto"/>
              </w:rPr>
              <w:t>Non-Interest Bearing Liabilities:</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Non-interest bearing demand deposits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180,129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945,909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130,425</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 and Shareholders' Equity</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1,076,334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Interest/Dividend income/yield</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41,248</w:t>
            </w:r>
          </w:p>
        </w:tc>
        <w:tc>
          <w:tcPr>
            <w:tcW w:w="22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4.16%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40" w:type="dxa"/>
            <w:vAlign w:val="bottom"/>
            <w:gridSpan w:val="2"/>
          </w:tcPr>
          <w:p>
            <w:pPr>
              <w:ind w:left="1160"/>
              <w:spacing w:after="0"/>
              <w:rPr>
                <w:sz w:val="20"/>
                <w:szCs w:val="20"/>
                <w:color w:val="auto"/>
              </w:rPr>
            </w:pPr>
            <w:r>
              <w:rPr>
                <w:rFonts w:ascii="Arial" w:cs="Arial" w:eastAsia="Arial" w:hAnsi="Arial"/>
                <w:sz w:val="18"/>
                <w:szCs w:val="18"/>
                <w:color w:val="auto"/>
              </w:rPr>
              <w:t>Interest Expense/cost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36,121</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color w:val="auto"/>
              </w:rPr>
              <w:t>Net Interest Margin</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3.65%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ind w:left="562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61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sectPr>
      </w:pPr>
    </w:p>
    <w:bookmarkStart w:id="29" w:name="page30"/>
    <w:bookmarkEnd w:id="29"/>
    <w:p>
      <w:pPr>
        <w:jc w:val="both"/>
        <w:spacing w:after="0" w:line="262" w:lineRule="auto"/>
        <w:rPr>
          <w:sz w:val="20"/>
          <w:szCs w:val="20"/>
          <w:color w:val="auto"/>
        </w:rPr>
      </w:pPr>
      <w:r>
        <w:rPr>
          <w:rFonts w:ascii="Arial" w:cs="Arial" w:eastAsia="Arial" w:hAnsi="Arial"/>
          <w:sz w:val="18"/>
          <w:szCs w:val="18"/>
          <w:color w:val="auto"/>
        </w:rPr>
        <w:t>The following tables show changes in interest income, interest expense and net interest resulting from changes in volume and rate variances for major categories of earnings assets and interest bearing liabilities.</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86"/>
              </w:rPr>
              <w:t>2019 vs 2018</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Net</w:t>
            </w:r>
          </w:p>
        </w:tc>
        <w:tc>
          <w:tcPr>
            <w:tcW w:w="8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Change Due to</w:t>
            </w:r>
          </w:p>
        </w:tc>
        <w:tc>
          <w:tcPr>
            <w:tcW w:w="1180" w:type="dxa"/>
            <w:vAlign w:val="bottom"/>
            <w:gridSpan w:val="3"/>
          </w:tcPr>
          <w:p>
            <w:pPr>
              <w:ind w:left="20"/>
              <w:spacing w:after="0"/>
              <w:rPr>
                <w:sz w:val="20"/>
                <w:szCs w:val="20"/>
                <w:color w:val="auto"/>
              </w:rPr>
            </w:pPr>
            <w:r>
              <w:rPr>
                <w:rFonts w:ascii="Arial" w:cs="Arial" w:eastAsia="Arial" w:hAnsi="Arial"/>
                <w:sz w:val="18"/>
                <w:szCs w:val="18"/>
                <w:color w:val="auto"/>
                <w:w w:val="94"/>
              </w:rPr>
              <w:t>Change Due to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Change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Volume</w:t>
            </w:r>
          </w:p>
        </w:tc>
        <w:tc>
          <w:tcPr>
            <w:tcW w:w="24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Earning Assets:</w:t>
            </w:r>
          </w:p>
        </w:tc>
        <w:tc>
          <w:tcPr>
            <w:tcW w:w="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Loans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19,910</w:t>
            </w:r>
          </w:p>
        </w:tc>
        <w:tc>
          <w:tcPr>
            <w:tcW w:w="14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15,151</w:t>
            </w:r>
          </w:p>
        </w:tc>
        <w:tc>
          <w:tcPr>
            <w:tcW w:w="2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Taxable investment securities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Tax-exempt investment securities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 funds sold &amp; other</w:t>
            </w:r>
          </w:p>
        </w:tc>
        <w:tc>
          <w:tcPr>
            <w:tcW w:w="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tcPr>
          <w:p>
            <w:pPr>
              <w:ind w:left="220"/>
              <w:spacing w:after="0"/>
              <w:rPr>
                <w:sz w:val="20"/>
                <w:szCs w:val="20"/>
                <w:color w:val="auto"/>
              </w:rPr>
            </w:pPr>
            <w:r>
              <w:rPr>
                <w:rFonts w:ascii="Arial" w:cs="Arial" w:eastAsia="Arial" w:hAnsi="Arial"/>
                <w:sz w:val="18"/>
                <w:szCs w:val="18"/>
                <w:b w:val="1"/>
                <w:bCs w:val="1"/>
                <w:color w:val="auto"/>
              </w:rPr>
              <w:t>Total Interest Earning Assets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21,877</w:t>
            </w:r>
          </w:p>
        </w:tc>
        <w:tc>
          <w:tcPr>
            <w:tcW w:w="140" w:type="dxa"/>
            <w:vAlign w:val="bottom"/>
          </w:tcPr>
          <w:p>
            <w:pPr>
              <w:spacing w:after="0"/>
              <w:rPr>
                <w:sz w:val="22"/>
                <w:szCs w:val="22"/>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16,140</w:t>
            </w:r>
          </w:p>
        </w:tc>
        <w:tc>
          <w:tcPr>
            <w:tcW w:w="20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5,737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Interest Bearing Liabilities: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Savings deposits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Other time deposits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borrowed money</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Federal funds purchased and securities sold</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FF0FC"/>
            </w:tcBorders>
          </w:tcPr>
          <w:p>
            <w:pPr>
              <w:ind w:left="340"/>
              <w:spacing w:after="0"/>
              <w:rPr>
                <w:sz w:val="20"/>
                <w:szCs w:val="20"/>
                <w:color w:val="auto"/>
              </w:rPr>
            </w:pPr>
            <w:r>
              <w:rPr>
                <w:rFonts w:ascii="Arial" w:cs="Arial" w:eastAsia="Arial" w:hAnsi="Arial"/>
                <w:sz w:val="18"/>
                <w:szCs w:val="18"/>
                <w:color w:val="auto"/>
              </w:rPr>
              <w:t>under agreement to repurchase</w:t>
            </w: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8,187</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86"/>
              </w:rPr>
              <w:t>2018 vs 2017</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Net</w:t>
            </w:r>
          </w:p>
        </w:tc>
        <w:tc>
          <w:tcPr>
            <w:tcW w:w="8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Change Due to</w:t>
            </w:r>
          </w:p>
        </w:tc>
        <w:tc>
          <w:tcPr>
            <w:tcW w:w="1180" w:type="dxa"/>
            <w:vAlign w:val="bottom"/>
            <w:gridSpan w:val="3"/>
          </w:tcPr>
          <w:p>
            <w:pPr>
              <w:ind w:left="20"/>
              <w:spacing w:after="0"/>
              <w:rPr>
                <w:sz w:val="20"/>
                <w:szCs w:val="20"/>
                <w:color w:val="auto"/>
              </w:rPr>
            </w:pPr>
            <w:r>
              <w:rPr>
                <w:rFonts w:ascii="Arial" w:cs="Arial" w:eastAsia="Arial" w:hAnsi="Arial"/>
                <w:sz w:val="18"/>
                <w:szCs w:val="18"/>
                <w:color w:val="auto"/>
                <w:w w:val="94"/>
              </w:rPr>
              <w:t>Change Due to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Change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Volume</w:t>
            </w:r>
          </w:p>
        </w:tc>
        <w:tc>
          <w:tcPr>
            <w:tcW w:w="24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Earning Assets:</w:t>
            </w:r>
          </w:p>
        </w:tc>
        <w:tc>
          <w:tcPr>
            <w:tcW w:w="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Loans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5,108</w:t>
            </w:r>
          </w:p>
        </w:tc>
        <w:tc>
          <w:tcPr>
            <w:tcW w:w="14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2,306</w:t>
            </w:r>
          </w:p>
        </w:tc>
        <w:tc>
          <w:tcPr>
            <w:tcW w:w="2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Taxable investment securities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Tax-exempt investment securities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 funds sold &amp; interest bearing deposits</w:t>
            </w:r>
          </w:p>
        </w:tc>
        <w:tc>
          <w:tcPr>
            <w:tcW w:w="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tcPr>
          <w:p>
            <w:pPr>
              <w:ind w:left="220"/>
              <w:spacing w:after="0"/>
              <w:rPr>
                <w:sz w:val="20"/>
                <w:szCs w:val="20"/>
                <w:color w:val="auto"/>
              </w:rPr>
            </w:pPr>
            <w:r>
              <w:rPr>
                <w:rFonts w:ascii="Arial" w:cs="Arial" w:eastAsia="Arial" w:hAnsi="Arial"/>
                <w:sz w:val="18"/>
                <w:szCs w:val="18"/>
                <w:b w:val="1"/>
                <w:bCs w:val="1"/>
                <w:color w:val="auto"/>
              </w:rPr>
              <w:t>Total Interest Earning Assets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5,181</w:t>
            </w:r>
          </w:p>
        </w:tc>
        <w:tc>
          <w:tcPr>
            <w:tcW w:w="140" w:type="dxa"/>
            <w:vAlign w:val="bottom"/>
          </w:tcPr>
          <w:p>
            <w:pPr>
              <w:spacing w:after="0"/>
              <w:rPr>
                <w:sz w:val="22"/>
                <w:szCs w:val="22"/>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2,109</w:t>
            </w:r>
          </w:p>
        </w:tc>
        <w:tc>
          <w:tcPr>
            <w:tcW w:w="20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Interest Bearing Liabilities: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Savings deposits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Other time deposits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borrowed money</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Federal funds purchased and securities sold</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under agreement to repurchase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22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discussion now focuses on the non-interest income and expense generated from the Company for the years ended 2017 through 2019. Non-interest income increased in total for 2019 as compared to 2018, ending at $11.8 million. 2018 had non-interest income of $10.9 million which exceeded 2017’s $10.7 million.</w:t>
      </w:r>
    </w:p>
    <w:p>
      <w:pPr>
        <w:spacing w:after="0" w:line="13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Components of non-interest income for 2019 which improved over both 2018 and 2017 were combined service charge revenue from the business accounts and consumer accounts which is included in the other service charges and fees line of the consolidated income statement. 2019 combined service charge revenue was $20.2 thousand higher than 2018 while 2018 was $53.1 thousand higher than 2017, mainly due to the increased number of accounts that had service charges attached to them.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a continuation of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jc w:val="both"/>
        <w:spacing w:after="0" w:line="299" w:lineRule="auto"/>
        <w:rPr>
          <w:sz w:val="20"/>
          <w:szCs w:val="20"/>
          <w:color w:val="auto"/>
        </w:rPr>
      </w:pPr>
      <w:r>
        <w:rPr>
          <w:rFonts w:ascii="Arial" w:cs="Arial" w:eastAsia="Arial" w:hAnsi="Arial"/>
          <w:sz w:val="16"/>
          <w:szCs w:val="16"/>
          <w:color w:val="auto"/>
        </w:rPr>
        <w:t>Bank’s “earn to free” strategic initiative. Overdraft, returned check charges and recurring overdraft fees from combined business accounts and consumer accounts increased $257.9 thousand over 2018. Upgrades to our digital products and services continue to occur in both retail and business lines. Increases in the number of accounts and the number of services being utilized by our customers accounted for the increase in fees over the last two years.</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Bank has long promoted the use of debit cards by its customers and continues to build on that philosophy with the introduction of new products. During 2019 the Bank collected interchange revenue, combined with fees collected on foreign ATM fees (noncustomers utilizing our ATMs), of $3.4 million which was $465.5 thousand higher than 2018 and $167.5 thousand higher than 2017. While this revenue stream continues to improve with more depositors using electronic methods for purchasing, the expense attributable to card fraud has offset a portion of the revenue gain. Further discussion can be found in the non-interest section regarding the net effect of debit card activity.</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Noninterest income from net gain on sales of loans was the highest in 2017 of the three year periods shown. The change may be related to the increase in rates after the long duration of the flat interest rate environment. The net gain on sale of loans is derived from sales of real estate loans into the secondary market. Of these loan types, the Bank sells 100% of the residential loans and 90% of the agricultural loans. 56% of the gains were attributed to the residential loans in 2019, 66.5% in 2018 and 80% in 2017. In conjunction with these sales, the Bank maintains servicing rights and those income amounts during all three years are included in the customer service fee income line item and accounted for $731 thousand in 2019, $449 thousand in 2018 and $460 thousand in revenue for 2017.</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last item in the non-interest income section is the net gain of sale of investments. The Bank has sold securities over the last three years for two main purposes: to provide funds for loan growth and to take advantage of the position of the yield curve when a gain can be recognized on sales without extending the duration of the portfolio longer than wanted. 2019 and 2018 had limited sales for gain recognition due to the flatness of the yield curve which began to occur in second half of 2017. The Bank will not increase short-terms gains at the sacrifice of long-term profitability. The available for sale security portfolio switched from an unrealized loss position into an unrealized gain position in 2019. Sales in 2017 were made early in the first quarter before the additional Federal Reserve rate hike in March and again in May before the June rate hike. These sales recognized much lower gains than in prior years. The Bank recognized net losses of $26.3 thousand in 2019 and net gains of $9.8 thousand in 2018 and $46.9 thousand for 2017. The Company also recognized a gain on sale of securities from the holding company of $0.4 thousand in 2019 while proceeds from 2018 were used to provide cash for the acquisition with the losses totaling $19.2 thousand. The net effect of the consolidated number is what shows on the line item of net loss of $26 thousand for 2019 and $9 thousand for 2018.</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Noninterest expense increased 29.1% in 2019 as compared to 2018 and was preceded by a 12.1% increase in 2018 as compared to 2017. Represented in dollars, 2019 was $9.4 million higher than 2018 and 2018 was $3.5 million higher than 2017. The largest factor behind the increase in both years was the expense of employee salaries and wages. During 2019, an additional $2.6 million was spent over 2018 which correlates to an 18.7% increase. When making the same analysis for 2018 as compared to 2017, 2018’s costs increased $1.1 million or 9.1%. Three main components flow into salaries and wages: base salary, deferred costs, and incentives composed of the expense of restricted stock awards and performance incentives. Base pay has increased with the addition of the four newer offices of Sylvania, Huntertown, Bowling Green and Findlay in addition to the six offices acquired from Bank of Geneva in 2019, as well as from the operations of the Captive and through normal yearly increases to the remainder of the employees. Base pay was up $3.2 million for 2019 over the previous year and 2018 was up $768.3 thousand over 2017. The full time equivalent number of employees at each yearend increased to 357 for 2019, to 288 for 2018 compared to 2017’s 275. The Company had also chosen to invest a portion of the tax savings dollars of 2018 to increase the base pay of our lowest paid employees.</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Incentive pay as it related to performance was down $386.3 thousand in 2019 over 2018 and up $181.7 thousand in 2018 over 2017. The Return on Assets measurement used to award incentive pay dropped in 2019 compared to 2018 resulting in decreased incentive pay. The effect of acquisition costs and fair value accretions/amortizations were removed in 2019 and 2018 for the calculation. The measurements used for award incentive pay had improved in 2018 and 2017 and employees benefited accordingly. The measurements used for 2018 were increased to negate the paying of incentive for the benefit of the lower tax rate. The expense for the restricted stock awards has also increased each of the last three years as more shares have been granted to a larger number of employees and the market value of the shares has increased. The market value of the Company’s stock increased significantly with the listing on NASDAQ and being included in the Russell 3000 Index during the second quarter of 2017. 5,100 more shares were awarded in 2019 with a lower value as compared to 2018. 1,000 additional restricted shares were awarded in 2018 as compared to 2017 with the value of these rewards much higher; therefore, the expense for 2019 was higher by $342.8 thousand which included accelerated expense due to retirement of $244.7 thousand as compared to 2018. 2018’s cost for this program was $237.7 thousand higher than 2017. The awards incorporate a three year vesting period so the increase of any one year carries forward through the next two years. This expense should continue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jc w:val="both"/>
        <w:spacing w:after="0" w:line="262" w:lineRule="auto"/>
        <w:rPr>
          <w:sz w:val="20"/>
          <w:szCs w:val="20"/>
          <w:color w:val="auto"/>
        </w:rPr>
      </w:pPr>
      <w:r>
        <w:rPr>
          <w:rFonts w:ascii="Arial" w:cs="Arial" w:eastAsia="Arial" w:hAnsi="Arial"/>
          <w:sz w:val="18"/>
          <w:szCs w:val="18"/>
          <w:color w:val="auto"/>
        </w:rPr>
        <w:t>increase as the Company continues its expansion strategy. For further discussion in incentive pay and restricted stock awards, see Note 11 of the consolidated financial statements.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Along with the salary and wage increase was an increase in employee benefits in 2019 as compared to 2018. Employee group insurance accounted for the largest portion of the cost, which was an increase of $775.6 thousand over 2018. This was due to an increase in the cost to provide to a larger number of employees along with a higher level of medical claims. The cost of the 401-K retirement plan also increased $198.3 thousand for 2019 as compared to 2018. The contribution portion relating to the discretionary profit-sharing percentage was 5.25% in 2019 compared to 6% for 2018. Overall, employee benefits increased $1.4 million or 39.7% from 2018.</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Along with the salary and wage increase was an increase in employee benefits in 2018 as compared to 2017. Employee group insurance accounted for the largest portion of the cost, which was an increase of $293.3 thousand over 2017. This was due to an increase in the cost to provide to a larger number of employees along with a higher level of medical claims. The cost of the 401-K retirement plan also increased $79.7 thousand for 2018 as compared to 2017. Overall, employee benefits increased $480 thousand or 13.2% from 2017.</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occupancy expense typically increases as the Company expands, which is what has occurred for 2017 through 2019. One factor that can offset occupancy expense is the receipt by the Company of building rent as it is netted out of occupancy expense. The greatest contributor to building rent comes from the division of FM Investments within the Bank. This division experienced a weaker 2019 and 2018; however, the department was short staffed most of 2019 through 2017. For 2019, building rent as generated from FM Investments was lower by $60.6 thousand due to staff turnover. Rent is received in lieu of commissions. This loss of revenue contributed to the increased net occupancy expense of $560 thousand for 2019 as compared to 2018. Building rent as generated by FM Investments was lower by $151.2 thousand in 2018 contributing to the overall increase to net occupancy to $268.5 thousand in 2018 as compared to 2017.</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1-4 family mortgage refinancing activity has been slow over the last three years though increasing slightly each year. Fourth quarter 2019 accounted for the largest number of loans being closed in the last 10 years. A correlating expense to that activity as it relates to loans sold to the secondary market, is the amortization of mortgage servicing rights. The amortization is the expense that offsets the income recognized when the loan is first made. Income is recorded when the mortgage loan is first sold with servicing retained and is therefore recognized within one year. The amortization, however, is calculated over the life of the loan and accelerated as loans are paid off early. An increase in this expense can be driven by two activities: an increase in the number of sold loans and/or by the acceleration of the expense from payoff and refinance activity. The best picture of the bottom line impact is achieved by netting the income with the expense each year. The net income for 2019 was $244 thousand; 2018 had net income of $86 thousand and was preceded by net income of $107 thousand for 2017. Of course, the value (or income) of the mortgage servicing right when sold also impacts the net position. As of December 31, 2019, 3,691 loans are being serviced with corresponding balances of $303.9 million. 2018 had 3,588 loans serviced with corresponding balances of $289.2 million. As of December 2017, 3,630 loans were being serviced with balances of $288.6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impact of mortgage servicing rights to both noninterest income and expense is shown in the following table:</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0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8"/>
                <w:szCs w:val="18"/>
                <w:color w:val="auto"/>
              </w:rPr>
            </w:pPr>
          </w:p>
        </w:tc>
      </w:tr>
      <w:tr>
        <w:trPr>
          <w:trHeight w:val="217"/>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Beginning Year</w:t>
            </w: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FF0FC"/>
          </w:tcPr>
          <w:p>
            <w:pPr>
              <w:spacing w:after="0"/>
              <w:rPr>
                <w:sz w:val="18"/>
                <w:szCs w:val="18"/>
                <w:color w:val="auto"/>
              </w:rPr>
            </w:pPr>
          </w:p>
        </w:tc>
      </w:tr>
      <w:tr>
        <w:trPr>
          <w:trHeight w:val="224"/>
        </w:trPr>
        <w:tc>
          <w:tcPr>
            <w:tcW w:w="5080" w:type="dxa"/>
            <w:vAlign w:val="bottom"/>
          </w:tcPr>
          <w:p>
            <w:pPr>
              <w:ind w:left="240"/>
              <w:spacing w:after="0"/>
              <w:rPr>
                <w:sz w:val="20"/>
                <w:szCs w:val="20"/>
                <w:color w:val="auto"/>
              </w:rPr>
            </w:pPr>
            <w:r>
              <w:rPr>
                <w:rFonts w:ascii="Arial" w:cs="Arial" w:eastAsia="Arial" w:hAnsi="Arial"/>
                <w:sz w:val="18"/>
                <w:szCs w:val="18"/>
                <w:color w:val="auto"/>
              </w:rPr>
              <w:t>Capitalized Additions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r>
      <w:tr>
        <w:trPr>
          <w:trHeight w:val="224"/>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(353)</w:t>
            </w:r>
          </w:p>
        </w:tc>
      </w:tr>
      <w:tr>
        <w:trPr>
          <w:trHeight w:val="224"/>
        </w:trPr>
        <w:tc>
          <w:tcPr>
            <w:tcW w:w="5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17"/>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End of Year</w:t>
            </w: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100" w:type="dxa"/>
            <w:vAlign w:val="bottom"/>
            <w:shd w:val="clear" w:color="auto" w:fill="CFF0FC"/>
          </w:tcPr>
          <w:p>
            <w:pPr>
              <w:spacing w:after="0"/>
              <w:rPr>
                <w:sz w:val="18"/>
                <w:szCs w:val="18"/>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Furniture and equipment steadily increase as we continue to add facilities and invest in technology. Annual maintenance costs continue to grow and become a greater piece of the overall cost. As new services are provided to our customers, the backroom cost to supply them continues to rise. The Company accepts it is an expected cost of doing business and keeping our services relevant to the industry.</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Data processing costs were higher in 2019 as compared to 2018 by $1.3 million of which $867.6 thousand was acquisition related for termination fees. Overall, data processing expense for 2019 was expected to be higher with the addition of the six acquired Indiana offices. Data processing expense increased $104.4 thousand during 2018 as compared to 2017.</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the pricing on many services is based on number of accounts and the Bank fully expects those to increase with the growth from the newer offices and overall Bank growth, this line item is expected to also increase.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8"/>
          <w:szCs w:val="18"/>
          <w:color w:val="auto"/>
        </w:rPr>
        <w:t>The FDIC assessment has a decreasing cost trend over the years shown. This line item speaks to the health of the Bank and the financial industry. The assessment for 2019 was down $143.5 thousand compared to 2018 as a result of the Small Bank Assessment Credits applied to 3</w:t>
      </w:r>
      <w:r>
        <w:rPr>
          <w:rFonts w:ascii="Arial" w:cs="Arial" w:eastAsia="Arial" w:hAnsi="Arial"/>
          <w:sz w:val="14"/>
          <w:szCs w:val="14"/>
          <w:color w:val="auto"/>
        </w:rPr>
        <w:t>rd</w:t>
      </w:r>
      <w:r>
        <w:rPr>
          <w:rFonts w:ascii="Arial" w:cs="Arial" w:eastAsia="Arial" w:hAnsi="Arial"/>
          <w:sz w:val="18"/>
          <w:szCs w:val="18"/>
          <w:color w:val="auto"/>
        </w:rPr>
        <w:t xml:space="preserve"> and 4</w:t>
      </w:r>
      <w:r>
        <w:rPr>
          <w:rFonts w:ascii="Arial" w:cs="Arial" w:eastAsia="Arial" w:hAnsi="Arial"/>
          <w:sz w:val="14"/>
          <w:szCs w:val="14"/>
          <w:color w:val="auto"/>
        </w:rPr>
        <w:t>th</w:t>
      </w:r>
      <w:r>
        <w:rPr>
          <w:rFonts w:ascii="Arial" w:cs="Arial" w:eastAsia="Arial" w:hAnsi="Arial"/>
          <w:sz w:val="18"/>
          <w:szCs w:val="18"/>
          <w:color w:val="auto"/>
        </w:rPr>
        <w:t xml:space="preserve"> quarter’s invoices. The assessment for 2018 was down $4 thousand from 2017.</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last line items with significant variation in noninterest expense to discuss is “consulting fees” and “other general and administrative.” Two main events are behind the increase of $865 thousand in 2018 as compared to 2017 in this line item. Both events incurred one-time costs which required the use of outside consultants. First related to the use of an executive recruiter firm to conduct a search for a CEO due to an upcoming retirement. The second related to the costs of researching, analyzing and negotiating possible mergers and acquisition opportunities. The consulting fees were beneficial in both instances as a new CEO was hired and a merger was closed on January 1, 2019. Consulting fees increased by $551.2 thousand in 2018 over 2017 while decreasing $259.9 thousand in 2019 compared to 2018. During 2019, consultants were used to complete a pay study review, assist with developing a three year strategic plan and to identify profit enhancement initiatives. Acquisition costs incurred in 2019 and 2018 total $1.28 million and $742.1 thousand respectively with expenses being recorded in multiple line items. Core deposit intangible expense which is included in the other general and administrative line decreased in 2018 as compared to 2017 by $77.7 thousand; however, increased in 2019 compared to 2018 by $560 thousand with the acquisition. Advertising and public relations increased also in 2019 by $682 thousand following an increase of $129.9 thousand in 2018. With the addition of new offices in both years behind the increases, 2019 was expected to increase due to additional offices being added. The Bank also celebrates the anniversary of office openings with a special event in each community.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Provision expense increased by $814 thousand for 2019 as compared to 2018 and $102 thousand for 2018 as compared to 2017 to account for the net charge-off activity of 2019 and 2018. Provision expense decreased by $899 thousand for 2017 due to the consistent strong asset quality of the Bank’s loan portfolio as evidenced by low levels of both net charge-offs and delinquencies. Sustained strong asset quality kept the provision expense lower than the growth alone would have warranted. The consumer portfolios had the highest levels of charge-off activity in 2019, 2018 and 2017 at $491, $359 and $263 thousand respectively. Net charge offs in the consumer portfolio were $371, $245 and $161 thousand for 2019, 2018 and 2017 respectively. Total net charge-offs were $685, $417 and $138 thousand for 2019, 2018 and 2017, respectively.</w:t>
      </w:r>
    </w:p>
    <w:p>
      <w:pPr>
        <w:spacing w:after="0" w:line="16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segregates its Allowance for Credit Losses (ACL) into two reserves: The ALLL and the Allowance for Unfunded Loan Commitments and Letters of Credit (AULC). When combined, these reserves constitute the total ACL. The AUCL is included in other liabilities on the consolidated balance sheets.</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Bank’s ALLL methodology captures trends in leading, current, and lagging indicators which will directly affect the Bank’s allocation amount. The Bank monitors trends in such leading indicators as delinquency, unemployment changes in the Bank’s service area, experience and ability of staff, regulatory trends, and credit concentrations. A current indicator such as the total watch list loan amount to Capital, and a lagging indicator such as the charge off amount are referenced as well. A matrix formed by loan type from these indicators is used in making ALLL adjustments.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Watch list loan balances are comprised of loans graded 5-8. At yearend December 31, 2019 these loans totaled $60.2 million and were $52.3 million higher than December 31, 2018. Grade 5 increased $19.9 million in 2019 as compared to 2018 and Grade 6 increased by $32.2 million in the same comparison. Grade 7 increased $200 thousand in 2019 as compared to 2018. Much of the total increase in 2019, $33.4 million, is in the agricultural real estate portfolio which expanded with the acquired loan portfolio. The watch list loans as of December 31, 2018 were $13.3 million lower than December 31, 2017. Grade 5 decreased $6.6 million and Grade 6 decreased $7.3 million in 2018 as compared to 2017.</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2019, 39.3% of the watch list was classified as special mention, with an additional 58.9% classified as substandard. A small 1.8% or $1.1 million of the $60.2 million watch list was classified as doubtful. At yearend 2018, 47.5% of the watch list was comprised of loans classified as special mention, with an additional 41.4% classified as substandard and the remaining 11.1% classified as doubtful.</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aggregate watch list loan balances, as of December 31, 2017, special mention accounted for 49.0% with substandard comprising 50.1% and doubtful accounting for the final 0.9%.</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response to these fluctuations and loan growth during 2017 through 2019, the Bank’s ALLL to outstanding loan coverage percentage changed to 0.59% as of December 31, 2019, 0.80% as of December 31, 2018, and 0.83% as of December 31, 2017. In addition, for 2019 our allowance for loan and lease does not include a $2.1 million credit mark associated with the Limberlost acquisition, which further supports the current position of the ALLL.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3" w:name="page34"/>
    <w:bookmarkEnd w:id="33"/>
    <w:p>
      <w:pPr>
        <w:jc w:val="both"/>
        <w:spacing w:after="0" w:line="287" w:lineRule="auto"/>
        <w:rPr>
          <w:sz w:val="20"/>
          <w:szCs w:val="20"/>
          <w:color w:val="auto"/>
        </w:rPr>
      </w:pPr>
      <w:r>
        <w:rPr>
          <w:rFonts w:ascii="Arial" w:cs="Arial" w:eastAsia="Arial" w:hAnsi="Arial"/>
          <w:sz w:val="16"/>
          <w:szCs w:val="16"/>
          <w:color w:val="auto"/>
        </w:rPr>
        <w:t>The above indicators impacting ALLL are reviewed quarterly. Some of the indicators are quantifiable and, as such, will automatically adjust the ALLL once calculated. These indicators include the ratio of past due loans to total loans, loans past due greater than 30 days, and the ratio of watch list loans to capital, with the watch list made up of loans graded 5, 6 or 7 on a scale of 1 (best) to 7 (worst). Other indicators consist of more subjective data used to evaluate the potential for inherent losses in the Bank’s loan portfolio. For example, the economic indicator uses the unemployment statistics from the communities in our market area to help determine whether the ALLL should be adjusted. At the end of each of 2017, 2018 and 2019, improvements were noted in unemployment figures.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aggregate commercial and agricultural credits including real estate loans of $250,000 and over are reviewed annually by both credit committees and internal loan review to look for early signs of deterioration.</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To establish the specific reserve allocation for real estate, a discount to the market value is established to account for liquidation expenses. The discounting percentage used for real estate mirrors the discounting of real estate as provided for in the Bank’s Loan Policy. However, unique or unusual circumstances may be present which will affect the real estate value and, when appropriately identified, can adjust the discounting percentage at the discretion of management.</w:t>
      </w:r>
    </w:p>
    <w:p>
      <w:pPr>
        <w:spacing w:after="0" w:line="155"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The ACL increased $658 thousand during 2019 while decreasing $46 thousand and increasing $94 thousand during 2018 and 2017 respectively. With the improved asset quality, the metrics upon which the ACL is calculated did not support a larger increase in 2017 even though loan growth occurred. The percentage of ACL to the total loan portfolio was 0.86% as of December 31, 2017 and 0.83% as of December 31, 2018, and 0.63% as of December 31, 2019. December 31, 2018 had the lowest loans past due 30+ day percentage at 0.09% in the last ten years. December 31, 2017 and 2019 were still at respectable lows of 0.13% and 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4 in the consolidated financial statement for additional tables regarding the composition of the ACL.</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Federal income tax expense was approximately $1.0 million more for 2019 than 2018 as result of approximately $4.5 million of additional income. The Tax Cuts and Jobs Act, which was signed into law on December 22, 2017, became effective for the Company’s 2018 fiscal year. Effective tax rates were 18.70%, 17.75% and 28.95%, for 2019, 2018 and 2017 respectively. The effect of tax-exempt interest from holding tax-exempt securities and Industrial Development Bonds (IDBs) was $182, $229 and $413 thousand for 2019, 2018 and 2017, respectively less the TEFRA adjustments of $56, $40 and $38 thousand respectively. 2017 included an increase into a higher tax bracket for income over $10 million. 2019 and 2018 had a flat corporate tax rate of 21%. One of the benefits from the establishment of the Captive subsidiary was a lower effective tax rate.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Changes in Financial Condition</w:t>
      </w:r>
    </w:p>
    <w:p>
      <w:pPr>
        <w:spacing w:after="0" w:line="11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shifts in the balance sheet during 2019 through 2017 have positioned the Company for continued improvement in profitability. On the asset side, interest income increased primarily from loan growth with funding for the increase provided by a decrease in the investment portfolio, growth in core deposits and growth in other borrowings generated in 2015 which had laddered maturities, that were then paid off in the following years. $5 million of other borrowings were paid off in December of 2017 and 2018. With the acquisition of Bank of Geneva, other borrowings were acquired. The cost of funds has been impacted by the increase of both interest bearing liabilities and the pressure on rates from competition for funds. Increased balances in non-interest bearing deposits aided in profitability also. Loan growth and a widened net interest margin contributed to improved profitability in 2019 and 2018, and the Company expects continued improvement through 2020.</w:t>
      </w:r>
    </w:p>
    <w:p>
      <w:pPr>
        <w:spacing w:after="0" w:line="151" w:lineRule="exact"/>
        <w:rPr>
          <w:sz w:val="20"/>
          <w:szCs w:val="20"/>
          <w:color w:val="auto"/>
        </w:rPr>
      </w:pPr>
    </w:p>
    <w:p>
      <w:pPr>
        <w:jc w:val="both"/>
        <w:spacing w:after="0" w:line="362" w:lineRule="auto"/>
        <w:rPr>
          <w:sz w:val="20"/>
          <w:szCs w:val="20"/>
          <w:color w:val="auto"/>
        </w:rPr>
      </w:pPr>
      <w:r>
        <w:rPr>
          <w:rFonts w:ascii="Arial" w:cs="Arial" w:eastAsia="Arial" w:hAnsi="Arial"/>
          <w:sz w:val="15"/>
          <w:szCs w:val="15"/>
          <w:color w:val="auto"/>
        </w:rPr>
        <w:t>Average earning assets increased in balances throughout 2019 and 2018. Newer offices have contributed the most towards new loan production. Loan growth in both years was the main factor. 2016 had two offices open, one in each half of the year and operating fully throughout 2017. An additional office opened in early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investment portfolio is primarily used to provide overall liquidity for the Bank. It is also used to provide required collateral for pledging to the Bank’s Ohio public depositors for amounts on deposit in excess of the FDIC coverage limits. It may also be used to pledge for additional borrowings from third parties. Investments are made with the above criteria in mind while still seeking a fair market rate of return and looking for maturities that fall within the projected overall strategy of the Bank. The possible need to fund future loan growth is also a consideration.</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2016, the Bank began to utilize Promontory’s ICS, product to replace pledged securities; thereby increasing liquidity. ICS utilizes a nation-wide bank network to provide FDIC insurance coverage to the Bank’s depositors. The Bank is using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8"/>
          <w:szCs w:val="18"/>
          <w:color w:val="auto"/>
        </w:rPr>
        <w:t>product to replace pledged securities to the Bank’s Ohio public customers and for commercial sweep customers previously utilizing daily repurchase agreements to protect balances over $250 thousand. The majority of the commercial accounts converted in 2017 and is evidenced by the movement of funds out of repurchase agreements into interest bearing deposits.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of the Bank’s security portfolio is categorized as available for sale and as such is recorded at market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40" w:type="dxa"/>
            <w:vAlign w:val="bottom"/>
            <w:gridSpan w:val="2"/>
          </w:tcPr>
          <w:p>
            <w:pPr>
              <w:spacing w:after="0"/>
              <w:rPr>
                <w:sz w:val="20"/>
                <w:szCs w:val="20"/>
                <w:color w:val="auto"/>
              </w:rPr>
            </w:pPr>
            <w:r>
              <w:rPr>
                <w:rFonts w:ascii="Arial" w:cs="Arial" w:eastAsia="Arial" w:hAnsi="Arial"/>
                <w:sz w:val="18"/>
                <w:szCs w:val="18"/>
                <w:color w:val="auto"/>
              </w:rPr>
              <w:t>Security balances as of December 31 are summarized below:</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5"/>
        </w:trPr>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7"/>
              </w:rPr>
              <w:t>(In Thousands)</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4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18"/>
                <w:szCs w:val="18"/>
                <w:color w:val="auto"/>
              </w:rPr>
            </w:pPr>
          </w:p>
        </w:tc>
      </w:tr>
      <w:tr>
        <w:trPr>
          <w:trHeight w:val="217"/>
        </w:trPr>
        <w:tc>
          <w:tcPr>
            <w:tcW w:w="116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22,830</w:t>
            </w:r>
          </w:p>
        </w:tc>
        <w:tc>
          <w:tcPr>
            <w:tcW w:w="520" w:type="dxa"/>
            <w:vAlign w:val="bottom"/>
            <w:gridSpan w:val="2"/>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20,978</w:t>
            </w:r>
          </w:p>
        </w:tc>
        <w:tc>
          <w:tcPr>
            <w:tcW w:w="80" w:type="dxa"/>
            <w:vAlign w:val="bottom"/>
            <w:shd w:val="clear" w:color="auto" w:fill="CFF0FC"/>
          </w:tcPr>
          <w:p>
            <w:pPr>
              <w:spacing w:after="0"/>
              <w:rPr>
                <w:sz w:val="18"/>
                <w:szCs w:val="18"/>
                <w:color w:val="auto"/>
              </w:rPr>
            </w:pPr>
          </w:p>
        </w:tc>
      </w:tr>
      <w:tr>
        <w:trPr>
          <w:trHeight w:val="224"/>
        </w:trPr>
        <w:tc>
          <w:tcPr>
            <w:tcW w:w="5640" w:type="dxa"/>
            <w:vAlign w:val="bottom"/>
            <w:gridSpan w:val="2"/>
          </w:tcPr>
          <w:p>
            <w:pPr>
              <w:ind w:left="1160"/>
              <w:spacing w:after="0"/>
              <w:rPr>
                <w:sz w:val="20"/>
                <w:szCs w:val="20"/>
                <w:color w:val="auto"/>
              </w:rPr>
            </w:pPr>
            <w:r>
              <w:rPr>
                <w:rFonts w:ascii="Arial" w:cs="Arial" w:eastAsia="Arial" w:hAnsi="Arial"/>
                <w:sz w:val="18"/>
                <w:szCs w:val="18"/>
                <w:color w:val="auto"/>
              </w:rPr>
              <w:t>U.S. Government agencies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62,445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69,327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80,466</w:t>
            </w:r>
          </w:p>
        </w:tc>
        <w:tc>
          <w:tcPr>
            <w:tcW w:w="80" w:type="dxa"/>
            <w:vAlign w:val="bottom"/>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95,197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39,510</w:t>
            </w:r>
          </w:p>
        </w:tc>
        <w:tc>
          <w:tcPr>
            <w:tcW w:w="80" w:type="dxa"/>
            <w:vAlign w:val="bottom"/>
            <w:shd w:val="clear" w:color="auto" w:fill="CFF0FC"/>
          </w:tcPr>
          <w:p>
            <w:pPr>
              <w:spacing w:after="0"/>
              <w:rPr>
                <w:sz w:val="19"/>
                <w:szCs w:val="19"/>
                <w:color w:val="auto"/>
              </w:rPr>
            </w:pPr>
          </w:p>
        </w:tc>
      </w:tr>
      <w:tr>
        <w:trPr>
          <w:trHeight w:val="224"/>
        </w:trPr>
        <w:tc>
          <w:tcPr>
            <w:tcW w:w="5640" w:type="dxa"/>
            <w:vAlign w:val="bottom"/>
            <w:gridSpan w:val="2"/>
          </w:tcPr>
          <w:p>
            <w:pPr>
              <w:ind w:left="1160"/>
              <w:spacing w:after="0"/>
              <w:rPr>
                <w:sz w:val="20"/>
                <w:szCs w:val="20"/>
                <w:color w:val="auto"/>
              </w:rPr>
            </w:pPr>
            <w:r>
              <w:rPr>
                <w:rFonts w:ascii="Arial" w:cs="Arial" w:eastAsia="Arial" w:hAnsi="Arial"/>
                <w:sz w:val="18"/>
                <w:szCs w:val="18"/>
                <w:color w:val="auto"/>
              </w:rPr>
              <w:t>State and local governments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40,028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55,444</w:t>
            </w:r>
          </w:p>
        </w:tc>
        <w:tc>
          <w:tcPr>
            <w:tcW w:w="80" w:type="dxa"/>
            <w:vAlign w:val="bottom"/>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44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222,293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168,447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196,398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sets forth the maturities of investment securities as of December 31, 2019 and the weighted average yields of such securities calculated on the basis of cost and effective yields weighted for the scheduled maturity of each security. Tax-equivalent adjustments, using a twenty-one percent rate, have been made in yields on obligations of state and political subdivisions. Stocks of domestic corporations have not been included. Maturities of mortgage-backed securities are based on the stated maturity date of the security. Due to prepayments, actual maturities may be different.</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Maturities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4"/>
        </w:trPr>
        <w:tc>
          <w:tcPr>
            <w:tcW w:w="3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7"/>
          </w:tcPr>
          <w:p>
            <w:pPr>
              <w:ind w:left="280"/>
              <w:spacing w:after="0"/>
              <w:rPr>
                <w:sz w:val="20"/>
                <w:szCs w:val="20"/>
                <w:color w:val="auto"/>
              </w:rPr>
            </w:pPr>
            <w:r>
              <w:rPr>
                <w:rFonts w:ascii="Arial" w:cs="Arial" w:eastAsia="Arial" w:hAnsi="Arial"/>
                <w:sz w:val="18"/>
                <w:szCs w:val="18"/>
                <w:color w:val="auto"/>
              </w:rPr>
              <w:t>(Amounts in Thousands)</w:t>
            </w:r>
          </w:p>
        </w:tc>
        <w:tc>
          <w:tcPr>
            <w:tcW w:w="10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3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4"/>
          </w:tcPr>
          <w:p>
            <w:pPr>
              <w:jc w:val="center"/>
              <w:ind w:right="420"/>
              <w:spacing w:after="0"/>
              <w:rPr>
                <w:sz w:val="20"/>
                <w:szCs w:val="20"/>
                <w:color w:val="auto"/>
              </w:rPr>
            </w:pPr>
            <w:r>
              <w:rPr>
                <w:rFonts w:ascii="Arial" w:cs="Arial" w:eastAsia="Arial" w:hAnsi="Arial"/>
                <w:sz w:val="18"/>
                <w:szCs w:val="18"/>
                <w:color w:val="auto"/>
                <w:w w:val="88"/>
              </w:rPr>
              <w:t>After One Year</w:t>
            </w:r>
          </w:p>
        </w:tc>
      </w:tr>
      <w:tr>
        <w:trPr>
          <w:trHeight w:val="224"/>
        </w:trPr>
        <w:tc>
          <w:tcPr>
            <w:tcW w:w="3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color w:val="auto"/>
              </w:rPr>
              <w:t>Within One Year</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9"/>
              </w:rPr>
              <w:t>Within Five Years</w:t>
            </w:r>
          </w:p>
        </w:tc>
        <w:tc>
          <w:tcPr>
            <w:tcW w:w="180" w:type="dxa"/>
            <w:vAlign w:val="bottom"/>
          </w:tcPr>
          <w:p>
            <w:pPr>
              <w:spacing w:after="0"/>
              <w:rPr>
                <w:sz w:val="19"/>
                <w:szCs w:val="19"/>
                <w:color w:val="auto"/>
              </w:rPr>
            </w:pPr>
          </w:p>
        </w:tc>
      </w:tr>
      <w:tr>
        <w:trPr>
          <w:trHeight w:val="217"/>
        </w:trPr>
        <w:tc>
          <w:tcPr>
            <w:tcW w:w="390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9"/>
              </w:rPr>
              <w:t>Yield</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Yield</w:t>
            </w:r>
          </w:p>
        </w:tc>
        <w:tc>
          <w:tcPr>
            <w:tcW w:w="180" w:type="dxa"/>
            <w:vAlign w:val="bottom"/>
            <w:tcBorders>
              <w:bottom w:val="single" w:sz="8" w:color="CFF0FC"/>
            </w:tcBorders>
          </w:tcPr>
          <w:p>
            <w:pPr>
              <w:spacing w:after="0"/>
              <w:rPr>
                <w:sz w:val="18"/>
                <w:szCs w:val="18"/>
                <w:color w:val="auto"/>
              </w:rPr>
            </w:pPr>
          </w:p>
        </w:tc>
      </w:tr>
      <w:tr>
        <w:trPr>
          <w:trHeight w:val="21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1.75%</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9,767</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25,621</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r>
      <w:tr>
        <w:trPr>
          <w:trHeight w:val="224"/>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0.00%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16,444</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r>
      <w:tr>
        <w:trPr>
          <w:trHeight w:val="224"/>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Taxable state and local governments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2.25%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w:t>
            </w:r>
          </w:p>
        </w:tc>
      </w:tr>
      <w:tr>
        <w:trPr>
          <w:trHeight w:val="434"/>
        </w:trPr>
        <w:tc>
          <w:tcPr>
            <w:tcW w:w="3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4"/>
          </w:tcPr>
          <w:p>
            <w:pPr>
              <w:ind w:left="400"/>
              <w:spacing w:after="0"/>
              <w:rPr>
                <w:sz w:val="20"/>
                <w:szCs w:val="20"/>
                <w:color w:val="auto"/>
              </w:rPr>
            </w:pPr>
            <w:r>
              <w:rPr>
                <w:rFonts w:ascii="Arial" w:cs="Arial" w:eastAsia="Arial" w:hAnsi="Arial"/>
                <w:sz w:val="18"/>
                <w:szCs w:val="18"/>
                <w:color w:val="auto"/>
              </w:rPr>
              <w:t>After Five Years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4"/>
        </w:trPr>
        <w:tc>
          <w:tcPr>
            <w:tcW w:w="3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color w:val="auto"/>
              </w:rPr>
              <w:t>Within Ten Years</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7"/>
              </w:rPr>
              <w:t>After Ten Years</w:t>
            </w:r>
          </w:p>
        </w:tc>
        <w:tc>
          <w:tcPr>
            <w:tcW w:w="180" w:type="dxa"/>
            <w:vAlign w:val="bottom"/>
          </w:tcPr>
          <w:p>
            <w:pPr>
              <w:spacing w:after="0"/>
              <w:rPr>
                <w:sz w:val="19"/>
                <w:szCs w:val="19"/>
                <w:color w:val="auto"/>
              </w:rPr>
            </w:pPr>
          </w:p>
        </w:tc>
      </w:tr>
      <w:tr>
        <w:trPr>
          <w:trHeight w:val="217"/>
        </w:trPr>
        <w:tc>
          <w:tcPr>
            <w:tcW w:w="390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9"/>
              </w:rPr>
              <w:t>Yield</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Yield</w:t>
            </w:r>
          </w:p>
        </w:tc>
        <w:tc>
          <w:tcPr>
            <w:tcW w:w="180" w:type="dxa"/>
            <w:vAlign w:val="bottom"/>
            <w:tcBorders>
              <w:bottom w:val="single" w:sz="8" w:color="CFF0FC"/>
            </w:tcBorders>
          </w:tcPr>
          <w:p>
            <w:pPr>
              <w:spacing w:after="0"/>
              <w:rPr>
                <w:sz w:val="18"/>
                <w:szCs w:val="18"/>
                <w:color w:val="auto"/>
              </w:rPr>
            </w:pPr>
          </w:p>
        </w:tc>
      </w:tr>
      <w:tr>
        <w:trPr>
          <w:trHeight w:val="21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0.00%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27,057</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24"/>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10,648</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2.26%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14,169</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r>
      <w:tr>
        <w:trPr>
          <w:trHeight w:val="224"/>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Taxable state and local governments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16,923</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2.70%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w:t>
            </w:r>
          </w:p>
        </w:tc>
      </w:tr>
    </w:tbl>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2019, the Bank did not hold a large block of any one investment security in excess of 10% of stockholders’ equity. The largest segment of holdings is in U.S. Government agencies. The Bank also holds stock in the Federal Home Loan Bank of Cincinnati and Indianapolis at a cost of $5.8 million. This is required in order to obtain Federal Home Loan Bank loans.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Bank’s various loan portfolios are subject to varying levels of credit risk. Management mitigates these risks through portfolio diversification and through standardization of lending policies and procedures.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Risks are mitigated through an adherence to the Bank’s loan policies, with any exception being recorded and approved by senior management or committees comprised of senior management. The Bank’s loan policies define parameters to essential underwriting guidelines such as loan-to-value ratio, cash flow and debt-to-income ratio, loan requirements and covenants, financial information tracking, collection practice and others. The maximum loan amount to any one borrower is limited by the Bank’s legal lending limits and is stated in policy. On a broader basis, the Bank restricts total aggregate funding in comparison to Bank capital to any one business or agricultural sector by an approved sector percentage to capital limitation.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5" w:name="page36"/>
    <w:bookmarkEnd w:id="35"/>
    <w:p>
      <w:pPr>
        <w:spacing w:after="0" w:line="263" w:lineRule="auto"/>
        <w:rPr>
          <w:sz w:val="20"/>
          <w:szCs w:val="20"/>
          <w:color w:val="auto"/>
        </w:rPr>
      </w:pPr>
      <w:r>
        <w:rPr>
          <w:rFonts w:ascii="Arial" w:cs="Arial" w:eastAsia="Arial" w:hAnsi="Arial"/>
          <w:sz w:val="18"/>
          <w:szCs w:val="18"/>
          <w:color w:val="auto"/>
        </w:rPr>
        <w:t>The following table shows the Bank’s loan portfolio, excluding loans held for sale, by category of loan as of December 31</w:t>
      </w:r>
      <w:r>
        <w:rPr>
          <w:rFonts w:ascii="Arial" w:cs="Arial" w:eastAsia="Arial" w:hAnsi="Arial"/>
          <w:sz w:val="14"/>
          <w:szCs w:val="14"/>
          <w:color w:val="auto"/>
        </w:rPr>
        <w:t>st</w:t>
      </w:r>
      <w:r>
        <w:rPr>
          <w:rFonts w:ascii="Arial" w:cs="Arial" w:eastAsia="Arial" w:hAnsi="Arial"/>
          <w:sz w:val="18"/>
          <w:szCs w:val="18"/>
          <w:color w:val="auto"/>
        </w:rPr>
        <w:t xml:space="preserve"> of each year, net of deferred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4"/>
              </w:rPr>
              <w:t>(In Thousands)</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78"/>
        </w:trPr>
        <w:tc>
          <w:tcPr>
            <w:tcW w:w="3840" w:type="dxa"/>
            <w:vAlign w:val="bottom"/>
            <w:gridSpan w:val="2"/>
          </w:tcPr>
          <w:p>
            <w:pPr>
              <w:spacing w:after="0" w:line="178" w:lineRule="exact"/>
              <w:rPr>
                <w:sz w:val="20"/>
                <w:szCs w:val="20"/>
                <w:color w:val="auto"/>
              </w:rPr>
            </w:pPr>
            <w:r>
              <w:rPr>
                <w:rFonts w:ascii="Arial" w:cs="Arial" w:eastAsia="Arial" w:hAnsi="Arial"/>
                <w:sz w:val="18"/>
                <w:szCs w:val="18"/>
                <w:color w:val="auto"/>
              </w:rPr>
              <w:t>Loans:</w:t>
            </w: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32"/>
              <w:spacing w:after="0" w:line="178" w:lineRule="exact"/>
              <w:rPr>
                <w:sz w:val="20"/>
                <w:szCs w:val="20"/>
                <w:color w:val="auto"/>
              </w:rPr>
            </w:pPr>
            <w:r>
              <w:rPr>
                <w:rFonts w:ascii="Arial" w:cs="Arial" w:eastAsia="Arial" w:hAnsi="Arial"/>
                <w:sz w:val="18"/>
                <w:szCs w:val="18"/>
                <w:color w:val="auto"/>
              </w:rPr>
              <w:t>2019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32"/>
              <w:spacing w:after="0" w:line="178" w:lineRule="exact"/>
              <w:rPr>
                <w:sz w:val="20"/>
                <w:szCs w:val="20"/>
                <w:color w:val="auto"/>
              </w:rPr>
            </w:pPr>
            <w:r>
              <w:rPr>
                <w:rFonts w:ascii="Arial" w:cs="Arial" w:eastAsia="Arial" w:hAnsi="Arial"/>
                <w:sz w:val="18"/>
                <w:szCs w:val="18"/>
                <w:color w:val="auto"/>
              </w:rPr>
              <w:t>2018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32"/>
              <w:spacing w:after="0" w:line="178" w:lineRule="exact"/>
              <w:rPr>
                <w:sz w:val="20"/>
                <w:szCs w:val="20"/>
                <w:color w:val="auto"/>
              </w:rPr>
            </w:pPr>
            <w:r>
              <w:rPr>
                <w:rFonts w:ascii="Arial" w:cs="Arial" w:eastAsia="Arial" w:hAnsi="Arial"/>
                <w:sz w:val="18"/>
                <w:szCs w:val="18"/>
                <w:color w:val="auto"/>
              </w:rPr>
              <w:t>2017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32"/>
              <w:spacing w:after="0" w:line="178" w:lineRule="exact"/>
              <w:rPr>
                <w:sz w:val="20"/>
                <w:szCs w:val="20"/>
                <w:color w:val="auto"/>
              </w:rPr>
            </w:pPr>
            <w:r>
              <w:rPr>
                <w:rFonts w:ascii="Arial" w:cs="Arial" w:eastAsia="Arial" w:hAnsi="Arial"/>
                <w:sz w:val="18"/>
                <w:szCs w:val="18"/>
                <w:color w:val="auto"/>
              </w:rPr>
              <w:t>2016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32"/>
              <w:spacing w:after="0" w:line="178" w:lineRule="exact"/>
              <w:rPr>
                <w:sz w:val="20"/>
                <w:szCs w:val="20"/>
                <w:color w:val="auto"/>
              </w:rPr>
            </w:pPr>
            <w:r>
              <w:rPr>
                <w:rFonts w:ascii="Arial" w:cs="Arial" w:eastAsia="Arial" w:hAnsi="Arial"/>
                <w:sz w:val="18"/>
                <w:szCs w:val="18"/>
                <w:color w:val="auto"/>
              </w:rPr>
              <w:t>2015</w:t>
            </w:r>
          </w:p>
        </w:tc>
        <w:tc>
          <w:tcPr>
            <w:tcW w:w="120" w:type="dxa"/>
            <w:vAlign w:val="bottom"/>
          </w:tcPr>
          <w:p>
            <w:pPr>
              <w:spacing w:after="0"/>
              <w:rPr>
                <w:sz w:val="15"/>
                <w:szCs w:val="15"/>
                <w:color w:val="auto"/>
              </w:rPr>
            </w:pPr>
          </w:p>
        </w:tc>
      </w:tr>
      <w:tr>
        <w:trPr>
          <w:trHeight w:val="20"/>
        </w:trPr>
        <w:tc>
          <w:tcPr>
            <w:tcW w:w="480" w:type="dxa"/>
            <w:vAlign w:val="bottom"/>
            <w:tcBorders>
              <w:top w:val="single" w:sz="8" w:color="auto"/>
              <w:bottom w:val="single" w:sz="8" w:color="CFF0FC"/>
            </w:tcBorders>
          </w:tcPr>
          <w:p>
            <w:pPr>
              <w:spacing w:after="0" w:line="20" w:lineRule="exact"/>
              <w:rPr>
                <w:sz w:val="1"/>
                <w:szCs w:val="1"/>
                <w:color w:val="auto"/>
              </w:rPr>
            </w:pPr>
          </w:p>
        </w:tc>
        <w:tc>
          <w:tcPr>
            <w:tcW w:w="3360" w:type="dxa"/>
            <w:vAlign w:val="bottom"/>
            <w:tcBorders>
              <w:bottom w:val="single" w:sz="8" w:color="CFF0FC"/>
            </w:tcBorders>
          </w:tcPr>
          <w:p>
            <w:pPr>
              <w:spacing w:after="0" w:line="20" w:lineRule="exact"/>
              <w:rPr>
                <w:sz w:val="1"/>
                <w:szCs w:val="1"/>
                <w:color w:val="auto"/>
              </w:rPr>
            </w:pPr>
          </w:p>
        </w:tc>
        <w:tc>
          <w:tcPr>
            <w:tcW w:w="17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17"/>
        </w:trPr>
        <w:tc>
          <w:tcPr>
            <w:tcW w:w="3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80,766</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83,620</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86,234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88,189</w:t>
            </w:r>
          </w:p>
        </w:tc>
        <w:tc>
          <w:tcPr>
            <w:tcW w:w="120" w:type="dxa"/>
            <w:vAlign w:val="bottom"/>
            <w:shd w:val="clear" w:color="auto" w:fill="CFF0FC"/>
          </w:tcPr>
          <w:p>
            <w:pPr>
              <w:spacing w:after="0"/>
              <w:rPr>
                <w:sz w:val="18"/>
                <w:szCs w:val="18"/>
                <w:color w:val="auto"/>
              </w:rPr>
            </w:pPr>
          </w:p>
        </w:tc>
      </w:tr>
      <w:tr>
        <w:trPr>
          <w:trHeight w:val="224"/>
        </w:trPr>
        <w:tc>
          <w:tcPr>
            <w:tcW w:w="384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199,105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57,277</w:t>
            </w:r>
          </w:p>
        </w:tc>
        <w:tc>
          <w:tcPr>
            <w:tcW w:w="120" w:type="dxa"/>
            <w:vAlign w:val="bottom"/>
          </w:tcPr>
          <w:p>
            <w:pPr>
              <w:spacing w:after="0"/>
              <w:rPr>
                <w:sz w:val="19"/>
                <w:szCs w:val="19"/>
                <w:color w:val="auto"/>
              </w:rPr>
            </w:pPr>
          </w:p>
        </w:tc>
      </w:tr>
      <w:tr>
        <w:trPr>
          <w:trHeight w:val="224"/>
        </w:trPr>
        <w:tc>
          <w:tcPr>
            <w:tcW w:w="3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82,654</w:t>
            </w:r>
          </w:p>
        </w:tc>
        <w:tc>
          <w:tcPr>
            <w:tcW w:w="120" w:type="dxa"/>
            <w:vAlign w:val="bottom"/>
            <w:shd w:val="clear" w:color="auto" w:fill="CFF0FC"/>
          </w:tcPr>
          <w:p>
            <w:pPr>
              <w:spacing w:after="0"/>
              <w:rPr>
                <w:sz w:val="19"/>
                <w:szCs w:val="19"/>
                <w:color w:val="auto"/>
              </w:rPr>
            </w:pPr>
          </w:p>
        </w:tc>
      </w:tr>
      <w:tr>
        <w:trPr>
          <w:trHeight w:val="224"/>
        </w:trPr>
        <w:tc>
          <w:tcPr>
            <w:tcW w:w="384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551,309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419,784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410,520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377,481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322,762</w:t>
            </w:r>
          </w:p>
        </w:tc>
        <w:tc>
          <w:tcPr>
            <w:tcW w:w="120" w:type="dxa"/>
            <w:vAlign w:val="bottom"/>
          </w:tcPr>
          <w:p>
            <w:pPr>
              <w:spacing w:after="0"/>
              <w:rPr>
                <w:sz w:val="19"/>
                <w:szCs w:val="19"/>
                <w:color w:val="auto"/>
              </w:rPr>
            </w:pPr>
          </w:p>
        </w:tc>
      </w:tr>
      <w:tr>
        <w:trPr>
          <w:trHeight w:val="224"/>
        </w:trPr>
        <w:tc>
          <w:tcPr>
            <w:tcW w:w="3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100,125</w:t>
            </w:r>
          </w:p>
        </w:tc>
        <w:tc>
          <w:tcPr>
            <w:tcW w:w="120" w:type="dxa"/>
            <w:vAlign w:val="bottom"/>
            <w:shd w:val="clear" w:color="auto" w:fill="CFF0FC"/>
          </w:tcPr>
          <w:p>
            <w:pPr>
              <w:spacing w:after="0"/>
              <w:rPr>
                <w:sz w:val="19"/>
                <w:szCs w:val="19"/>
                <w:color w:val="auto"/>
              </w:rPr>
            </w:pPr>
          </w:p>
        </w:tc>
      </w:tr>
      <w:tr>
        <w:trPr>
          <w:trHeight w:val="224"/>
        </w:trPr>
        <w:tc>
          <w:tcPr>
            <w:tcW w:w="384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27,770</w:t>
            </w:r>
          </w:p>
        </w:tc>
        <w:tc>
          <w:tcPr>
            <w:tcW w:w="120" w:type="dxa"/>
            <w:vAlign w:val="bottom"/>
          </w:tcPr>
          <w:p>
            <w:pPr>
              <w:spacing w:after="0"/>
              <w:rPr>
                <w:sz w:val="19"/>
                <w:szCs w:val="19"/>
                <w:color w:val="auto"/>
              </w:rPr>
            </w:pPr>
          </w:p>
        </w:tc>
      </w:tr>
      <w:tr>
        <w:trPr>
          <w:trHeight w:val="224"/>
        </w:trPr>
        <w:tc>
          <w:tcPr>
            <w:tcW w:w="3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120" w:type="dxa"/>
            <w:vAlign w:val="bottom"/>
            <w:shd w:val="clear" w:color="auto" w:fill="CFF0FC"/>
          </w:tcPr>
          <w:p>
            <w:pPr>
              <w:spacing w:after="0"/>
              <w:rPr>
                <w:sz w:val="19"/>
                <w:szCs w:val="19"/>
                <w:color w:val="auto"/>
              </w:rPr>
            </w:pPr>
          </w:p>
        </w:tc>
      </w:tr>
      <w:tr>
        <w:trPr>
          <w:trHeight w:val="217"/>
        </w:trPr>
        <w:tc>
          <w:tcPr>
            <w:tcW w:w="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1,220,765</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847,289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823,771</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758,820</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685,268</w:t>
            </w:r>
          </w:p>
        </w:tc>
        <w:tc>
          <w:tcPr>
            <w:tcW w:w="12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maturity of loans excluding fair value adjustments as of December 31, 2019:</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(In Thousands)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After One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Within</w:t>
            </w:r>
          </w:p>
        </w:tc>
        <w:tc>
          <w:tcPr>
            <w:tcW w:w="24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Year Within</w:t>
            </w:r>
          </w:p>
        </w:tc>
        <w:tc>
          <w:tcPr>
            <w:tcW w:w="120" w:type="dxa"/>
            <w:vAlign w:val="bottom"/>
          </w:tcPr>
          <w:p>
            <w:pPr>
              <w:spacing w:after="0"/>
              <w:rPr>
                <w:sz w:val="19"/>
                <w:szCs w:val="19"/>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After</w:t>
            </w:r>
          </w:p>
        </w:tc>
      </w:tr>
      <w:tr>
        <w:trPr>
          <w:trHeight w:val="224"/>
        </w:trPr>
        <w:tc>
          <w:tcPr>
            <w:tcW w:w="5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One Year</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Five Years</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8"/>
              </w:rPr>
              <w:t>Five Years</w:t>
            </w:r>
          </w:p>
        </w:tc>
        <w:tc>
          <w:tcPr>
            <w:tcW w:w="100" w:type="dxa"/>
            <w:vAlign w:val="bottom"/>
            <w:tcBorders>
              <w:bottom w:val="single" w:sz="8" w:color="CFF0FC"/>
            </w:tcBorders>
          </w:tcPr>
          <w:p>
            <w:pPr>
              <w:spacing w:after="0"/>
              <w:rPr>
                <w:sz w:val="19"/>
                <w:szCs w:val="19"/>
                <w:color w:val="auto"/>
              </w:rPr>
            </w:pPr>
          </w:p>
        </w:tc>
      </w:tr>
      <w:tr>
        <w:trPr>
          <w:trHeight w:val="21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141,231</w:t>
            </w:r>
          </w:p>
        </w:tc>
        <w:tc>
          <w:tcPr>
            <w:tcW w:w="100" w:type="dxa"/>
            <w:vAlign w:val="bottom"/>
            <w:shd w:val="clear" w:color="auto" w:fill="CFF0FC"/>
          </w:tcPr>
          <w:p>
            <w:pPr>
              <w:spacing w:after="0"/>
              <w:rPr>
                <w:sz w:val="18"/>
                <w:szCs w:val="18"/>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195,162</w:t>
            </w:r>
          </w:p>
        </w:tc>
        <w:tc>
          <w:tcPr>
            <w:tcW w:w="10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66,851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15,006</w:t>
            </w:r>
          </w:p>
        </w:tc>
        <w:tc>
          <w:tcPr>
            <w:tcW w:w="100" w:type="dxa"/>
            <w:vAlign w:val="bottom"/>
            <w:shd w:val="clear" w:color="auto" w:fill="CFF0FC"/>
          </w:tcPr>
          <w:p>
            <w:pPr>
              <w:spacing w:after="0"/>
              <w:rPr>
                <w:sz w:val="19"/>
                <w:szCs w:val="19"/>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230,817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270,698</w:t>
            </w:r>
          </w:p>
        </w:tc>
        <w:tc>
          <w:tcPr>
            <w:tcW w:w="10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68,257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12,708</w:t>
            </w:r>
          </w:p>
        </w:tc>
        <w:tc>
          <w:tcPr>
            <w:tcW w:w="100" w:type="dxa"/>
            <w:vAlign w:val="bottom"/>
            <w:shd w:val="clear" w:color="auto" w:fill="CFF0FC"/>
          </w:tcPr>
          <w:p>
            <w:pPr>
              <w:spacing w:after="0"/>
              <w:rPr>
                <w:sz w:val="19"/>
                <w:szCs w:val="19"/>
                <w:color w:val="auto"/>
              </w:rPr>
            </w:pPr>
          </w:p>
        </w:tc>
      </w:tr>
      <w:tr>
        <w:trPr>
          <w:trHeight w:val="224"/>
        </w:trPr>
        <w:tc>
          <w:tcPr>
            <w:tcW w:w="548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10,227</w:t>
            </w:r>
          </w:p>
        </w:tc>
        <w:tc>
          <w:tcPr>
            <w:tcW w:w="100" w:type="dxa"/>
            <w:vAlign w:val="bottom"/>
          </w:tcPr>
          <w:p>
            <w:pPr>
              <w:spacing w:after="0"/>
              <w:rPr>
                <w:sz w:val="19"/>
                <w:szCs w:val="19"/>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7,163</w:t>
            </w:r>
          </w:p>
        </w:tc>
        <w:tc>
          <w:tcPr>
            <w:tcW w:w="100" w:type="dxa"/>
            <w:vAlign w:val="bottom"/>
            <w:shd w:val="clear" w:color="auto" w:fill="CFF0FC"/>
          </w:tcPr>
          <w:p>
            <w:pPr>
              <w:spacing w:after="0"/>
              <w:rPr>
                <w:sz w:val="19"/>
                <w:szCs w:val="19"/>
                <w:color w:val="auto"/>
              </w:rPr>
            </w:pPr>
          </w:p>
        </w:tc>
      </w:tr>
      <w:tr>
        <w:trPr>
          <w:trHeight w:val="217"/>
        </w:trPr>
        <w:tc>
          <w:tcPr>
            <w:tcW w:w="5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197,074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372,697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652,195</w:t>
            </w:r>
          </w:p>
        </w:tc>
        <w:tc>
          <w:tcPr>
            <w:tcW w:w="10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total of loans excluding fair value adjustments due after one year which has either 1) predetermined interest rates (fixed) or 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floating or adjustable interest rates (variable):</w:t>
      </w:r>
    </w:p>
    <w:p>
      <w:pPr>
        <w:spacing w:after="0" w:line="216"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55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(In Thousands)</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540" w:type="dxa"/>
            <w:vAlign w:val="bottom"/>
          </w:tcPr>
          <w:p>
            <w:pPr>
              <w:spacing w:after="0"/>
              <w:rPr>
                <w:sz w:val="18"/>
                <w:szCs w:val="18"/>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Fixed</w:t>
            </w:r>
          </w:p>
        </w:tc>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Variable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55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Rate</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tcPr>
          <w:p>
            <w:pPr>
              <w:spacing w:after="0"/>
              <w:rPr>
                <w:sz w:val="19"/>
                <w:szCs w:val="19"/>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147,925</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12,331</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160,256</w:t>
            </w:r>
          </w:p>
        </w:tc>
        <w:tc>
          <w:tcPr>
            <w:tcW w:w="100" w:type="dxa"/>
            <w:vAlign w:val="bottom"/>
            <w:shd w:val="clear" w:color="auto" w:fill="CFF0FC"/>
          </w:tcPr>
          <w:p>
            <w:pPr>
              <w:spacing w:after="0"/>
              <w:rPr>
                <w:sz w:val="18"/>
                <w:szCs w:val="18"/>
                <w:color w:val="auto"/>
              </w:rPr>
            </w:pPr>
          </w:p>
        </w:tc>
      </w:tr>
      <w:tr>
        <w:trPr>
          <w:trHeight w:val="224"/>
        </w:trPr>
        <w:tc>
          <w:tcPr>
            <w:tcW w:w="55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0" w:type="dxa"/>
            <w:vAlign w:val="bottom"/>
          </w:tcPr>
          <w:p>
            <w:pPr>
              <w:jc w:val="right"/>
              <w:spacing w:after="0"/>
              <w:rPr>
                <w:sz w:val="20"/>
                <w:szCs w:val="20"/>
                <w:color w:val="auto"/>
              </w:rPr>
            </w:pPr>
            <w:r>
              <w:rPr>
                <w:rFonts w:ascii="Arial" w:cs="Arial" w:eastAsia="Arial" w:hAnsi="Arial"/>
                <w:sz w:val="18"/>
                <w:szCs w:val="18"/>
                <w:color w:val="auto"/>
              </w:rPr>
              <w:t>177,049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22,781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199,830</w:t>
            </w:r>
          </w:p>
        </w:tc>
        <w:tc>
          <w:tcPr>
            <w:tcW w:w="100" w:type="dxa"/>
            <w:vAlign w:val="bottom"/>
          </w:tcPr>
          <w:p>
            <w:pPr>
              <w:spacing w:after="0"/>
              <w:rPr>
                <w:sz w:val="19"/>
                <w:szCs w:val="19"/>
                <w:color w:val="auto"/>
              </w:rPr>
            </w:pPr>
          </w:p>
        </w:tc>
      </w:tr>
      <w:tr>
        <w:trPr>
          <w:trHeight w:val="224"/>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44,960</w:t>
            </w:r>
          </w:p>
        </w:tc>
        <w:tc>
          <w:tcPr>
            <w:tcW w:w="100" w:type="dxa"/>
            <w:vAlign w:val="bottom"/>
            <w:shd w:val="clear" w:color="auto" w:fill="CFF0FC"/>
          </w:tcPr>
          <w:p>
            <w:pPr>
              <w:spacing w:after="0"/>
              <w:rPr>
                <w:sz w:val="19"/>
                <w:szCs w:val="19"/>
                <w:color w:val="auto"/>
              </w:rPr>
            </w:pPr>
          </w:p>
        </w:tc>
      </w:tr>
      <w:tr>
        <w:trPr>
          <w:trHeight w:val="224"/>
        </w:trPr>
        <w:tc>
          <w:tcPr>
            <w:tcW w:w="55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0" w:type="dxa"/>
            <w:vAlign w:val="bottom"/>
          </w:tcPr>
          <w:p>
            <w:pPr>
              <w:jc w:val="right"/>
              <w:spacing w:after="0"/>
              <w:rPr>
                <w:sz w:val="20"/>
                <w:szCs w:val="20"/>
                <w:color w:val="auto"/>
              </w:rPr>
            </w:pPr>
            <w:r>
              <w:rPr>
                <w:rFonts w:ascii="Arial" w:cs="Arial" w:eastAsia="Arial" w:hAnsi="Arial"/>
                <w:sz w:val="18"/>
                <w:szCs w:val="18"/>
                <w:color w:val="auto"/>
              </w:rPr>
              <w:t>383,122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118,393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501,515</w:t>
            </w:r>
          </w:p>
        </w:tc>
        <w:tc>
          <w:tcPr>
            <w:tcW w:w="100" w:type="dxa"/>
            <w:vAlign w:val="bottom"/>
          </w:tcPr>
          <w:p>
            <w:pPr>
              <w:spacing w:after="0"/>
              <w:rPr>
                <w:sz w:val="19"/>
                <w:szCs w:val="19"/>
                <w:color w:val="auto"/>
              </w:rPr>
            </w:pPr>
          </w:p>
        </w:tc>
      </w:tr>
      <w:tr>
        <w:trPr>
          <w:trHeight w:val="224"/>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62,156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5,270</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67,426</w:t>
            </w:r>
          </w:p>
        </w:tc>
        <w:tc>
          <w:tcPr>
            <w:tcW w:w="100" w:type="dxa"/>
            <w:vAlign w:val="bottom"/>
            <w:shd w:val="clear" w:color="auto" w:fill="CFF0FC"/>
          </w:tcPr>
          <w:p>
            <w:pPr>
              <w:spacing w:after="0"/>
              <w:rPr>
                <w:sz w:val="19"/>
                <w:szCs w:val="19"/>
                <w:color w:val="auto"/>
              </w:rPr>
            </w:pPr>
          </w:p>
        </w:tc>
      </w:tr>
      <w:tr>
        <w:trPr>
          <w:trHeight w:val="224"/>
        </w:trPr>
        <w:tc>
          <w:tcPr>
            <w:tcW w:w="5540" w:type="dxa"/>
            <w:vAlign w:val="bottom"/>
          </w:tcPr>
          <w:p>
            <w:pPr>
              <w:spacing w:after="0"/>
              <w:rPr>
                <w:sz w:val="20"/>
                <w:szCs w:val="20"/>
                <w:color w:val="auto"/>
              </w:rPr>
            </w:pPr>
            <w:r>
              <w:rPr>
                <w:rFonts w:ascii="Arial" w:cs="Arial" w:eastAsia="Arial" w:hAnsi="Arial"/>
                <w:sz w:val="18"/>
                <w:szCs w:val="18"/>
                <w:color w:val="auto"/>
              </w:rPr>
              <w:t>Consumer</w:t>
            </w:r>
          </w:p>
        </w:tc>
        <w:tc>
          <w:tcPr>
            <w:tcW w:w="1000" w:type="dxa"/>
            <w:vAlign w:val="bottom"/>
          </w:tcPr>
          <w:p>
            <w:pPr>
              <w:jc w:val="right"/>
              <w:spacing w:after="0"/>
              <w:rPr>
                <w:sz w:val="20"/>
                <w:szCs w:val="20"/>
                <w:color w:val="auto"/>
              </w:rPr>
            </w:pPr>
            <w:r>
              <w:rPr>
                <w:rFonts w:ascii="Arial" w:cs="Arial" w:eastAsia="Arial" w:hAnsi="Arial"/>
                <w:sz w:val="18"/>
                <w:szCs w:val="18"/>
                <w:color w:val="auto"/>
              </w:rPr>
              <w:t>42,924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42,938</w:t>
            </w:r>
          </w:p>
        </w:tc>
        <w:tc>
          <w:tcPr>
            <w:tcW w:w="100" w:type="dxa"/>
            <w:vAlign w:val="bottom"/>
          </w:tcPr>
          <w:p>
            <w:pPr>
              <w:spacing w:after="0"/>
              <w:rPr>
                <w:sz w:val="19"/>
                <w:szCs w:val="19"/>
                <w:color w:val="auto"/>
              </w:rPr>
            </w:pPr>
          </w:p>
        </w:tc>
      </w:tr>
      <w:tr>
        <w:trPr>
          <w:trHeight w:val="224"/>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7,967</w:t>
            </w:r>
          </w:p>
        </w:tc>
        <w:tc>
          <w:tcPr>
            <w:tcW w:w="2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FF0FC"/>
          </w:tcPr>
          <w:p>
            <w:pPr>
              <w:spacing w:after="0"/>
              <w:rPr>
                <w:sz w:val="19"/>
                <w:szCs w:val="19"/>
                <w:color w:val="auto"/>
              </w:rPr>
            </w:pPr>
          </w:p>
        </w:tc>
      </w:tr>
      <w:tr>
        <w:trPr>
          <w:trHeight w:val="217"/>
        </w:trPr>
        <w:tc>
          <w:tcPr>
            <w:tcW w:w="5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864,391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160,501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1,024,892</w:t>
            </w:r>
          </w:p>
        </w:tc>
        <w:tc>
          <w:tcPr>
            <w:tcW w:w="10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nonaccrual, past due 90 days or more and still accruing loans, and accruing troubled debt restructurings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each of the last five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color w:val="auto"/>
                <w:w w:val="92"/>
              </w:rPr>
              <w:t>(In Thousands)</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448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FF0FC"/>
            </w:tcBorders>
          </w:tcPr>
          <w:p>
            <w:pPr>
              <w:spacing w:after="0"/>
              <w:rPr>
                <w:sz w:val="18"/>
                <w:szCs w:val="18"/>
                <w:color w:val="auto"/>
              </w:rPr>
            </w:pPr>
          </w:p>
        </w:tc>
      </w:tr>
      <w:tr>
        <w:trPr>
          <w:trHeight w:val="21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120" w:type="dxa"/>
            <w:vAlign w:val="bottom"/>
            <w:shd w:val="clear" w:color="auto" w:fill="CFF0FC"/>
          </w:tcPr>
          <w:p>
            <w:pPr>
              <w:spacing w:after="0"/>
              <w:rPr>
                <w:sz w:val="18"/>
                <w:szCs w:val="18"/>
                <w:color w:val="auto"/>
              </w:rPr>
            </w:pP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Accruing loans past due 90 days or more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4"/>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Troubled Debt Restructurings, not included above</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FF0FC"/>
          </w:tcPr>
          <w:p>
            <w:pPr>
              <w:spacing w:after="0"/>
              <w:rPr>
                <w:sz w:val="19"/>
                <w:szCs w:val="19"/>
                <w:color w:val="auto"/>
              </w:rPr>
            </w:pPr>
          </w:p>
        </w:tc>
      </w:tr>
      <w:tr>
        <w:trPr>
          <w:trHeight w:val="217"/>
        </w:trPr>
        <w:tc>
          <w:tcPr>
            <w:tcW w:w="4480" w:type="dxa"/>
            <w:vAlign w:val="bottom"/>
          </w:tcPr>
          <w:p>
            <w:pPr>
              <w:ind w:left="240"/>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4,380</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1,943</w:t>
            </w:r>
          </w:p>
        </w:tc>
        <w:tc>
          <w:tcPr>
            <w:tcW w:w="2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2,919</w:t>
            </w:r>
          </w:p>
        </w:tc>
        <w:tc>
          <w:tcPr>
            <w:tcW w:w="12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loans may be classified as non-performing, some pay on a regular basis, and many continue to pay interest irregularly or at less than original contractual rates. Interest income that would have been recorded under the original terms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jc w:val="both"/>
        <w:spacing w:after="0" w:line="250" w:lineRule="auto"/>
        <w:rPr>
          <w:sz w:val="20"/>
          <w:szCs w:val="20"/>
          <w:color w:val="auto"/>
        </w:rPr>
      </w:pPr>
      <w:r>
        <w:rPr>
          <w:rFonts w:ascii="Arial" w:cs="Arial" w:eastAsia="Arial" w:hAnsi="Arial"/>
          <w:sz w:val="18"/>
          <w:szCs w:val="18"/>
          <w:color w:val="auto"/>
        </w:rPr>
        <w:t>these loans would have aggregated $193 thousand for 2019, $99 for 2018 and $205.4 thousand for 2017. Any collections of interest on nonaccrual loans are included in interest income when collected unless it is on an impaired loan with a specific allocation. A collection of interest on an impaired loan with a specific allocation is applied to the loan balance to decrease the allocation. Total interest collections, whether on an accrued or cash basis, amounted to $117 thousand for 2019, $69 thousand for 2018 and $57 thousand for 2017.</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Loans are placed on nonaccrual status in the event that the loan is in past due status for more than 90 days or payment in full of principal and interest is not expected. The Bank had nonaccrual loan balances of $3.4 million at December 31, 2019 compared to balances of $542 thousand and $1.0 million as of year-end 2018 and 2017. All of the balances of nonaccrual loans for the past three years were collaterally secured.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2019, the Bank had $60.2 million of loans which it considers to be “potential problem loans” in that the borrowers are experiencing financial difficulties which are not reflected in the table above. At December 31, 2018, the Bank had $7.9 million of these loans. At December 31, 2017, the Bank had $21.2 million of these loans. These loans are subject to constant management attention and are reviewed at least monthly. The amount of the potential problem loans was considered in management’s review of the loan loss reserve at December 31, 2019 and 2018.</w:t>
      </w:r>
    </w:p>
    <w:p>
      <w:pPr>
        <w:spacing w:after="0" w:line="16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extending credit to families, businesses and governments, banks accept a measure of risk against which an allowance for possible loan loss is established by way of expense charges to earnings. This expense is determined by management based on a detailed monthly review of the risk factors affecting the loan portfolio, including general economic conditions, changes in the portfolio mix, past due loan-loss experience and the financial condition of the bank’s borrowers.</w:t>
      </w:r>
    </w:p>
    <w:p>
      <w:pPr>
        <w:spacing w:after="0" w:line="15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 of December 31, 2019, the Bank had loans outstanding to individuals and firms engaged in the various fields of agriculture in the amount of $111.8 million with an additional $199.1 million in agricultural real estate loans these compared to $108.5 and $68.6 million respectively as of December 31, 2018. The ratio of this segment of loans to the total loan portfolio is not considered unusual for a bank engaged in and servicing rural communities.</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rate modification to reflect a decrease in market interest rates or maintain a relationship with the debtor, where the debtor is not experiencing financial difficulty and can obtain funding from other sources, is not considered a troubled debt restructuring. As of December 31, 2019, the Bank had $1.03 million of its loans that were classified as troubled debt restructurings, of which $50.3 thousand are included in non-accrual loans. This compares to $178.1 thousand of troubled debt restructurings, of which $74.4 thousand are included in non-accrual loans for 2018 and $712.0 thousand of troubled debt restructuring, of which $124.8 thousand are included in non-accrual loans for 2017.</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Updated appraisals are required on all collateral dependent loans once they are deemed impaired. The Bank may also require an updated appraisal of a watch list loan which the Bank monitors under their loan policy. On a quarterly basis, Bank management reviews properties supporting asset dependent loans to consider market events that may indicate a change in value has occurred.</w:t>
      </w:r>
    </w:p>
    <w:p>
      <w:pPr>
        <w:spacing w:after="0" w:line="18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To determine observable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existing collateral value used.</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Performing “non-watch list” loans secured in whole or in part by real estate, do not require an updated appraisal unless the loan is rewritten and additional funds advanced. Watch List loans secured in whole or in part by real estate require updated appraisals every two years. All loans are subject to loan to values as found in the Bank’s loan policies irrespective of their grade. The Bank’s watch list is reviewed on a quarterly basis by management and any questions to value are addressed at that time.</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majority of the Bank’s loans are made in the market by lenders who live and work in the market. Thus, their evaluation of the independent valuation is also valuable and serves as a double check.</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extremely rare occasions, the Bank will make adjustments to the recorded values of collateral securing commercial real estate loans without acquiring an updated appraisal for the subject property. The Bank has no formalized policy for determining when collateral value adjustments between regularly scheduled appraisals are necessary, nor does it use any specific methodology for applying such adjustments. However, on a quarterly basis as part of its normal operations, the Bank’s senior management and the Loan Review Committee will meet to review all commercial credits either deemed to be impaired or on the Bank’s watch list. In addition to analyzing the recent performance of these loans, management and the Enterprise Risk Management Committee will also consider any general market conditions that might warrant adjustments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jc w:val="both"/>
        <w:spacing w:after="0" w:line="247" w:lineRule="auto"/>
        <w:rPr>
          <w:sz w:val="20"/>
          <w:szCs w:val="20"/>
          <w:color w:val="auto"/>
        </w:rPr>
      </w:pPr>
      <w:r>
        <w:rPr>
          <w:rFonts w:ascii="Arial" w:cs="Arial" w:eastAsia="Arial" w:hAnsi="Arial"/>
          <w:sz w:val="18"/>
          <w:szCs w:val="18"/>
          <w:color w:val="auto"/>
        </w:rPr>
        <w:t>the value of particular real estate collateralizing commercial loans. In addition, management conducts annual reviews of all commercial loans exceeding certain outstanding balance thresholds. In each of these situations, any information available to management regarding market conditions impacting a specific property or other relevant factors are considered, and lenders familiar with a particular commercial real estate loan and the underlying collateral may be present to provide their opinion on such factors. If the available information leads management to conclude a valuation adjustment is warranted, such an adjustment may be applied on the basis of the information available. If management concludes that an adjustment is warranted but lacks the specific information needed to reasonably quantify the adjustment, management will order a new appraisal on the subject property even though one may not be required under the Bank’s general policies for updating appraisal.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4 of the Consolidated Financial Statements may also be reviewed for additional tables dealing with the Bank’s loans and ALLL.</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ALLL is evaluated based on an assessment of the losses inherent in the loan portfolio. This assessment results in an allowance consisting of two components, allocated and unallocated.</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Management considers several different risk assessments in determining ALLL. The allocated component of ALLL reflects expected losses resulting from an analysis of individual loans, developed through specific credit allocations for individual loans and historical loss experience for each loan category. For those loans where the internal credit rating is at or below a predetermined classification and management can reasonably estimate the loss that will be sustained based upon collateral, the borrowers operating activity and economic conditions in which the borrower operates, a specific allocation is made. For those borrowers that are not currently behind in their payment, but for which management believes, based on economic conditions and operating activities of the borrower, the possibility exists for future collection problems, a reserve is established. The amount of reserve allocated to each loan portfolio is based on past loss experiences and the different levels of risk within each loan portfolio. The historical loan loss portion is determined using a historical loss analysis by loan category.</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unallocated portion of the reserve for loan losses is determined based on management’s assessment of general economic conditions as well as specific economic factors in the Bank’s marketing area. This assessment inherently involves a higher degree of uncertainty. It represents estimated inherent but undetected losses within the portfolio that are probable due to uncertainties in economic conditions, delays in obtaining information, including unfavorable information about a borrower’s financial condition and other current risk factors that may not have yet manifested themselves in the Bank’s historical loss factors used to determine the allocated component of the allowance.</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Actual charge-off of loan balances is based upon periodic evaluations of the loan portfolio by management. These evaluations consider several factors, including, but not limited to, general economic conditions, financial condition of the borrower, and collateral.</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presented in the table on the next page, charge-offs increased to $841 thousand for 2019. 70.1% of the charge-offs stemmed from the consumer related portfolios. Charge-offs were $580 thousand for 2018, $288 thousand for 2017, preceded by $550 thousand for 2016 and $1.0 million for 2015. Recoveries were $156 thousand in 2019 compared to $163, $150, $156, and $557 thousand for 2018, 2017, 2016 and 2015, respectively. The net charge-offs for the last five years were all under $1 million. 2017 was the lowest at $138 thousand.</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Higher provision expense was used to fund the ALLL for loan growth in 2016. For 2015 and 2017, the provision was used to replenish the balance decreased by the net charge-off activity. Overall, the ALLL increased from $6.3 million at yearend 2015 to $7.2 million at yearend 2019. After adding the allowance for unfunded loan commitments, the ACL ended 2019 $7.7 million. As the ratios on the bottom of the following table show, the trends for each have continually improved over the five years shown. Asset quality and the ACL are both strong and emphasize the level of credit quality.</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reviewing the bigger picture of the allowance for credit loss, the years with the higher percentage of ACL to total nonperforming loans ratio account for the lower level of nonaccrual and watch list loans. This demonstrates the extended time period with which it has taken to achieve resolution and/or collection of these loans. The ratio of ACL to nonperforming loans increased beginning in 2015 with a significant drop in 2019. 2019’s provision expense was the highest of the five years shown largely due to an increase in watch list loans. Loan growth occurred in 2019 reaching a double-digit percentage increase like 2016. The ACL to nonperforming loans for all years remained more than adequate and emphasizes the existing strong level of credit quality.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The following table presents a reconciliation of the allowance for credit losses for the years ended December 31, 2019, 2018, 2017, 2016 and 2015: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8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1,218,999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846,374</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823,024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758,094</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684,630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1,129,231</w:t>
            </w:r>
          </w:p>
        </w:tc>
        <w:tc>
          <w:tcPr>
            <w:tcW w:w="3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831,614</w:t>
            </w:r>
          </w:p>
        </w:tc>
        <w:tc>
          <w:tcPr>
            <w:tcW w:w="220" w:type="dxa"/>
            <w:vAlign w:val="bottom"/>
          </w:tcPr>
          <w:p>
            <w:pPr>
              <w:spacing w:after="0"/>
              <w:rPr>
                <w:sz w:val="19"/>
                <w:szCs w:val="19"/>
                <w:color w:val="auto"/>
              </w:rPr>
            </w:pPr>
          </w:p>
        </w:tc>
        <w:tc>
          <w:tcPr>
            <w:tcW w:w="30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783,140</w:t>
            </w:r>
          </w:p>
        </w:tc>
        <w:tc>
          <w:tcPr>
            <w:tcW w:w="300" w:type="dxa"/>
            <w:vAlign w:val="bottom"/>
          </w:tcPr>
          <w:p>
            <w:pPr>
              <w:spacing w:after="0"/>
              <w:rPr>
                <w:sz w:val="19"/>
                <w:szCs w:val="19"/>
                <w:color w:val="auto"/>
              </w:rPr>
            </w:pPr>
          </w:p>
        </w:tc>
        <w:tc>
          <w:tcPr>
            <w:tcW w:w="220" w:type="dxa"/>
            <w:vAlign w:val="bottom"/>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724,076</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627,194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Allowance for Loan Losses - Jan 1</w:t>
            </w: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80" w:type="dxa"/>
            <w:vAlign w:val="bottom"/>
            <w:vMerge w:val="continue"/>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6,775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6,868</w:t>
            </w:r>
          </w:p>
        </w:tc>
        <w:tc>
          <w:tcPr>
            <w:tcW w:w="2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ind w:left="8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6,784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2"/>
              <w:spacing w:after="0" w:line="204"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6,057</w:t>
            </w:r>
          </w:p>
        </w:tc>
        <w:tc>
          <w:tcPr>
            <w:tcW w:w="2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line="204"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5,905</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Consumer Real Estate</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80"/>
              <w:spacing w:after="0"/>
              <w:rPr>
                <w:sz w:val="20"/>
                <w:szCs w:val="20"/>
                <w:color w:val="auto"/>
              </w:rPr>
            </w:pPr>
            <w:r>
              <w:rPr>
                <w:rFonts w:ascii="Arial" w:cs="Arial" w:eastAsia="Arial" w:hAnsi="Arial"/>
                <w:sz w:val="18"/>
                <w:szCs w:val="18"/>
                <w:color w:val="auto"/>
              </w:rPr>
              <w:t>Agricultural Real Estate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Agricultural</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80"/>
              <w:spacing w:after="0"/>
              <w:rPr>
                <w:sz w:val="20"/>
                <w:szCs w:val="20"/>
                <w:color w:val="auto"/>
              </w:rPr>
            </w:pPr>
            <w:r>
              <w:rPr>
                <w:rFonts w:ascii="Arial" w:cs="Arial" w:eastAsia="Arial" w:hAnsi="Arial"/>
                <w:sz w:val="18"/>
                <w:szCs w:val="18"/>
                <w:color w:val="auto"/>
              </w:rPr>
              <w:t>Commercial Real Estate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and Industrial</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40"/>
              <w:spacing w:after="0"/>
              <w:rPr>
                <w:sz w:val="20"/>
                <w:szCs w:val="20"/>
                <w:color w:val="auto"/>
              </w:rPr>
            </w:pPr>
            <w:r>
              <w:rPr>
                <w:rFonts w:ascii="Arial" w:cs="Arial" w:eastAsia="Arial" w:hAnsi="Arial"/>
                <w:sz w:val="18"/>
                <w:szCs w:val="18"/>
                <w:color w:val="auto"/>
              </w:rPr>
              <w:t>Loan Recoveries: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Consumer Real Estate</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80"/>
              <w:spacing w:after="0"/>
              <w:rPr>
                <w:sz w:val="20"/>
                <w:szCs w:val="20"/>
                <w:color w:val="auto"/>
              </w:rPr>
            </w:pPr>
            <w:r>
              <w:rPr>
                <w:rFonts w:ascii="Arial" w:cs="Arial" w:eastAsia="Arial" w:hAnsi="Arial"/>
                <w:sz w:val="18"/>
                <w:szCs w:val="18"/>
                <w:color w:val="auto"/>
              </w:rPr>
              <w:t>Agricultural Real Estate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Agricultural</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80"/>
              <w:spacing w:after="0"/>
              <w:rPr>
                <w:sz w:val="20"/>
                <w:szCs w:val="20"/>
                <w:color w:val="auto"/>
              </w:rPr>
            </w:pPr>
            <w:r>
              <w:rPr>
                <w:rFonts w:ascii="Arial" w:cs="Arial" w:eastAsia="Arial" w:hAnsi="Arial"/>
                <w:sz w:val="18"/>
                <w:szCs w:val="18"/>
                <w:color w:val="auto"/>
              </w:rPr>
              <w:t>Commercial Real Estate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and Industrial</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480"/>
              <w:spacing w:after="0"/>
              <w:rPr>
                <w:sz w:val="20"/>
                <w:szCs w:val="20"/>
                <w:color w:val="auto"/>
              </w:rPr>
            </w:pPr>
            <w:r>
              <w:rPr>
                <w:rFonts w:ascii="Arial" w:cs="Arial" w:eastAsia="Arial" w:hAnsi="Arial"/>
                <w:sz w:val="18"/>
                <w:szCs w:val="18"/>
                <w:color w:val="auto"/>
              </w:rPr>
              <w:t>Net Charge Offs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Provision for loan loss</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80"/>
              <w:spacing w:after="0"/>
              <w:rPr>
                <w:sz w:val="20"/>
                <w:szCs w:val="20"/>
                <w:color w:val="auto"/>
              </w:rPr>
            </w:pPr>
            <w:r>
              <w:rPr>
                <w:rFonts w:ascii="Arial" w:cs="Arial" w:eastAsia="Arial" w:hAnsi="Arial"/>
                <w:sz w:val="18"/>
                <w:szCs w:val="18"/>
                <w:color w:val="auto"/>
              </w:rPr>
              <w:t>Acquisition provision for loan loss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&amp; Lease Losses - Dec 31</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6,057</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80" w:type="dxa"/>
            <w:vAlign w:val="bottom"/>
          </w:tcPr>
          <w:p>
            <w:pPr>
              <w:spacing w:after="0"/>
              <w:rPr>
                <w:sz w:val="20"/>
                <w:szCs w:val="20"/>
                <w:color w:val="auto"/>
              </w:rPr>
            </w:pPr>
            <w:r>
              <w:rPr>
                <w:rFonts w:ascii="Arial" w:cs="Arial" w:eastAsia="Arial" w:hAnsi="Arial"/>
                <w:sz w:val="18"/>
                <w:szCs w:val="18"/>
                <w:color w:val="auto"/>
              </w:rPr>
              <w:t>Allowance for Unfunded Loan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Commitments &amp; Letters of Credit - Dec 31</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 Allowance for Credit Losses - Dec 31</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7,001</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6"/>
              </w:rPr>
              <w:t>Ratio of net charge-offs to average Loans outstanding</w:t>
            </w: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0.06%</w:t>
            </w:r>
          </w:p>
        </w:tc>
        <w:tc>
          <w:tcPr>
            <w:tcW w:w="220" w:type="dxa"/>
            <w:vAlign w:val="bottom"/>
          </w:tcPr>
          <w:p>
            <w:pPr>
              <w:spacing w:after="0"/>
              <w:rPr>
                <w:sz w:val="21"/>
                <w:szCs w:val="21"/>
                <w:color w:val="auto"/>
              </w:rPr>
            </w:pPr>
          </w:p>
        </w:tc>
        <w:tc>
          <w:tcPr>
            <w:tcW w:w="10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21"/>
                <w:szCs w:val="21"/>
                <w:color w:val="auto"/>
              </w:rPr>
            </w:pPr>
          </w:p>
        </w:tc>
        <w:tc>
          <w:tcPr>
            <w:tcW w:w="11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91"/>
        </w:trPr>
        <w:tc>
          <w:tcPr>
            <w:tcW w:w="418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Ratio of the Allowance for Loan Loss to</w:t>
            </w:r>
          </w:p>
        </w:tc>
        <w:tc>
          <w:tcPr>
            <w:tcW w:w="4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Nonperforming Loans</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209.70%</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1249.57%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684.83%</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490.39%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293.75%</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are defined as all loans on nonaccrual, plus any loans past due 90 days not on nonaccrual.</w:t>
      </w: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Allocation of ALLL per Loan Category in terms of dollars and percentage of loans in each category to total loans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2016</w:t>
            </w: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2015</w:t>
            </w: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4"/>
          </w:tcPr>
          <w:p>
            <w:pPr>
              <w:ind w:left="20"/>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ind w:left="20"/>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2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5"/>
        </w:trPr>
        <w:tc>
          <w:tcPr>
            <w:tcW w:w="28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Balance at End of Period</w:t>
            </w:r>
          </w:p>
        </w:tc>
        <w:tc>
          <w:tcPr>
            <w:tcW w:w="5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23"/>
        </w:trPr>
        <w:tc>
          <w:tcPr>
            <w:tcW w:w="2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Applicable To:</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Consumer Real Estate</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9.48</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10.11</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12.85</w:t>
            </w:r>
          </w:p>
        </w:tc>
        <w:tc>
          <w:tcPr>
            <w:tcW w:w="60" w:type="dxa"/>
            <w:vAlign w:val="bottom"/>
          </w:tcPr>
          <w:p>
            <w:pPr>
              <w:spacing w:after="0"/>
              <w:rPr>
                <w:sz w:val="19"/>
                <w:szCs w:val="19"/>
                <w:color w:val="auto"/>
              </w:rPr>
            </w:pPr>
          </w:p>
        </w:tc>
      </w:tr>
      <w:tr>
        <w:trPr>
          <w:trHeight w:val="224"/>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Agricultural Real Estate</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60" w:type="dxa"/>
            <w:vAlign w:val="bottom"/>
            <w:shd w:val="clear" w:color="auto" w:fill="CFF0FC"/>
          </w:tcPr>
          <w:p>
            <w:pPr>
              <w:spacing w:after="0"/>
              <w:rPr>
                <w:sz w:val="19"/>
                <w:szCs w:val="19"/>
                <w:color w:val="auto"/>
              </w:rPr>
            </w:pP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Agricultural</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12.09</w:t>
            </w:r>
          </w:p>
        </w:tc>
        <w:tc>
          <w:tcPr>
            <w:tcW w:w="60" w:type="dxa"/>
            <w:vAlign w:val="bottom"/>
          </w:tcPr>
          <w:p>
            <w:pPr>
              <w:spacing w:after="0"/>
              <w:rPr>
                <w:sz w:val="19"/>
                <w:szCs w:val="19"/>
                <w:color w:val="auto"/>
              </w:rPr>
            </w:pPr>
          </w:p>
        </w:tc>
      </w:tr>
      <w:tr>
        <w:trPr>
          <w:trHeight w:val="224"/>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3,634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3,217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3,149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3,250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2,516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60" w:type="dxa"/>
            <w:vAlign w:val="bottom"/>
            <w:shd w:val="clear" w:color="auto" w:fill="CFF0FC"/>
          </w:tcPr>
          <w:p>
            <w:pPr>
              <w:spacing w:after="0"/>
              <w:rPr>
                <w:sz w:val="19"/>
                <w:szCs w:val="19"/>
                <w:color w:val="auto"/>
              </w:rPr>
            </w:pP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1,727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Pr>
          <w:p>
            <w:pPr>
              <w:spacing w:after="0"/>
              <w:rPr>
                <w:sz w:val="19"/>
                <w:szCs w:val="19"/>
                <w:color w:val="auto"/>
              </w:rPr>
            </w:pPr>
          </w:p>
        </w:tc>
      </w:tr>
      <w:tr>
        <w:trPr>
          <w:trHeight w:val="224"/>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60" w:type="dxa"/>
            <w:vAlign w:val="bottom"/>
            <w:shd w:val="clear" w:color="auto" w:fill="CFF0FC"/>
          </w:tcPr>
          <w:p>
            <w:pPr>
              <w:spacing w:after="0"/>
              <w:rPr>
                <w:sz w:val="19"/>
                <w:szCs w:val="19"/>
                <w:color w:val="auto"/>
              </w:rPr>
            </w:pPr>
          </w:p>
        </w:tc>
      </w:tr>
      <w:tr>
        <w:trPr>
          <w:trHeight w:val="224"/>
        </w:trPr>
        <w:tc>
          <w:tcPr>
            <w:tcW w:w="2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5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60" w:type="dxa"/>
            <w:vAlign w:val="bottom"/>
            <w:tcBorders>
              <w:bottom w:val="single" w:sz="8" w:color="CFF0FC"/>
            </w:tcBorders>
          </w:tcPr>
          <w:p>
            <w:pPr>
              <w:spacing w:after="0"/>
              <w:rPr>
                <w:sz w:val="19"/>
                <w:szCs w:val="19"/>
                <w:color w:val="auto"/>
              </w:rPr>
            </w:pPr>
          </w:p>
        </w:tc>
      </w:tr>
      <w:tr>
        <w:trPr>
          <w:trHeight w:val="205"/>
        </w:trPr>
        <w:tc>
          <w:tcPr>
            <w:tcW w:w="2840" w:type="dxa"/>
            <w:vAlign w:val="bottom"/>
            <w:shd w:val="clear" w:color="auto" w:fill="CFF0FC"/>
          </w:tcPr>
          <w:p>
            <w:pPr>
              <w:ind w:left="240"/>
              <w:spacing w:after="0" w:line="205" w:lineRule="exact"/>
              <w:rPr>
                <w:sz w:val="20"/>
                <w:szCs w:val="20"/>
                <w:color w:val="auto"/>
              </w:rPr>
            </w:pPr>
            <w:r>
              <w:rPr>
                <w:rFonts w:ascii="Arial" w:cs="Arial" w:eastAsia="Arial" w:hAnsi="Arial"/>
                <w:sz w:val="18"/>
                <w:szCs w:val="18"/>
                <w:color w:val="auto"/>
              </w:rPr>
              <w:t>Allowance for Loan &amp; Lease</w:t>
            </w: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3"/>
        </w:trPr>
        <w:tc>
          <w:tcPr>
            <w:tcW w:w="2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Losses</w:t>
            </w:r>
          </w:p>
        </w:tc>
        <w:tc>
          <w:tcPr>
            <w:tcW w:w="70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7,228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100.00</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6,775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6,868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6,784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6,057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60" w:type="dxa"/>
            <w:vAlign w:val="bottom"/>
            <w:shd w:val="clear" w:color="auto" w:fill="CFF0FC"/>
          </w:tcPr>
          <w:p>
            <w:pPr>
              <w:spacing w:after="0"/>
              <w:rPr>
                <w:sz w:val="19"/>
                <w:szCs w:val="19"/>
                <w:color w:val="auto"/>
              </w:rPr>
            </w:pPr>
          </w:p>
        </w:tc>
      </w:tr>
      <w:tr>
        <w:trPr>
          <w:trHeight w:val="211"/>
        </w:trPr>
        <w:tc>
          <w:tcPr>
            <w:tcW w:w="2840" w:type="dxa"/>
            <w:vAlign w:val="bottom"/>
          </w:tcPr>
          <w:p>
            <w:pPr>
              <w:ind w:left="240"/>
              <w:spacing w:after="0"/>
              <w:rPr>
                <w:sz w:val="20"/>
                <w:szCs w:val="20"/>
                <w:color w:val="auto"/>
              </w:rPr>
            </w:pPr>
            <w:r>
              <w:rPr>
                <w:rFonts w:ascii="Arial" w:cs="Arial" w:eastAsia="Arial" w:hAnsi="Arial"/>
                <w:sz w:val="18"/>
                <w:szCs w:val="18"/>
                <w:color w:val="auto"/>
              </w:rPr>
              <w:t>Off Balance Sheet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8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Commitments</w:t>
            </w:r>
          </w:p>
        </w:tc>
        <w:tc>
          <w:tcPr>
            <w:tcW w:w="5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r>
      <w:tr>
        <w:trPr>
          <w:trHeight w:val="205"/>
        </w:trPr>
        <w:tc>
          <w:tcPr>
            <w:tcW w:w="2840" w:type="dxa"/>
            <w:vAlign w:val="bottom"/>
            <w:shd w:val="clear" w:color="auto" w:fill="CFF0FC"/>
          </w:tcPr>
          <w:p>
            <w:pPr>
              <w:ind w:left="480"/>
              <w:spacing w:after="0" w:line="205" w:lineRule="exact"/>
              <w:rPr>
                <w:sz w:val="20"/>
                <w:szCs w:val="20"/>
                <w:color w:val="auto"/>
              </w:rPr>
            </w:pPr>
            <w:r>
              <w:rPr>
                <w:rFonts w:ascii="Arial" w:cs="Arial" w:eastAsia="Arial" w:hAnsi="Arial"/>
                <w:sz w:val="18"/>
                <w:szCs w:val="18"/>
                <w:color w:val="auto"/>
              </w:rPr>
              <w:t>Total Allowance for</w:t>
            </w: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3"/>
        </w:trPr>
        <w:tc>
          <w:tcPr>
            <w:tcW w:w="28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Credit Losses</w:t>
            </w:r>
          </w:p>
        </w:tc>
        <w:tc>
          <w:tcPr>
            <w:tcW w:w="70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7,707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7,049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7,095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7,001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6,265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0"/>
        </w:trPr>
        <w:tc>
          <w:tcPr>
            <w:tcW w:w="28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The amount of outstanding time certificates of deposits and other time deposits in amounts of $100,000 or more by maturity as of December 31, 2019 are as follows: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7"/>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90"/>
              </w:rPr>
              <w:t>Over Three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Over Six</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4"/>
        </w:trPr>
        <w:tc>
          <w:tcPr>
            <w:tcW w:w="3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91"/>
              </w:rPr>
              <w:t>Months</w:t>
            </w:r>
          </w:p>
        </w:tc>
        <w:tc>
          <w:tcPr>
            <w:tcW w:w="220" w:type="dxa"/>
            <w:vAlign w:val="bottom"/>
          </w:tcPr>
          <w:p>
            <w:pPr>
              <w:spacing w:after="0"/>
              <w:rPr>
                <w:sz w:val="19"/>
                <w:szCs w:val="19"/>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Months Less</w:t>
            </w:r>
          </w:p>
        </w:tc>
        <w:tc>
          <w:tcPr>
            <w:tcW w:w="220" w:type="dxa"/>
            <w:vAlign w:val="bottom"/>
          </w:tcPr>
          <w:p>
            <w:pPr>
              <w:spacing w:after="0"/>
              <w:rPr>
                <w:sz w:val="19"/>
                <w:szCs w:val="19"/>
                <w:color w:val="auto"/>
              </w:rPr>
            </w:pPr>
          </w:p>
        </w:tc>
        <w:tc>
          <w:tcPr>
            <w:tcW w:w="860" w:type="dxa"/>
            <w:vAlign w:val="bottom"/>
          </w:tcPr>
          <w:p>
            <w:pPr>
              <w:jc w:val="center"/>
              <w:ind w:right="172"/>
              <w:spacing w:after="0"/>
              <w:rPr>
                <w:sz w:val="20"/>
                <w:szCs w:val="20"/>
                <w:color w:val="auto"/>
              </w:rPr>
            </w:pPr>
            <w:r>
              <w:rPr>
                <w:rFonts w:ascii="Arial" w:cs="Arial" w:eastAsia="Arial" w:hAnsi="Arial"/>
                <w:sz w:val="18"/>
                <w:szCs w:val="18"/>
                <w:color w:val="auto"/>
                <w:w w:val="92"/>
              </w:rPr>
              <w:t>Over</w:t>
            </w:r>
          </w:p>
        </w:tc>
      </w:tr>
      <w:tr>
        <w:trPr>
          <w:trHeight w:val="224"/>
        </w:trPr>
        <w:tc>
          <w:tcPr>
            <w:tcW w:w="3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Under</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84"/>
              </w:rPr>
              <w:t>Less than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Than One</w:t>
            </w:r>
          </w:p>
        </w:tc>
        <w:tc>
          <w:tcPr>
            <w:tcW w:w="220" w:type="dxa"/>
            <w:vAlign w:val="bottom"/>
          </w:tcPr>
          <w:p>
            <w:pPr>
              <w:spacing w:after="0"/>
              <w:rPr>
                <w:sz w:val="19"/>
                <w:szCs w:val="19"/>
                <w:color w:val="auto"/>
              </w:rPr>
            </w:pPr>
          </w:p>
        </w:tc>
        <w:tc>
          <w:tcPr>
            <w:tcW w:w="860" w:type="dxa"/>
            <w:vAlign w:val="bottom"/>
          </w:tcPr>
          <w:p>
            <w:pPr>
              <w:jc w:val="center"/>
              <w:ind w:right="152"/>
              <w:spacing w:after="0"/>
              <w:rPr>
                <w:sz w:val="20"/>
                <w:szCs w:val="20"/>
                <w:color w:val="auto"/>
              </w:rPr>
            </w:pPr>
            <w:r>
              <w:rPr>
                <w:rFonts w:ascii="Arial" w:cs="Arial" w:eastAsia="Arial" w:hAnsi="Arial"/>
                <w:sz w:val="18"/>
                <w:szCs w:val="18"/>
                <w:color w:val="auto"/>
                <w:w w:val="88"/>
              </w:rPr>
              <w:t>One</w:t>
            </w:r>
          </w:p>
        </w:tc>
      </w:tr>
      <w:tr>
        <w:trPr>
          <w:trHeight w:val="224"/>
        </w:trPr>
        <w:tc>
          <w:tcPr>
            <w:tcW w:w="3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Three Months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2"/>
              </w:rPr>
              <w:t>Six Months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4"/>
              </w:rPr>
              <w:t>Year</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color w:val="auto"/>
                <w:w w:val="84"/>
              </w:rPr>
              <w:t>Year</w:t>
            </w:r>
          </w:p>
        </w:tc>
      </w:tr>
      <w:tr>
        <w:trPr>
          <w:trHeight w:val="217"/>
        </w:trPr>
        <w:tc>
          <w:tcPr>
            <w:tcW w:w="3160" w:type="dxa"/>
            <w:vAlign w:val="bottom"/>
          </w:tcPr>
          <w:p>
            <w:pPr>
              <w:spacing w:after="0"/>
              <w:rPr>
                <w:sz w:val="20"/>
                <w:szCs w:val="20"/>
                <w:color w:val="auto"/>
              </w:rPr>
            </w:pPr>
            <w:r>
              <w:rPr>
                <w:rFonts w:ascii="Arial" w:cs="Arial" w:eastAsia="Arial" w:hAnsi="Arial"/>
                <w:sz w:val="18"/>
                <w:szCs w:val="18"/>
                <w:color w:val="auto"/>
              </w:rPr>
              <w:t>Time Deposits</w:t>
            </w:r>
          </w:p>
        </w:tc>
        <w:tc>
          <w:tcPr>
            <w:tcW w:w="23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45,314</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67,066</w:t>
            </w:r>
          </w:p>
        </w:tc>
      </w:tr>
      <w:tr>
        <w:trPr>
          <w:trHeight w:val="20"/>
        </w:trPr>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average amount of and average rate paid on each deposit category:</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1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1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Non-Interest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Interest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Savings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Time</w:t>
            </w:r>
          </w:p>
        </w:tc>
      </w:tr>
      <w:tr>
        <w:trPr>
          <w:trHeight w:val="224"/>
        </w:trPr>
        <w:tc>
          <w:tcPr>
            <w:tcW w:w="1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DDAs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DDAs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Accounts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Accounts</w:t>
            </w:r>
          </w:p>
        </w:tc>
      </w:tr>
      <w:tr>
        <w:trPr>
          <w:trHeight w:val="197"/>
        </w:trPr>
        <w:tc>
          <w:tcPr>
            <w:tcW w:w="3260" w:type="dxa"/>
            <w:vAlign w:val="bottom"/>
            <w:tcBorders>
              <w:top w:val="single" w:sz="8" w:color="CFF0FC"/>
            </w:tcBorders>
            <w:gridSpan w:val="2"/>
            <w:shd w:val="clear" w:color="auto" w:fill="CFF0FC"/>
          </w:tcPr>
          <w:p>
            <w:pPr>
              <w:spacing w:after="0" w:line="178" w:lineRule="exact"/>
              <w:rPr>
                <w:sz w:val="20"/>
                <w:szCs w:val="20"/>
                <w:color w:val="auto"/>
              </w:rPr>
            </w:pPr>
            <w:r>
              <w:rPr>
                <w:rFonts w:ascii="Arial" w:cs="Arial" w:eastAsia="Arial" w:hAnsi="Arial"/>
                <w:sz w:val="18"/>
                <w:szCs w:val="18"/>
                <w:color w:val="auto"/>
              </w:rPr>
              <w:t>December 31, 2019:</w:t>
            </w:r>
          </w:p>
        </w:tc>
        <w:tc>
          <w:tcPr>
            <w:tcW w:w="18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24"/>
        </w:trPr>
        <w:tc>
          <w:tcPr>
            <w:tcW w:w="1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5"/>
              </w:rPr>
              <w:t>Average balance</w:t>
            </w:r>
          </w:p>
        </w:tc>
        <w:tc>
          <w:tcPr>
            <w:tcW w:w="1840" w:type="dxa"/>
            <w:vAlign w:val="bottom"/>
            <w:tcBorders>
              <w:top w:val="single" w:sz="8" w:color="CFF0FC"/>
            </w:tcBorders>
          </w:tcPr>
          <w:p>
            <w:pPr>
              <w:spacing w:after="0"/>
              <w:rPr>
                <w:sz w:val="19"/>
                <w:szCs w:val="19"/>
                <w:color w:val="auto"/>
              </w:rPr>
            </w:pPr>
          </w:p>
        </w:tc>
        <w:tc>
          <w:tcPr>
            <w:tcW w:w="2000" w:type="dxa"/>
            <w:vAlign w:val="bottom"/>
            <w:tcBorders>
              <w:top w:val="single" w:sz="8" w:color="CFF0FC"/>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243,551</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422,778</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298,101</w:t>
            </w:r>
          </w:p>
        </w:tc>
        <w:tc>
          <w:tcPr>
            <w:tcW w:w="2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265,046</w:t>
            </w:r>
          </w:p>
        </w:tc>
        <w:tc>
          <w:tcPr>
            <w:tcW w:w="180" w:type="dxa"/>
            <w:vAlign w:val="bottom"/>
            <w:tcBorders>
              <w:top w:val="single" w:sz="8" w:color="CFF0FC"/>
            </w:tcBorders>
          </w:tcPr>
          <w:p>
            <w:pPr>
              <w:spacing w:after="0"/>
              <w:rPr>
                <w:sz w:val="19"/>
                <w:szCs w:val="19"/>
                <w:color w:val="auto"/>
              </w:rPr>
            </w:pPr>
          </w:p>
        </w:tc>
      </w:tr>
      <w:tr>
        <w:trPr>
          <w:trHeight w:val="224"/>
        </w:trPr>
        <w:tc>
          <w:tcPr>
            <w:tcW w:w="3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Average rate</w:t>
            </w:r>
          </w:p>
        </w:tc>
        <w:tc>
          <w:tcPr>
            <w:tcW w:w="1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w:t>
            </w:r>
          </w:p>
        </w:tc>
      </w:tr>
      <w:tr>
        <w:trPr>
          <w:trHeight w:val="194"/>
        </w:trPr>
        <w:tc>
          <w:tcPr>
            <w:tcW w:w="3260" w:type="dxa"/>
            <w:vAlign w:val="bottom"/>
            <w:gridSpan w:val="2"/>
          </w:tcPr>
          <w:p>
            <w:pPr>
              <w:spacing w:after="0" w:line="184" w:lineRule="exact"/>
              <w:rPr>
                <w:sz w:val="20"/>
                <w:szCs w:val="20"/>
                <w:color w:val="auto"/>
              </w:rPr>
            </w:pPr>
            <w:r>
              <w:rPr>
                <w:rFonts w:ascii="Arial" w:cs="Arial" w:eastAsia="Arial" w:hAnsi="Arial"/>
                <w:sz w:val="18"/>
                <w:szCs w:val="18"/>
                <w:color w:val="auto"/>
              </w:rPr>
              <w:t>December 31, 2018:</w:t>
            </w: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4"/>
        </w:trPr>
        <w:tc>
          <w:tcPr>
            <w:tcW w:w="14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85"/>
              </w:rPr>
              <w:t>Average balance</w:t>
            </w:r>
          </w:p>
        </w:tc>
        <w:tc>
          <w:tcPr>
            <w:tcW w:w="184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194,548</w:t>
            </w:r>
          </w:p>
        </w:tc>
        <w:tc>
          <w:tcPr>
            <w:tcW w:w="2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313,785</w:t>
            </w:r>
          </w:p>
        </w:tc>
        <w:tc>
          <w:tcPr>
            <w:tcW w:w="2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237,961</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183,512</w:t>
            </w:r>
          </w:p>
        </w:tc>
        <w:tc>
          <w:tcPr>
            <w:tcW w:w="180" w:type="dxa"/>
            <w:vAlign w:val="bottom"/>
            <w:shd w:val="clear" w:color="auto" w:fill="CFF0FC"/>
          </w:tcPr>
          <w:p>
            <w:pPr>
              <w:spacing w:after="0"/>
              <w:rPr>
                <w:sz w:val="20"/>
                <w:szCs w:val="20"/>
                <w:color w:val="auto"/>
              </w:rPr>
            </w:pPr>
          </w:p>
        </w:tc>
      </w:tr>
      <w:tr>
        <w:trPr>
          <w:trHeight w:val="224"/>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Average rate</w:t>
            </w: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r>
      <w:tr>
        <w:trPr>
          <w:trHeight w:val="204"/>
        </w:trPr>
        <w:tc>
          <w:tcPr>
            <w:tcW w:w="3260" w:type="dxa"/>
            <w:vAlign w:val="bottom"/>
            <w:gridSpan w:val="2"/>
            <w:shd w:val="clear" w:color="auto" w:fill="CFF0FC"/>
          </w:tcPr>
          <w:p>
            <w:pPr>
              <w:spacing w:after="0" w:line="185" w:lineRule="exact"/>
              <w:rPr>
                <w:sz w:val="20"/>
                <w:szCs w:val="20"/>
                <w:color w:val="auto"/>
              </w:rPr>
            </w:pPr>
            <w:r>
              <w:rPr>
                <w:rFonts w:ascii="Arial" w:cs="Arial" w:eastAsia="Arial" w:hAnsi="Arial"/>
                <w:sz w:val="18"/>
                <w:szCs w:val="18"/>
                <w:color w:val="auto"/>
              </w:rPr>
              <w:t>December 31, 2017:</w:t>
            </w:r>
          </w:p>
        </w:tc>
        <w:tc>
          <w:tcPr>
            <w:tcW w:w="1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24"/>
        </w:trPr>
        <w:tc>
          <w:tcPr>
            <w:tcW w:w="1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5"/>
              </w:rPr>
              <w:t>Average balance</w:t>
            </w:r>
          </w:p>
        </w:tc>
        <w:tc>
          <w:tcPr>
            <w:tcW w:w="1840" w:type="dxa"/>
            <w:vAlign w:val="bottom"/>
            <w:tcBorders>
              <w:top w:val="single" w:sz="8" w:color="CFF0FC"/>
            </w:tcBorders>
          </w:tcPr>
          <w:p>
            <w:pPr>
              <w:spacing w:after="0"/>
              <w:rPr>
                <w:sz w:val="19"/>
                <w:szCs w:val="19"/>
                <w:color w:val="auto"/>
              </w:rPr>
            </w:pPr>
          </w:p>
        </w:tc>
        <w:tc>
          <w:tcPr>
            <w:tcW w:w="2000" w:type="dxa"/>
            <w:vAlign w:val="bottom"/>
            <w:tcBorders>
              <w:top w:val="single" w:sz="8" w:color="CFF0FC"/>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180,129</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286,912</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232,668</w:t>
            </w:r>
          </w:p>
        </w:tc>
        <w:tc>
          <w:tcPr>
            <w:tcW w:w="2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188,443</w:t>
            </w:r>
          </w:p>
        </w:tc>
        <w:tc>
          <w:tcPr>
            <w:tcW w:w="180" w:type="dxa"/>
            <w:vAlign w:val="bottom"/>
            <w:tcBorders>
              <w:top w:val="single" w:sz="8" w:color="CFF0FC"/>
            </w:tcBorders>
          </w:tcPr>
          <w:p>
            <w:pPr>
              <w:spacing w:after="0"/>
              <w:rPr>
                <w:sz w:val="19"/>
                <w:szCs w:val="19"/>
                <w:color w:val="auto"/>
              </w:rPr>
            </w:pPr>
          </w:p>
        </w:tc>
      </w:tr>
      <w:tr>
        <w:trPr>
          <w:trHeight w:val="224"/>
        </w:trPr>
        <w:tc>
          <w:tcPr>
            <w:tcW w:w="3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Average rate</w:t>
            </w:r>
          </w:p>
        </w:tc>
        <w:tc>
          <w:tcPr>
            <w:tcW w:w="1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Liquidity remains adequate and up from prior years as the Bank has increased the investment portfolio in 2019. Prior to 2019, the investment portfolio decreased to fund loans. The Bank has access to $69 million of unsecured borrowings through correspondent banks and $116.3 million of unpledged securities which may be sold or used as collateral. The amount of unpledged securities increased almost $42.6 million as compared to 2018. For the Bank, an additional $1.6 million is also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available from the Federal Home Loan Bank based on current collateral pledging with up to $97.0 million available provided adequate collateral is pledged.</w:t>
      </w:r>
    </w:p>
    <w:p>
      <w:pPr>
        <w:spacing w:after="0" w:line="23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Maintaining sufficient funds to meet depositor and borrower needs on a daily basis continues to be among management’s top priorities. This is accomplished not only by immediate liquid resources of cash, due from banks and federal funds sold, but also by the Bank’s available for sale securities portfolio. The average aggregate balance of these assets was $196.9 for 2019, $195.2 for 2018 and $206.3 million for 2017. This represented 13.1%, 17.6% and 19.2% of total average assets, respectively. Of the almost $205.1 million of debt securities in the Bank’s portfolio as of December 31, 2019, $21.8 million, or 10.6% of the portfolio, is expected to receive payments or mature in 2020. This liquidity provides the opportunity to fund loan growth by analysis of the lowest cost and source of funds whether by increasing deposits, sales or runoff of investments or utilizing debt.</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the Bank’s investment portfolio, the Company has $17.2 million held in the holding company’s investment portfolio. $391.7 thousand of those investments will mature or receive payments in the next twelve months. These funds provide liquidity to the Company. The Bank has been declaring additional dividends each quarter to provide this liquidity to the Company. The Captive has also upstreamed dividends to the Company and is expected to continue annually as long as reserve levels are adequately provided for. This provides additional liquidity for Company activities. The company sold securities in December 2018 to provide $8.5 million in cash for the preparation of the acquisition on January 1, 2019.</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Historically, the primary source of liquidity has been core deposits that include noninterest bearing and interest bearing demand deposits, savings, money market accounts and time deposits of individuals. Core deposit balances increased in all categories as of December 31, 2019 compared to same date 2018. Average total savings balances increased $169.1 million in 2019 as compared to 2018. Core deposit balances as of year-end 2018 increased in non-interest bearing deposits but decreased in all other categories as compared to 2017. Overall deposits increased an average of $41.7 million in 2018 and $76.9 million in 2017. The Bank also utilized Federal Funds purchased at times during 2017 through 2019. The average balance for 2019 was $2.1 million, for 2018 and 2017 was $1.4 million and $2.2 million respectively. The Bank is comfortable accessing these funds on a regular basis.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Historically, the primary use of new funds is placing the funds back into the community through loans for the acquisition of new homes, consumer products and for business development. The use of new funds for loans is measured by the loan to deposit ratio. The Bank’s average loan to deposit ratio was 91.8% for 2019, 89.4% for 2018, and 88.2% for 2017. The Bank’s goal is for this ratio to be higher in the 80-90 percent range with loan growth being the driver. The Bank ended the year 2019 at a 94.8% loan to deposit ratio.</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Short-term debt such as federal funds purchased and securities sold under agreement to repurchase also provides the Company with liquidity. Short-term debt for both federal funds purchased and securities sold under agreement to repurchase amounted to $48.1 million at December 31, 2019, $32.2 million at December 31, 2018, and $39.5 million at the end of 2017. These accounts are used to provide a sweep product to the Bank’s commercial customers and for some term deposits. As ICS was implemented, the sweep balances moved into interest bearing deposits. The repurchase agreements are for term deposits only.</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 borrowings” are also a source of funds. Other borrowings consist of loans from the Federal Home Loan Bank of Cincinnati and Indianapolis. These funds are then used to provide loans in our community. The Bank utilized this funding source in December 2015 by borrowing $10 million. In December of 2017 and 2018 $5 million matured and was paid off each year. At yearend 2018, all borrowings were paid off and this has increased the availability from this source of funds. On January 1, 2019, the Bank acquired $49.5 million of borrowings from the Federal Home Loan Bank of Indianapolis. During 2019, $23.9 million matured and was paid off.</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Asset/Liability Management</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primary functions of asset/liability management are to assure adequate liquidity and maintain an appropriate balance between interest earning assets and interest bearing liabilities. It involves the management of the balance sheet mix, maturities, re-pricing characteristics and pricing components to provide an adequate and stable net interest margin with an acceptable level of risk. Interest rate sensitivity management seeks to avoid fluctuating net interest margins and to enhance consistent growth of net interest income through periods of changing interest rates.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net income, other than those related to volume arise when interest rates on assets re-price in a time frame or interest rate environment that is different from that of the re-pricing period for liabilities. Changes in net interest income also arise from changes in the mix of interest-earning assets and interest-bearing liabilities.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1" w:name="page42"/>
    <w:bookmarkEnd w:id="41"/>
    <w:p>
      <w:pPr>
        <w:jc w:val="both"/>
        <w:spacing w:after="0" w:line="282" w:lineRule="auto"/>
        <w:rPr>
          <w:sz w:val="20"/>
          <w:szCs w:val="20"/>
          <w:color w:val="auto"/>
        </w:rPr>
      </w:pPr>
      <w:r>
        <w:rPr>
          <w:rFonts w:ascii="Arial" w:cs="Arial" w:eastAsia="Arial" w:hAnsi="Arial"/>
          <w:sz w:val="16"/>
          <w:szCs w:val="16"/>
          <w:color w:val="auto"/>
        </w:rPr>
        <w:t>Historically, the Bank has maintained liquidity through cash flows generated in the normal course of business, loan repayments, maturing earning assets, the acquisition of new deposits, and borrowings. The Bank's asset and liability management program is designed to maximize net interest income over the long term while taking into consideration both credit and interest rate risk. Interest rate sensitivity varies with different types of interest-earning assets and interest-bearing liabilities. Overnight federal funds on which rates change daily and loans that are tied to the market rate differ considerably from long-term investment securities and fixed rate loans. Similarly, time deposits over $100,000 and money market certificates are much more interest rate sensitive than passbook savings accounts. The Bank utilizes shock analysis to examine the amount of exposure an instant rate change of 100, 200, 300 and 400 basis points in both increasing and decreasing directions would have on the financials. Acceptable ranges of earnings and equity at risk are established and decisions are made to maintain those levels based on the shock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Changing Prices</w:t>
      </w:r>
    </w:p>
    <w:p>
      <w:pPr>
        <w:spacing w:after="0" w:line="11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consolidated financial statements and notes thereto presented herein have been prepared in accordance with generally accepted accounting principles, which require the measurement of financial position and operating results in terms of historical dollars without considering the changes in the relative purchasing power of money over time due to inflation. The impact of inflation is reflected in the increased cost of the Company’s operations. Unlike most industrial companies, nearly all the assets and liabilities of the Company are monetary in nature. As a result, interest rates have a greater impact on the Company’s performance than do the effects of general levels of inflation. Interest rates do not necessarily move in the same direction or to the same extent as the prices of goods and service.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Contractual Obligations of the Company totaled $333.8 million as of December 31, 2019. Excluded from the chart is Federal Funds Purchased of $17.8 million which are immediately payable the next business day. Time deposits represent contractual agreements for certificates of deposits held by its customers. Long term debt represents the borrowings with the Federal Home Loan Bank and is further defined in Note 9 of the Consolidated Financial Statements.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10"/>
          </w:tcPr>
          <w:p>
            <w:pPr>
              <w:jc w:val="center"/>
              <w:ind w:right="220"/>
              <w:spacing w:after="0"/>
              <w:rPr>
                <w:sz w:val="20"/>
                <w:szCs w:val="20"/>
                <w:color w:val="auto"/>
              </w:rPr>
            </w:pPr>
            <w:r>
              <w:rPr>
                <w:rFonts w:ascii="Arial" w:cs="Arial" w:eastAsia="Arial" w:hAnsi="Arial"/>
                <w:sz w:val="18"/>
                <w:szCs w:val="18"/>
                <w:color w:val="auto"/>
                <w:w w:val="88"/>
              </w:rPr>
              <w:t>Payment Due by Period (In Thousands)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Less than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32"/>
              <w:spacing w:after="0"/>
              <w:rPr>
                <w:sz w:val="20"/>
                <w:szCs w:val="20"/>
                <w:color w:val="auto"/>
              </w:rPr>
            </w:pPr>
            <w:r>
              <w:rPr>
                <w:rFonts w:ascii="Arial" w:cs="Arial" w:eastAsia="Arial" w:hAnsi="Arial"/>
                <w:sz w:val="18"/>
                <w:szCs w:val="18"/>
                <w:color w:val="auto"/>
                <w:w w:val="92"/>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More than</w:t>
            </w:r>
          </w:p>
        </w:tc>
      </w:tr>
      <w:tr>
        <w:trPr>
          <w:trHeight w:val="224"/>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Contractual Obligations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 year</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4"/>
              </w:rPr>
              <w:t>Years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Years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 years</w:t>
            </w:r>
          </w:p>
        </w:tc>
        <w:tc>
          <w:tcPr>
            <w:tcW w:w="100" w:type="dxa"/>
            <w:vAlign w:val="bottom"/>
            <w:tcBorders>
              <w:bottom w:val="single" w:sz="8" w:color="CFF0FC"/>
            </w:tcBorders>
          </w:tcPr>
          <w:p>
            <w:pPr>
              <w:spacing w:after="0"/>
              <w:rPr>
                <w:sz w:val="19"/>
                <w:szCs w:val="19"/>
                <w:color w:val="auto"/>
              </w:rPr>
            </w:pPr>
          </w:p>
        </w:tc>
      </w:tr>
      <w:tr>
        <w:trPr>
          <w:trHeight w:val="217"/>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Securities sold under agreement to repurchase</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9,627</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20,603</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24"/>
        </w:trPr>
        <w:tc>
          <w:tcPr>
            <w:tcW w:w="53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276,563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157,228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111,987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4"/>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4"/>
        </w:trPr>
        <w:tc>
          <w:tcPr>
            <w:tcW w:w="5300" w:type="dxa"/>
            <w:vAlign w:val="bottom"/>
            <w:gridSpan w:val="2"/>
          </w:tcPr>
          <w:p>
            <w:pPr>
              <w:spacing w:after="0"/>
              <w:rPr>
                <w:sz w:val="20"/>
                <w:szCs w:val="20"/>
                <w:color w:val="auto"/>
              </w:rPr>
            </w:pPr>
            <w:r>
              <w:rPr>
                <w:rFonts w:ascii="Arial" w:cs="Arial" w:eastAsia="Arial" w:hAnsi="Arial"/>
                <w:sz w:val="18"/>
                <w:szCs w:val="18"/>
                <w:color w:val="auto"/>
              </w:rPr>
              <w:t>Building Leases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24"/>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 Term Debt</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24,806</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FF0FC"/>
          </w:tcPr>
          <w:p>
            <w:pPr>
              <w:spacing w:after="0"/>
              <w:rPr>
                <w:sz w:val="19"/>
                <w:szCs w:val="19"/>
                <w:color w:val="auto"/>
              </w:rPr>
            </w:pPr>
          </w:p>
        </w:tc>
      </w:tr>
      <w:tr>
        <w:trPr>
          <w:trHeight w:val="217"/>
        </w:trPr>
        <w:tc>
          <w:tcPr>
            <w:tcW w:w="5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333,808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176,051</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133,764</w:t>
            </w:r>
          </w:p>
        </w:tc>
        <w:tc>
          <w:tcPr>
            <w:tcW w:w="1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20,458</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1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Stockholders’ equity was $230.3 million as of December 31, 2019 compared to $143.3 million at December 31, 2018. Dividends declared during 2019 were $0.61 per share totaling $6.7 million and dividends declared during 2018 were $0.56 per share totaling $5.1 million. Throughout 2019, the Company awarded 38,100 shares of restricted stock awards to 94 employees. During 2018, the Company awarded 33,000 shares of restricted stock to 80 employees. For a summary of activity as it relates to the Company’s restricted stock awards, please refer to Note 11: Employee Benefit Plans in the consolidated financial statements. On December 31, 2019 the Company held 1,093,065 shares in Treasury Stock and 88,450 unvested shares of restricted stock. At yearend 2018, the Company held 1,114,739 shares in Treasury stock and 93,940 unvested shares of restricted stock. On January 17, 2020 the Company announced the authorization by its Board of Directors for the Company’s repurchase, either on the open market, or in privately negotiated transactions, of up to 550,000 shares of its outstanding common stock commencing January 17, 2020 and ending December 31, 2020. The Company has a history of approving a similar resolution to be in effect each year for at least the last five years.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continues to have a strong capital base and maintains regulatory capital ratios that are above the defined regulatory capital ratios. At December 31, 2019, the Bank had total risk-based capital ratio of 12.30%. Core capital to risk-based asset ratio of 11.71% for the Bank, is well in excess of regulatory guidelines. The Bank’s leverage ratio of 10.02% is also substantially in excess of regulatory guidelines. Under Basel III, the common equity Tier 1 Capital to risk-weighted assets ratio is also well above the required 4.50% and the 6.50% well capitalized levels with the Bank at 11.71%. As a result of the passage of the Economic Growth, Regulatory Relief and Consumer Protection Act (EGRRCPA) in 2018, the Company is no longer subject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42" w:name="page43"/>
    <w:bookmarkEnd w:id="42"/>
    <w:p>
      <w:pPr>
        <w:jc w:val="both"/>
        <w:spacing w:after="0" w:line="262" w:lineRule="auto"/>
        <w:rPr>
          <w:sz w:val="20"/>
          <w:szCs w:val="20"/>
          <w:color w:val="auto"/>
        </w:rPr>
      </w:pPr>
      <w:r>
        <w:rPr>
          <w:rFonts w:ascii="Arial" w:cs="Arial" w:eastAsia="Arial" w:hAnsi="Arial"/>
          <w:sz w:val="18"/>
          <w:szCs w:val="18"/>
          <w:color w:val="auto"/>
        </w:rPr>
        <w:t>regulatory capital ratio requirements as long as its total consolidating assets are less than $3.0 billion. For further discussion and analysis of regulatory capital requirements, refer to Note 15 of the Audited Financial Statements.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subsidiaries are restricted by regulations from making dividend distributions in excess of certain prescribed amounts. Upon prior regulatory approval, the Bank may be allowed to pay above the prescribed amount.</w:t>
      </w:r>
    </w:p>
    <w:p>
      <w:pPr>
        <w:spacing w:after="0" w:line="280" w:lineRule="exact"/>
        <w:rPr>
          <w:sz w:val="20"/>
          <w:szCs w:val="20"/>
          <w:color w:val="auto"/>
        </w:rPr>
      </w:pPr>
    </w:p>
    <w:p>
      <w:pPr>
        <w:ind w:right="4340"/>
        <w:spacing w:after="0" w:line="369" w:lineRule="auto"/>
        <w:rPr>
          <w:sz w:val="20"/>
          <w:szCs w:val="20"/>
          <w:color w:val="auto"/>
        </w:rPr>
      </w:pPr>
      <w:r>
        <w:rPr>
          <w:rFonts w:ascii="Arial" w:cs="Arial" w:eastAsia="Arial" w:hAnsi="Arial"/>
          <w:sz w:val="18"/>
          <w:szCs w:val="18"/>
          <w:b w:val="1"/>
          <w:bCs w:val="1"/>
          <w:u w:val="single" w:color="auto"/>
          <w:color w:val="auto"/>
        </w:rPr>
        <w:t xml:space="preserve">ITEM 7a. QUANTITATIVE AND QUALITATIVE DISCLOSURES ABOUT MARKET RISK </w:t>
      </w:r>
      <w:r>
        <w:rPr>
          <w:rFonts w:ascii="Arial" w:cs="Arial" w:eastAsia="Arial" w:hAnsi="Arial"/>
          <w:sz w:val="18"/>
          <w:szCs w:val="18"/>
          <w:b w:val="1"/>
          <w:bCs w:val="1"/>
          <w:color w:val="auto"/>
        </w:rPr>
        <w:t>Market Risk</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Market risk is the exposure to loss resulting from changes in interest rates and equity prices. The primary market risk to which we are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The Company employs a sensitivity analysis utilizing interest rate shocks to help in this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shocks presented below assume an immediate change of rate in the percentages and directions shown: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gridSpan w:val="4"/>
          </w:tcPr>
          <w:p>
            <w:pPr>
              <w:jc w:val="center"/>
              <w:ind w:right="300"/>
              <w:spacing w:after="0"/>
              <w:rPr>
                <w:sz w:val="20"/>
                <w:szCs w:val="20"/>
                <w:color w:val="auto"/>
              </w:rPr>
            </w:pPr>
            <w:r>
              <w:rPr>
                <w:rFonts w:ascii="Arial" w:cs="Arial" w:eastAsia="Arial" w:hAnsi="Arial"/>
                <w:sz w:val="18"/>
                <w:szCs w:val="18"/>
                <w:color w:val="auto"/>
                <w:w w:val="87"/>
              </w:rPr>
              <w:t>Interest Rate Shock on</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00" w:type="dxa"/>
            <w:vAlign w:val="bottom"/>
            <w:gridSpan w:val="4"/>
          </w:tcPr>
          <w:p>
            <w:pPr>
              <w:jc w:val="center"/>
              <w:ind w:right="140"/>
              <w:spacing w:after="0"/>
              <w:rPr>
                <w:sz w:val="20"/>
                <w:szCs w:val="20"/>
                <w:color w:val="auto"/>
              </w:rPr>
            </w:pPr>
            <w:r>
              <w:rPr>
                <w:rFonts w:ascii="Arial" w:cs="Arial" w:eastAsia="Arial" w:hAnsi="Arial"/>
                <w:sz w:val="18"/>
                <w:szCs w:val="18"/>
                <w:color w:val="auto"/>
                <w:w w:val="87"/>
              </w:rPr>
              <w:t>Interest Rate Shock on</w:t>
            </w:r>
          </w:p>
        </w:tc>
      </w:tr>
      <w:tr>
        <w:trPr>
          <w:trHeight w:val="224"/>
        </w:trPr>
        <w:tc>
          <w:tcPr>
            <w:tcW w:w="3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Net Interest Margin</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Net Interest Income</w:t>
            </w:r>
          </w:p>
        </w:tc>
        <w:tc>
          <w:tcPr>
            <w:tcW w:w="120" w:type="dxa"/>
            <w:vAlign w:val="bottom"/>
          </w:tcPr>
          <w:p>
            <w:pPr>
              <w:spacing w:after="0"/>
              <w:rPr>
                <w:sz w:val="19"/>
                <w:szCs w:val="19"/>
                <w:color w:val="auto"/>
              </w:rPr>
            </w:pPr>
          </w:p>
        </w:tc>
      </w:tr>
      <w:tr>
        <w:trPr>
          <w:trHeight w:val="217"/>
        </w:trPr>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Net Interest</w:t>
            </w: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 Change</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Rate</w:t>
            </w: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Rate</w:t>
            </w:r>
          </w:p>
        </w:tc>
        <w:tc>
          <w:tcPr>
            <w:tcW w:w="1920" w:type="dxa"/>
            <w:vAlign w:val="bottom"/>
            <w:gridSpan w:val="2"/>
          </w:tcPr>
          <w:p>
            <w:pPr>
              <w:ind w:left="400"/>
              <w:spacing w:after="0"/>
              <w:rPr>
                <w:sz w:val="20"/>
                <w:szCs w:val="20"/>
                <w:color w:val="auto"/>
              </w:rPr>
            </w:pPr>
            <w:r>
              <w:rPr>
                <w:rFonts w:ascii="Arial" w:cs="Arial" w:eastAsia="Arial" w:hAnsi="Arial"/>
                <w:sz w:val="18"/>
                <w:szCs w:val="18"/>
                <w:color w:val="auto"/>
              </w:rPr>
              <w:t>Cumulative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 Change</w:t>
            </w:r>
          </w:p>
        </w:tc>
      </w:tr>
      <w:tr>
        <w:trPr>
          <w:trHeight w:val="224"/>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Margin (Ratio)</w:t>
            </w:r>
          </w:p>
        </w:tc>
        <w:tc>
          <w:tcPr>
            <w:tcW w:w="28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 Flat Rate</w:t>
            </w:r>
          </w:p>
        </w:tc>
        <w:tc>
          <w:tcPr>
            <w:tcW w:w="300" w:type="dxa"/>
            <w:vAlign w:val="bottom"/>
            <w:tcBorders>
              <w:bottom w:val="single" w:sz="8" w:color="CFF0FC"/>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Direction</w:t>
            </w:r>
          </w:p>
        </w:tc>
        <w:tc>
          <w:tcPr>
            <w:tcW w:w="18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changes by</w:t>
            </w:r>
          </w:p>
        </w:tc>
        <w:tc>
          <w:tcPr>
            <w:tcW w:w="28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Total ($000)</w:t>
            </w:r>
          </w:p>
        </w:tc>
        <w:tc>
          <w:tcPr>
            <w:tcW w:w="28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 Flat Rate</w:t>
            </w:r>
          </w:p>
        </w:tc>
        <w:tc>
          <w:tcPr>
            <w:tcW w:w="120" w:type="dxa"/>
            <w:vAlign w:val="bottom"/>
            <w:tcBorders>
              <w:bottom w:val="single" w:sz="8" w:color="CFF0FC"/>
            </w:tcBorders>
          </w:tcPr>
          <w:p>
            <w:pPr>
              <w:spacing w:after="0"/>
              <w:rPr>
                <w:sz w:val="19"/>
                <w:szCs w:val="19"/>
                <w:color w:val="auto"/>
              </w:rPr>
            </w:pPr>
          </w:p>
        </w:tc>
      </w:tr>
      <w:tr>
        <w:trPr>
          <w:trHeight w:val="217"/>
        </w:trPr>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4.15%</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6.97%</w:t>
            </w:r>
          </w:p>
        </w:tc>
        <w:tc>
          <w:tcPr>
            <w:tcW w:w="3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Rising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452"/>
              <w:spacing w:after="0"/>
              <w:rPr>
                <w:sz w:val="20"/>
                <w:szCs w:val="20"/>
                <w:color w:val="auto"/>
              </w:rPr>
            </w:pPr>
            <w:r>
              <w:rPr>
                <w:rFonts w:ascii="Arial" w:cs="Arial" w:eastAsia="Arial" w:hAnsi="Arial"/>
                <w:sz w:val="18"/>
                <w:szCs w:val="18"/>
                <w:color w:val="auto"/>
              </w:rPr>
              <w:t>61,001</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6.98%</w:t>
            </w:r>
          </w:p>
        </w:tc>
        <w:tc>
          <w:tcPr>
            <w:tcW w:w="120" w:type="dxa"/>
            <w:vAlign w:val="bottom"/>
            <w:shd w:val="clear" w:color="auto" w:fill="CFF0FC"/>
          </w:tcPr>
          <w:p>
            <w:pPr>
              <w:spacing w:after="0"/>
              <w:rPr>
                <w:sz w:val="18"/>
                <w:szCs w:val="18"/>
                <w:color w:val="auto"/>
              </w:rPr>
            </w:pPr>
          </w:p>
        </w:tc>
      </w:tr>
      <w:tr>
        <w:trPr>
          <w:trHeight w:val="224"/>
        </w:trPr>
        <w:tc>
          <w:tcPr>
            <w:tcW w:w="1640" w:type="dxa"/>
            <w:vAlign w:val="bottom"/>
          </w:tcPr>
          <w:p>
            <w:pPr>
              <w:jc w:val="center"/>
              <w:spacing w:after="0"/>
              <w:rPr>
                <w:sz w:val="20"/>
                <w:szCs w:val="20"/>
                <w:color w:val="auto"/>
              </w:rPr>
            </w:pPr>
            <w:r>
              <w:rPr>
                <w:rFonts w:ascii="Arial" w:cs="Arial" w:eastAsia="Arial" w:hAnsi="Arial"/>
                <w:sz w:val="18"/>
                <w:szCs w:val="18"/>
                <w:color w:val="auto"/>
                <w:w w:val="90"/>
              </w:rPr>
              <w:t>4.05%</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4.31%</w:t>
            </w:r>
          </w:p>
        </w:tc>
        <w:tc>
          <w:tcPr>
            <w:tcW w:w="3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Rising</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280" w:type="dxa"/>
            <w:vAlign w:val="bottom"/>
          </w:tcPr>
          <w:p>
            <w:pPr>
              <w:spacing w:after="0"/>
              <w:rPr>
                <w:sz w:val="19"/>
                <w:szCs w:val="19"/>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59,482</w:t>
            </w:r>
          </w:p>
        </w:tc>
        <w:tc>
          <w:tcPr>
            <w:tcW w:w="2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4.32%</w:t>
            </w:r>
          </w:p>
        </w:tc>
        <w:tc>
          <w:tcPr>
            <w:tcW w:w="120" w:type="dxa"/>
            <w:vAlign w:val="bottom"/>
          </w:tcPr>
          <w:p>
            <w:pPr>
              <w:spacing w:after="0"/>
              <w:rPr>
                <w:sz w:val="19"/>
                <w:szCs w:val="19"/>
                <w:color w:val="auto"/>
              </w:rPr>
            </w:pPr>
          </w:p>
        </w:tc>
      </w:tr>
      <w:tr>
        <w:trPr>
          <w:trHeight w:val="224"/>
        </w:trPr>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3.94%</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1.63%</w:t>
            </w:r>
          </w:p>
        </w:tc>
        <w:tc>
          <w:tcPr>
            <w:tcW w:w="3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Rising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452"/>
              <w:spacing w:after="0"/>
              <w:rPr>
                <w:sz w:val="20"/>
                <w:szCs w:val="20"/>
                <w:color w:val="auto"/>
              </w:rPr>
            </w:pPr>
            <w:r>
              <w:rPr>
                <w:rFonts w:ascii="Arial" w:cs="Arial" w:eastAsia="Arial" w:hAnsi="Arial"/>
                <w:sz w:val="18"/>
                <w:szCs w:val="18"/>
                <w:color w:val="auto"/>
              </w:rPr>
              <w:t>57,951</w:t>
            </w: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1.63%</w:t>
            </w:r>
          </w:p>
        </w:tc>
        <w:tc>
          <w:tcPr>
            <w:tcW w:w="120" w:type="dxa"/>
            <w:vAlign w:val="bottom"/>
            <w:shd w:val="clear" w:color="auto" w:fill="CFF0FC"/>
          </w:tcPr>
          <w:p>
            <w:pPr>
              <w:spacing w:after="0"/>
              <w:rPr>
                <w:sz w:val="19"/>
                <w:szCs w:val="19"/>
                <w:color w:val="auto"/>
              </w:rPr>
            </w:pPr>
          </w:p>
        </w:tc>
      </w:tr>
      <w:tr>
        <w:trPr>
          <w:trHeight w:val="224"/>
        </w:trPr>
        <w:tc>
          <w:tcPr>
            <w:tcW w:w="1640" w:type="dxa"/>
            <w:vAlign w:val="bottom"/>
          </w:tcPr>
          <w:p>
            <w:pPr>
              <w:jc w:val="center"/>
              <w:spacing w:after="0"/>
              <w:rPr>
                <w:sz w:val="20"/>
                <w:szCs w:val="20"/>
                <w:color w:val="auto"/>
              </w:rPr>
            </w:pPr>
            <w:r>
              <w:rPr>
                <w:rFonts w:ascii="Arial" w:cs="Arial" w:eastAsia="Arial" w:hAnsi="Arial"/>
                <w:sz w:val="18"/>
                <w:szCs w:val="18"/>
                <w:color w:val="auto"/>
                <w:w w:val="90"/>
              </w:rPr>
              <w:t>3.88%</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0.00%</w:t>
            </w:r>
          </w:p>
        </w:tc>
        <w:tc>
          <w:tcPr>
            <w:tcW w:w="3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Flat</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tcPr>
          <w:p>
            <w:pPr>
              <w:spacing w:after="0"/>
              <w:rPr>
                <w:sz w:val="19"/>
                <w:szCs w:val="19"/>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57,020</w:t>
            </w:r>
          </w:p>
        </w:tc>
        <w:tc>
          <w:tcPr>
            <w:tcW w:w="2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19"/>
                <w:szCs w:val="19"/>
                <w:color w:val="auto"/>
              </w:rPr>
            </w:pPr>
          </w:p>
        </w:tc>
      </w:tr>
      <w:tr>
        <w:trPr>
          <w:trHeight w:val="224"/>
        </w:trPr>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3.80%</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-2.08%</w:t>
            </w:r>
          </w:p>
        </w:tc>
        <w:tc>
          <w:tcPr>
            <w:tcW w:w="3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Falling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-1.00%</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452"/>
              <w:spacing w:after="0"/>
              <w:rPr>
                <w:sz w:val="20"/>
                <w:szCs w:val="20"/>
                <w:color w:val="auto"/>
              </w:rPr>
            </w:pPr>
            <w:r>
              <w:rPr>
                <w:rFonts w:ascii="Arial" w:cs="Arial" w:eastAsia="Arial" w:hAnsi="Arial"/>
                <w:sz w:val="18"/>
                <w:szCs w:val="18"/>
                <w:color w:val="auto"/>
              </w:rPr>
              <w:t>55,832</w:t>
            </w: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-2.08%</w:t>
            </w:r>
          </w:p>
        </w:tc>
        <w:tc>
          <w:tcPr>
            <w:tcW w:w="120" w:type="dxa"/>
            <w:vAlign w:val="bottom"/>
            <w:shd w:val="clear" w:color="auto" w:fill="CFF0FC"/>
          </w:tcPr>
          <w:p>
            <w:pPr>
              <w:spacing w:after="0"/>
              <w:rPr>
                <w:sz w:val="19"/>
                <w:szCs w:val="19"/>
                <w:color w:val="auto"/>
              </w:rPr>
            </w:pPr>
          </w:p>
        </w:tc>
      </w:tr>
      <w:tr>
        <w:trPr>
          <w:trHeight w:val="224"/>
        </w:trPr>
        <w:tc>
          <w:tcPr>
            <w:tcW w:w="1640" w:type="dxa"/>
            <w:vAlign w:val="bottom"/>
          </w:tcPr>
          <w:p>
            <w:pPr>
              <w:jc w:val="center"/>
              <w:spacing w:after="0"/>
              <w:rPr>
                <w:sz w:val="20"/>
                <w:szCs w:val="20"/>
                <w:color w:val="auto"/>
              </w:rPr>
            </w:pPr>
            <w:r>
              <w:rPr>
                <w:rFonts w:ascii="Arial" w:cs="Arial" w:eastAsia="Arial" w:hAnsi="Arial"/>
                <w:sz w:val="18"/>
                <w:szCs w:val="18"/>
                <w:color w:val="auto"/>
                <w:w w:val="90"/>
              </w:rPr>
              <w:t>3.67%</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-5.50%</w:t>
            </w:r>
          </w:p>
        </w:tc>
        <w:tc>
          <w:tcPr>
            <w:tcW w:w="3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Falling</w:t>
            </w: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-2.00%</w:t>
            </w:r>
          </w:p>
        </w:tc>
        <w:tc>
          <w:tcPr>
            <w:tcW w:w="280" w:type="dxa"/>
            <w:vAlign w:val="bottom"/>
          </w:tcPr>
          <w:p>
            <w:pPr>
              <w:spacing w:after="0"/>
              <w:rPr>
                <w:sz w:val="19"/>
                <w:szCs w:val="19"/>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53,879</w:t>
            </w:r>
          </w:p>
        </w:tc>
        <w:tc>
          <w:tcPr>
            <w:tcW w:w="2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-5.51%</w:t>
            </w:r>
          </w:p>
        </w:tc>
        <w:tc>
          <w:tcPr>
            <w:tcW w:w="120" w:type="dxa"/>
            <w:vAlign w:val="bottom"/>
          </w:tcPr>
          <w:p>
            <w:pPr>
              <w:spacing w:after="0"/>
              <w:rPr>
                <w:sz w:val="19"/>
                <w:szCs w:val="19"/>
                <w:color w:val="auto"/>
              </w:rPr>
            </w:pPr>
          </w:p>
        </w:tc>
      </w:tr>
      <w:tr>
        <w:trPr>
          <w:trHeight w:val="224"/>
        </w:trPr>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3.54%</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-8.85%</w:t>
            </w:r>
          </w:p>
        </w:tc>
        <w:tc>
          <w:tcPr>
            <w:tcW w:w="3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Falling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-3.00%</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452"/>
              <w:spacing w:after="0"/>
              <w:rPr>
                <w:sz w:val="20"/>
                <w:szCs w:val="20"/>
                <w:color w:val="auto"/>
              </w:rPr>
            </w:pPr>
            <w:r>
              <w:rPr>
                <w:rFonts w:ascii="Arial" w:cs="Arial" w:eastAsia="Arial" w:hAnsi="Arial"/>
                <w:sz w:val="18"/>
                <w:szCs w:val="18"/>
                <w:color w:val="auto"/>
              </w:rPr>
              <w:t>51,967</w:t>
            </w: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-8.86%</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The shock chart currently shows a widening in net interest margin over the next twelve months in an increasing rate environment and a tightening in a falling rate environment. Due to nine rate increases since December 2015 and three rate decreases in a 91 day time period beginning on August 1, 2019, the model predicts an expansion in a rising rate environment. The 200 and 300 basis rising rates scenarios are predicted to expand the net interest margin and produce higher levels of net interest income. This would indicate that the assets yield is predicted to increase faster than the cost of funds will rise. The Bank continues to enhance its use of the software model and performs additional stress tests whose results management and the director’s review. </w:t>
      </w:r>
      <w:r>
        <w:rPr>
          <w:rFonts w:ascii="Arial" w:cs="Arial" w:eastAsia="Arial" w:hAnsi="Arial"/>
          <w:sz w:val="17"/>
          <w:szCs w:val="17"/>
          <w:color w:val="auto"/>
        </w:rPr>
        <w:t>The Bank also monitors and adjusts the assumptions</w:t>
      </w:r>
      <w:r>
        <w:rPr>
          <w:rFonts w:ascii="Arial" w:cs="Arial" w:eastAsia="Arial" w:hAnsi="Arial"/>
          <w:sz w:val="16"/>
          <w:szCs w:val="16"/>
          <w:color w:val="auto"/>
        </w:rPr>
        <w:t xml:space="preserve"> </w:t>
      </w:r>
      <w:r>
        <w:rPr>
          <w:rFonts w:ascii="Arial" w:cs="Arial" w:eastAsia="Arial" w:hAnsi="Arial"/>
          <w:sz w:val="17"/>
          <w:szCs w:val="17"/>
          <w:color w:val="auto"/>
        </w:rPr>
        <w:t xml:space="preserve">for decay rates and key rate ties on certain deposit accounts and continues to review and modify those rates as the index rates change. </w:t>
      </w:r>
      <w:r>
        <w:rPr>
          <w:rFonts w:ascii="Arial" w:cs="Arial" w:eastAsia="Arial" w:hAnsi="Arial"/>
          <w:sz w:val="15"/>
          <w:szCs w:val="15"/>
          <w:color w:val="auto"/>
        </w:rPr>
        <w:t>Both directional</w:t>
      </w:r>
      <w:r>
        <w:rPr>
          <w:rFonts w:ascii="Arial" w:cs="Arial" w:eastAsia="Arial" w:hAnsi="Arial"/>
          <w:sz w:val="17"/>
          <w:szCs w:val="17"/>
          <w:color w:val="auto"/>
        </w:rPr>
        <w:t xml:space="preserve"> </w:t>
      </w:r>
      <w:r>
        <w:rPr>
          <w:rFonts w:ascii="Arial" w:cs="Arial" w:eastAsia="Arial" w:hAnsi="Arial"/>
          <w:sz w:val="15"/>
          <w:szCs w:val="15"/>
          <w:color w:val="auto"/>
        </w:rPr>
        <w:t>changes are well within risk exposure guidelines. The effect of the rate shocks may be mitigated to the extent that not all lines of business are directly tied to an external index and actual balance sheet composition may differ from prediction.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ITEM 8.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December 31, 2019 and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2019, 2018 and 2017.</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Comprehensive Income for the years ended December 31, 2019, 2018 and 2017.</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Changes to Shareholders’ Equity for the years ended December 31, 2019, 2018 and 2017.</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219"/>
          </w:cols>
          <w:pgMar w:left="240" w:top="437" w:right="1440" w:bottom="1440" w:gutter="0" w:footer="0" w:header="0"/>
        </w:sectPr>
      </w:pPr>
    </w:p>
    <w:bookmarkStart w:id="44" w:name="page45"/>
    <w:bookmarkEnd w:id="44"/>
    <w:p>
      <w:pPr>
        <w:spacing w:after="0" w:line="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356235</wp:posOffset>
            </wp:positionV>
            <wp:extent cx="5610860" cy="6184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610860" cy="61849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Archbold, Ohio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audited the accompanying consolidated balance sheets of Farmers &amp; Merchants Bancorp, Inc. (Company) as of December 31, 2019 and 2018, the related consolidated statements of income, comprehensive income, changes in stockholders' equity and cash flows for each of the years in the three-year period ended December 31, 2019, and the related notes (collectively referred to as the financial statements). In our opinion, the consolidated financial statements referred to above present fairly, in all material respects, the financial position of the Company as of December 31, 2019 and 2018, and the results of its operations and its cash flows for each of the years in the three-year period ended</w:t>
      </w:r>
    </w:p>
    <w:p>
      <w:pPr>
        <w:spacing w:after="0"/>
        <w:rPr>
          <w:sz w:val="20"/>
          <w:szCs w:val="20"/>
          <w:color w:val="auto"/>
        </w:rPr>
      </w:pPr>
      <w:r>
        <w:rPr>
          <w:rFonts w:ascii="Arial" w:cs="Arial" w:eastAsia="Arial" w:hAnsi="Arial"/>
          <w:sz w:val="18"/>
          <w:szCs w:val="18"/>
          <w:color w:val="auto"/>
        </w:rPr>
        <w:t>December 31, 2019, in conformity with accounting principles generally accepted in the United States of America.</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December 31, 2019, based on criteria established in </w:t>
      </w:r>
      <w:r>
        <w:rPr>
          <w:rFonts w:ascii="Arial" w:cs="Arial" w:eastAsia="Arial" w:hAnsi="Arial"/>
          <w:sz w:val="18"/>
          <w:szCs w:val="18"/>
          <w:i w:val="1"/>
          <w:iCs w:val="1"/>
          <w:color w:val="auto"/>
        </w:rPr>
        <w:t>Internal Control-Integrated Framework (2013) issued by the Committee of Sponsoring Organizations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the Treadway Commission (COSO) </w:t>
      </w:r>
      <w:r>
        <w:rPr>
          <w:rFonts w:ascii="Arial" w:cs="Arial" w:eastAsia="Arial" w:hAnsi="Arial"/>
          <w:sz w:val="18"/>
          <w:szCs w:val="18"/>
          <w:color w:val="auto"/>
        </w:rPr>
        <w:t>and our report dated February 26, 2020, expressed an unqualified opinion of the effectiveness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We are a public accounting firm registered with the PCAOB and are required to be independent with respect to the Company in accordance with the U.S.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995045" cy="292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95045"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Fort Wayne, Indiana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5" w:name="page46"/>
    <w:bookmarkEnd w:id="45"/>
    <w:p>
      <w:pPr>
        <w:jc w:val="center"/>
        <w:spacing w:after="0" w:line="271" w:lineRule="auto"/>
        <w:rPr>
          <w:sz w:val="20"/>
          <w:szCs w:val="20"/>
          <w:color w:val="auto"/>
        </w:rPr>
      </w:pPr>
      <w:r>
        <w:rPr>
          <w:sz w:val="1"/>
          <w:szCs w:val="1"/>
          <w:color w:val="auto"/>
        </w:rPr>
        <w:drawing>
          <wp:inline distT="0" distB="0" distL="0" distR="0">
            <wp:extent cx="5636260" cy="63563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36260" cy="635635"/>
                    </a:xfrm>
                    <a:prstGeom prst="rect">
                      <a:avLst/>
                    </a:prstGeom>
                    <a:noFill/>
                    <a:ln>
                      <a:noFill/>
                    </a:ln>
                  </pic:spPr>
                </pic:pic>
              </a:graphicData>
            </a:graphic>
          </wp:inline>
        </w:drawing>
      </w:r>
      <w:r>
        <w:rPr>
          <w:rFonts w:ascii="Arial" w:cs="Arial" w:eastAsia="Arial" w:hAnsi="Arial"/>
          <w:sz w:val="19"/>
          <w:szCs w:val="19"/>
          <w:b w:val="1"/>
          <w:bCs w:val="1"/>
          <w:color w:val="auto"/>
        </w:rPr>
        <w:t>Report of Independent Registered Public Accounting Firm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Archbold, Ohio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 xml:space="preserve">We have audited Farmers &amp; Merchants Bancorp, Inc.'s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 issued by the Committee of Sponsoring Organizations of the Treadway Commission</w:t>
      </w:r>
      <w:r>
        <w:rPr>
          <w:rFonts w:ascii="Arial" w:cs="Arial" w:eastAsia="Arial" w:hAnsi="Arial"/>
          <w:sz w:val="16"/>
          <w:szCs w:val="16"/>
          <w:color w:val="auto"/>
        </w:rPr>
        <w:t xml:space="preserve"> (COSO).</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 issued by COSO</w:t>
      </w:r>
      <w:r>
        <w:rPr>
          <w:rFonts w:ascii="Arial" w:cs="Arial" w:eastAsia="Arial" w:hAnsi="Arial"/>
          <w:sz w:val="18"/>
          <w:szCs w:val="18"/>
          <w:color w:val="auto"/>
        </w:rPr>
        <w:t>.</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and our report dated February 26, 2020, expressed an unqualified opinion.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 and Limitations of Internal Control Over Financial Reporting</w:t>
      </w:r>
    </w:p>
    <w:p>
      <w:pPr>
        <w:spacing w:after="0" w:line="8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995045" cy="292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95045"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Fort Wayne, 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4"/>
        </w:trPr>
        <w:tc>
          <w:tcPr>
            <w:tcW w:w="8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rPr>
              <w:t>Consolidated Balance Sheets</w:t>
            </w:r>
          </w:p>
        </w:tc>
      </w:tr>
      <w:tr>
        <w:trPr>
          <w:trHeight w:val="211"/>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rPr>
              <w:t>December 31, 2019 and 2018</w:t>
            </w:r>
          </w:p>
        </w:tc>
      </w:tr>
      <w:tr>
        <w:trPr>
          <w:trHeight w:val="228"/>
        </w:trPr>
        <w:tc>
          <w:tcPr>
            <w:tcW w:w="8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93"/>
              </w:rPr>
              <w:t>(000’s Omitted, Except Share Data)</w:t>
            </w:r>
          </w:p>
        </w:tc>
      </w:tr>
      <w:tr>
        <w:trPr>
          <w:trHeight w:val="435"/>
        </w:trPr>
        <w:tc>
          <w:tcPr>
            <w:tcW w:w="83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4"/>
                <w:szCs w:val="24"/>
                <w:color w:val="auto"/>
              </w:rPr>
            </w:pPr>
          </w:p>
        </w:tc>
      </w:tr>
      <w:tr>
        <w:trPr>
          <w:trHeight w:val="217"/>
        </w:trPr>
        <w:tc>
          <w:tcPr>
            <w:tcW w:w="8360" w:type="dxa"/>
            <w:vAlign w:val="bottom"/>
            <w:shd w:val="clear" w:color="auto" w:fill="CFF0FC"/>
          </w:tcPr>
          <w:p>
            <w:pPr>
              <w:ind w:left="38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4"/>
        </w:trPr>
        <w:tc>
          <w:tcPr>
            <w:tcW w:w="83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due from banks</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37,492</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FF0FC"/>
            </w:tcBorders>
          </w:tcPr>
          <w:p>
            <w:pPr>
              <w:spacing w:after="0"/>
              <w:rPr>
                <w:sz w:val="19"/>
                <w:szCs w:val="19"/>
                <w:color w:val="auto"/>
              </w:rPr>
            </w:pPr>
          </w:p>
        </w:tc>
      </w:tr>
      <w:tr>
        <w:trPr>
          <w:trHeight w:val="217"/>
        </w:trPr>
        <w:tc>
          <w:tcPr>
            <w:tcW w:w="8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38,365</w:t>
            </w:r>
          </w:p>
        </w:tc>
        <w:tc>
          <w:tcPr>
            <w:tcW w:w="100" w:type="dxa"/>
            <w:vAlign w:val="bottom"/>
            <w:shd w:val="clear" w:color="auto" w:fill="CFF0FC"/>
          </w:tcPr>
          <w:p>
            <w:pPr>
              <w:spacing w:after="0"/>
              <w:rPr>
                <w:sz w:val="18"/>
                <w:szCs w:val="18"/>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Interest-bearing time deposits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 available-for-sale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222,293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168,447</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Other securities, at cost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Loans,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1,211,771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839,599</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Premises and equipment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22,612</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Mortgage servicing rights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real estate owned</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Bank owned life insurance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15,235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14,884</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15,834</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17,001</w:t>
            </w:r>
          </w:p>
        </w:tc>
        <w:tc>
          <w:tcPr>
            <w:tcW w:w="100" w:type="dxa"/>
            <w:vAlign w:val="bottom"/>
            <w:shd w:val="clear" w:color="auto" w:fill="CFF0FC"/>
          </w:tcPr>
          <w:p>
            <w:pPr>
              <w:spacing w:after="0"/>
              <w:rPr>
                <w:sz w:val="19"/>
                <w:szCs w:val="19"/>
                <w:color w:val="auto"/>
              </w:rPr>
            </w:pPr>
          </w:p>
        </w:tc>
      </w:tr>
      <w:tr>
        <w:trPr>
          <w:trHeight w:val="257"/>
        </w:trPr>
        <w:tc>
          <w:tcPr>
            <w:tcW w:w="8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1,607,330</w:t>
            </w:r>
          </w:p>
        </w:tc>
        <w:tc>
          <w:tcPr>
            <w:tcW w:w="3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1,116,163</w:t>
            </w:r>
          </w:p>
        </w:tc>
        <w:tc>
          <w:tcPr>
            <w:tcW w:w="100" w:type="dxa"/>
            <w:vAlign w:val="bottom"/>
            <w:tcBorders>
              <w:bottom w:val="single" w:sz="8" w:color="CFF0FC"/>
            </w:tcBorders>
          </w:tcPr>
          <w:p>
            <w:pPr>
              <w:spacing w:after="0"/>
              <w:rPr>
                <w:sz w:val="22"/>
                <w:szCs w:val="22"/>
                <w:color w:val="auto"/>
              </w:rPr>
            </w:pPr>
          </w:p>
        </w:tc>
      </w:tr>
      <w:tr>
        <w:trPr>
          <w:trHeight w:val="204"/>
        </w:trPr>
        <w:tc>
          <w:tcPr>
            <w:tcW w:w="8360" w:type="dxa"/>
            <w:vAlign w:val="bottom"/>
            <w:shd w:val="clear" w:color="auto" w:fill="CFF0FC"/>
          </w:tcPr>
          <w:p>
            <w:pPr>
              <w:ind w:left="27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83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480"/>
              <w:spacing w:after="0"/>
              <w:rPr>
                <w:sz w:val="20"/>
                <w:szCs w:val="20"/>
                <w:color w:val="auto"/>
              </w:rPr>
            </w:pPr>
            <w:r>
              <w:rPr>
                <w:rFonts w:ascii="Arial" w:cs="Arial" w:eastAsia="Arial" w:hAnsi="Arial"/>
                <w:sz w:val="18"/>
                <w:szCs w:val="18"/>
                <w:color w:val="auto"/>
              </w:rPr>
              <w:t>Noninterest-bearing</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265,156</w:t>
            </w:r>
          </w:p>
        </w:tc>
        <w:tc>
          <w:tcPr>
            <w:tcW w:w="30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215,422</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Interest-bearing</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720"/>
              <w:spacing w:after="0"/>
              <w:rPr>
                <w:sz w:val="20"/>
                <w:szCs w:val="20"/>
                <w:color w:val="auto"/>
              </w:rPr>
            </w:pPr>
            <w:r>
              <w:rPr>
                <w:rFonts w:ascii="Arial" w:cs="Arial" w:eastAsia="Arial" w:hAnsi="Arial"/>
                <w:sz w:val="18"/>
                <w:szCs w:val="18"/>
                <w:color w:val="auto"/>
              </w:rPr>
              <w:t>NOW accounts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423,655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298,254</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Savings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322,973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227,701</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Time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276,563</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187,413</w:t>
            </w:r>
          </w:p>
        </w:tc>
        <w:tc>
          <w:tcPr>
            <w:tcW w:w="100" w:type="dxa"/>
            <w:vAlign w:val="bottom"/>
            <w:tcBorders>
              <w:bottom w:val="single" w:sz="8" w:color="CFF0FC"/>
            </w:tcBorders>
          </w:tcPr>
          <w:p>
            <w:pPr>
              <w:spacing w:after="0"/>
              <w:rPr>
                <w:sz w:val="19"/>
                <w:szCs w:val="19"/>
                <w:color w:val="auto"/>
              </w:rPr>
            </w:pPr>
          </w:p>
        </w:tc>
      </w:tr>
      <w:tr>
        <w:trPr>
          <w:trHeight w:val="217"/>
        </w:trPr>
        <w:tc>
          <w:tcPr>
            <w:tcW w:w="8360" w:type="dxa"/>
            <w:vAlign w:val="bottom"/>
            <w:shd w:val="clear" w:color="auto" w:fill="CFF0FC"/>
          </w:tcPr>
          <w:p>
            <w:pPr>
              <w:ind w:left="960"/>
              <w:spacing w:after="0"/>
              <w:rPr>
                <w:sz w:val="20"/>
                <w:szCs w:val="20"/>
                <w:color w:val="auto"/>
              </w:rPr>
            </w:pPr>
            <w:r>
              <w:rPr>
                <w:rFonts w:ascii="Arial" w:cs="Arial" w:eastAsia="Arial" w:hAnsi="Arial"/>
                <w:sz w:val="18"/>
                <w:szCs w:val="18"/>
                <w:color w:val="auto"/>
              </w:rPr>
              <w:t>Total deposits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1,288,347</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928,790</w:t>
            </w:r>
          </w:p>
        </w:tc>
        <w:tc>
          <w:tcPr>
            <w:tcW w:w="100" w:type="dxa"/>
            <w:vAlign w:val="bottom"/>
            <w:shd w:val="clear" w:color="auto" w:fill="CFF0FC"/>
          </w:tcPr>
          <w:p>
            <w:pPr>
              <w:spacing w:after="0"/>
              <w:rPr>
                <w:sz w:val="18"/>
                <w:szCs w:val="18"/>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Federal funds purchased and securities sold under agreement to repurchase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48,073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32,181</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Home Loan Bank (FHLB) advances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Dividend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14,078</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shd w:val="clear" w:color="auto" w:fill="CFF0FC"/>
          </w:tcPr>
          <w:p>
            <w:pPr>
              <w:spacing w:after="0"/>
              <w:rPr>
                <w:sz w:val="19"/>
                <w:szCs w:val="19"/>
                <w:color w:val="auto"/>
              </w:rPr>
            </w:pPr>
          </w:p>
        </w:tc>
      </w:tr>
      <w:tr>
        <w:trPr>
          <w:trHeight w:val="217"/>
        </w:trPr>
        <w:tc>
          <w:tcPr>
            <w:tcW w:w="8360" w:type="dxa"/>
            <w:vAlign w:val="bottom"/>
            <w:tcBorders>
              <w:bottom w:val="single" w:sz="8" w:color="CFF0FC"/>
            </w:tcBorders>
          </w:tcPr>
          <w:p>
            <w:pPr>
              <w:ind w:left="9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1,377,072</w:t>
            </w:r>
          </w:p>
        </w:tc>
        <w:tc>
          <w:tcPr>
            <w:tcW w:w="3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972,876</w:t>
            </w:r>
          </w:p>
        </w:tc>
        <w:tc>
          <w:tcPr>
            <w:tcW w:w="100" w:type="dxa"/>
            <w:vAlign w:val="bottom"/>
            <w:tcBorders>
              <w:bottom w:val="single" w:sz="8" w:color="CFF0FC"/>
            </w:tcBorders>
          </w:tcPr>
          <w:p>
            <w:pPr>
              <w:spacing w:after="0"/>
              <w:rPr>
                <w:sz w:val="18"/>
                <w:szCs w:val="18"/>
                <w:color w:val="auto"/>
              </w:rPr>
            </w:pPr>
          </w:p>
        </w:tc>
      </w:tr>
      <w:tr>
        <w:trPr>
          <w:trHeight w:val="217"/>
        </w:trPr>
        <w:tc>
          <w:tcPr>
            <w:tcW w:w="8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4"/>
        </w:trPr>
        <w:tc>
          <w:tcPr>
            <w:tcW w:w="83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 No par value 20,000,000 shares authorized; issued and</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8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12,230,000 shares 12/31/19 and 10,400,000 shares 12/31/18</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10,823</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Treasury stock - 1,093,065 shares 12/31/19, 1,114,739 shares 12/31/18</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(12,456)</w:t>
            </w: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(12,409)</w:t>
            </w: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160,081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147,887</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(3,014)</w:t>
            </w:r>
          </w:p>
        </w:tc>
      </w:tr>
      <w:tr>
        <w:trPr>
          <w:trHeight w:val="217"/>
        </w:trPr>
        <w:tc>
          <w:tcPr>
            <w:tcW w:w="8360" w:type="dxa"/>
            <w:vAlign w:val="bottom"/>
            <w:tcBorders>
              <w:top w:val="single" w:sz="8" w:color="CFF0FC"/>
            </w:tcBorders>
            <w:shd w:val="clear" w:color="auto" w:fill="CFF0FC"/>
          </w:tcPr>
          <w:p>
            <w:pPr>
              <w:ind w:left="9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230,258</w:t>
            </w:r>
          </w:p>
        </w:tc>
        <w:tc>
          <w:tcPr>
            <w:tcW w:w="3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1,607,330</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1,116,163</w:t>
            </w:r>
          </w:p>
        </w:tc>
        <w:tc>
          <w:tcPr>
            <w:tcW w:w="10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8"/>
        </w:trPr>
        <w:tc>
          <w:tcPr>
            <w:tcW w:w="712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7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w w:val="87"/>
              </w:rPr>
              <w:t>Consolidated Statements of Income</w:t>
            </w:r>
          </w:p>
        </w:tc>
        <w:tc>
          <w:tcPr>
            <w:tcW w:w="0" w:type="dxa"/>
            <w:vAlign w:val="bottom"/>
          </w:tcPr>
          <w:p>
            <w:pPr>
              <w:spacing w:after="0"/>
              <w:rPr>
                <w:sz w:val="1"/>
                <w:szCs w:val="1"/>
                <w:color w:val="auto"/>
              </w:rPr>
            </w:pPr>
          </w:p>
        </w:tc>
      </w:tr>
      <w:tr>
        <w:trPr>
          <w:trHeight w:val="211"/>
        </w:trPr>
        <w:tc>
          <w:tcPr>
            <w:tcW w:w="7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9"/>
          </w:tcPr>
          <w:p>
            <w:pPr>
              <w:jc w:val="right"/>
              <w:spacing w:after="0"/>
              <w:rPr>
                <w:sz w:val="20"/>
                <w:szCs w:val="20"/>
                <w:color w:val="auto"/>
              </w:rPr>
            </w:pPr>
            <w:r>
              <w:rPr>
                <w:rFonts w:ascii="Arial" w:cs="Arial" w:eastAsia="Arial" w:hAnsi="Arial"/>
                <w:sz w:val="18"/>
                <w:szCs w:val="18"/>
                <w:b w:val="1"/>
                <w:bCs w:val="1"/>
                <w:color w:val="auto"/>
                <w:w w:val="94"/>
              </w:rPr>
              <w:t>Years Ended December 31, 2019, 2018 and 2017</w:t>
            </w:r>
          </w:p>
        </w:tc>
        <w:tc>
          <w:tcPr>
            <w:tcW w:w="0" w:type="dxa"/>
            <w:vAlign w:val="bottom"/>
          </w:tcPr>
          <w:p>
            <w:pPr>
              <w:spacing w:after="0"/>
              <w:rPr>
                <w:sz w:val="1"/>
                <w:szCs w:val="1"/>
                <w:color w:val="auto"/>
              </w:rPr>
            </w:pPr>
          </w:p>
        </w:tc>
      </w:tr>
      <w:tr>
        <w:trPr>
          <w:trHeight w:val="228"/>
        </w:trPr>
        <w:tc>
          <w:tcPr>
            <w:tcW w:w="7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80" w:type="dxa"/>
            <w:vAlign w:val="bottom"/>
            <w:gridSpan w:val="9"/>
          </w:tcPr>
          <w:p>
            <w:pPr>
              <w:jc w:val="right"/>
              <w:ind w:right="40"/>
              <w:spacing w:after="0"/>
              <w:rPr>
                <w:sz w:val="20"/>
                <w:szCs w:val="20"/>
                <w:color w:val="auto"/>
              </w:rPr>
            </w:pPr>
            <w:r>
              <w:rPr>
                <w:rFonts w:ascii="Arial" w:cs="Arial" w:eastAsia="Arial" w:hAnsi="Arial"/>
                <w:sz w:val="18"/>
                <w:szCs w:val="18"/>
                <w:b w:val="1"/>
                <w:bCs w:val="1"/>
                <w:color w:val="auto"/>
              </w:rPr>
              <w:t>(000’s Omitted, Except Per Share Data)</w:t>
            </w:r>
          </w:p>
        </w:tc>
        <w:tc>
          <w:tcPr>
            <w:tcW w:w="0" w:type="dxa"/>
            <w:vAlign w:val="bottom"/>
          </w:tcPr>
          <w:p>
            <w:pPr>
              <w:spacing w:after="0"/>
              <w:rPr>
                <w:sz w:val="1"/>
                <w:szCs w:val="1"/>
                <w:color w:val="auto"/>
              </w:rPr>
            </w:pPr>
          </w:p>
        </w:tc>
      </w:tr>
      <w:tr>
        <w:trPr>
          <w:trHeight w:val="435"/>
        </w:trPr>
        <w:tc>
          <w:tcPr>
            <w:tcW w:w="71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480"/>
              <w:spacing w:after="0"/>
              <w:rPr>
                <w:sz w:val="20"/>
                <w:szCs w:val="20"/>
                <w:color w:val="auto"/>
              </w:rPr>
            </w:pPr>
            <w:r>
              <w:rPr>
                <w:rFonts w:ascii="Arial" w:cs="Arial" w:eastAsia="Arial" w:hAnsi="Arial"/>
                <w:sz w:val="18"/>
                <w:szCs w:val="18"/>
                <w:color w:val="auto"/>
              </w:rPr>
              <w:t>Loans, including fees</w:t>
            </w:r>
          </w:p>
        </w:tc>
        <w:tc>
          <w:tcPr>
            <w:tcW w:w="4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62,213</w:t>
            </w:r>
          </w:p>
        </w:tc>
        <w:tc>
          <w:tcPr>
            <w:tcW w:w="180" w:type="dxa"/>
            <w:vAlign w:val="bottom"/>
          </w:tcPr>
          <w:p>
            <w:pPr>
              <w:spacing w:after="0"/>
              <w:rPr>
                <w:sz w:val="19"/>
                <w:szCs w:val="19"/>
                <w:color w:val="auto"/>
              </w:rPr>
            </w:pP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42,303</w:t>
            </w:r>
          </w:p>
        </w:tc>
        <w:tc>
          <w:tcPr>
            <w:tcW w:w="2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Debt securities: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720"/>
              <w:spacing w:after="0"/>
              <w:rPr>
                <w:sz w:val="20"/>
                <w:szCs w:val="20"/>
                <w:color w:val="auto"/>
              </w:rPr>
            </w:pPr>
            <w:r>
              <w:rPr>
                <w:rFonts w:ascii="Arial" w:cs="Arial" w:eastAsia="Arial" w:hAnsi="Arial"/>
                <w:sz w:val="18"/>
                <w:szCs w:val="18"/>
                <w:color w:val="auto"/>
              </w:rPr>
              <w:t>U.S. Treasury and government agencies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Municipalities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480"/>
              <w:spacing w:after="0"/>
              <w:rPr>
                <w:sz w:val="20"/>
                <w:szCs w:val="20"/>
                <w:color w:val="auto"/>
              </w:rPr>
            </w:pPr>
            <w:r>
              <w:rPr>
                <w:rFonts w:ascii="Arial" w:cs="Arial" w:eastAsia="Arial" w:hAnsi="Arial"/>
                <w:sz w:val="18"/>
                <w:szCs w:val="18"/>
                <w:color w:val="auto"/>
              </w:rPr>
              <w:t>Dividends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Federal funds sold</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interest income</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20" w:type="dxa"/>
            <w:vAlign w:val="bottom"/>
          </w:tcPr>
          <w:p>
            <w:pPr>
              <w:ind w:left="480"/>
              <w:spacing w:after="0"/>
              <w:rPr>
                <w:sz w:val="20"/>
                <w:szCs w:val="20"/>
                <w:color w:val="auto"/>
              </w:rPr>
            </w:pPr>
            <w:r>
              <w:rPr>
                <w:rFonts w:ascii="Arial" w:cs="Arial" w:eastAsia="Arial" w:hAnsi="Arial"/>
                <w:sz w:val="18"/>
                <w:szCs w:val="18"/>
                <w:color w:val="auto"/>
              </w:rPr>
              <w:t>Federal funds purchased and securities sold under agreements to</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620"/>
              <w:spacing w:after="0"/>
              <w:rPr>
                <w:sz w:val="20"/>
                <w:szCs w:val="20"/>
                <w:color w:val="auto"/>
              </w:rPr>
            </w:pPr>
            <w:r>
              <w:rPr>
                <w:rFonts w:ascii="Arial" w:cs="Arial" w:eastAsia="Arial" w:hAnsi="Arial"/>
                <w:sz w:val="18"/>
                <w:szCs w:val="18"/>
                <w:color w:val="auto"/>
              </w:rPr>
              <w:t>repurchase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Borrowed funds</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72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14,759</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20" w:type="dxa"/>
            <w:vAlign w:val="bottom"/>
          </w:tcPr>
          <w:p>
            <w:pPr>
              <w:spacing w:after="0"/>
              <w:rPr>
                <w:sz w:val="20"/>
                <w:szCs w:val="20"/>
                <w:color w:val="auto"/>
              </w:rPr>
            </w:pPr>
            <w:r>
              <w:rPr>
                <w:rFonts w:ascii="Arial" w:cs="Arial" w:eastAsia="Arial" w:hAnsi="Arial"/>
                <w:sz w:val="18"/>
                <w:szCs w:val="18"/>
                <w:b w:val="1"/>
                <w:bCs w:val="1"/>
                <w:color w:val="auto"/>
              </w:rPr>
              <w:t>Net Interest Income Before Provision for Loan Losses</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53,547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Provision for Loan Losses</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Customer service fees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480"/>
              <w:spacing w:after="0"/>
              <w:rPr>
                <w:sz w:val="20"/>
                <w:szCs w:val="20"/>
                <w:color w:val="auto"/>
              </w:rPr>
            </w:pPr>
            <w:r>
              <w:rPr>
                <w:rFonts w:ascii="Arial" w:cs="Arial" w:eastAsia="Arial" w:hAnsi="Arial"/>
                <w:sz w:val="18"/>
                <w:szCs w:val="18"/>
                <w:color w:val="auto"/>
              </w:rPr>
              <w:t>Other service charges and fees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gain on sale of loans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480"/>
              <w:spacing w:after="0"/>
              <w:rPr>
                <w:sz w:val="20"/>
                <w:szCs w:val="20"/>
                <w:color w:val="auto"/>
              </w:rPr>
            </w:pPr>
            <w:r>
              <w:rPr>
                <w:rFonts w:ascii="Arial" w:cs="Arial" w:eastAsia="Arial" w:hAnsi="Arial"/>
                <w:sz w:val="18"/>
                <w:szCs w:val="18"/>
                <w:color w:val="auto"/>
              </w:rPr>
              <w:t>Net gain (loss) on sale of available-for-sale securities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2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10,864</w:t>
            </w: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2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Salaries and wages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480"/>
              <w:spacing w:after="0"/>
              <w:rPr>
                <w:sz w:val="20"/>
                <w:szCs w:val="20"/>
                <w:color w:val="auto"/>
              </w:rPr>
            </w:pPr>
            <w:r>
              <w:rPr>
                <w:rFonts w:ascii="Arial" w:cs="Arial" w:eastAsia="Arial" w:hAnsi="Arial"/>
                <w:sz w:val="18"/>
                <w:szCs w:val="18"/>
                <w:color w:val="auto"/>
              </w:rPr>
              <w:t>Employee benefits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occupancy expense</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480"/>
              <w:spacing w:after="0"/>
              <w:rPr>
                <w:sz w:val="20"/>
                <w:szCs w:val="20"/>
                <w:color w:val="auto"/>
              </w:rPr>
            </w:pPr>
            <w:r>
              <w:rPr>
                <w:rFonts w:ascii="Arial" w:cs="Arial" w:eastAsia="Arial" w:hAnsi="Arial"/>
                <w:sz w:val="18"/>
                <w:szCs w:val="18"/>
                <w:color w:val="auto"/>
              </w:rPr>
              <w:t>Furniture and equipment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Data processing</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480"/>
              <w:spacing w:after="0"/>
              <w:rPr>
                <w:sz w:val="20"/>
                <w:szCs w:val="20"/>
                <w:color w:val="auto"/>
              </w:rPr>
            </w:pPr>
            <w:r>
              <w:rPr>
                <w:rFonts w:ascii="Arial" w:cs="Arial" w:eastAsia="Arial" w:hAnsi="Arial"/>
                <w:sz w:val="18"/>
                <w:szCs w:val="18"/>
                <w:color w:val="auto"/>
              </w:rPr>
              <w:t>Franchise taxes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ATM expense</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480"/>
              <w:spacing w:after="0"/>
              <w:rPr>
                <w:sz w:val="20"/>
                <w:szCs w:val="20"/>
                <w:color w:val="auto"/>
              </w:rPr>
            </w:pPr>
            <w:r>
              <w:rPr>
                <w:rFonts w:ascii="Arial" w:cs="Arial" w:eastAsia="Arial" w:hAnsi="Arial"/>
                <w:sz w:val="18"/>
                <w:szCs w:val="18"/>
                <w:color w:val="auto"/>
              </w:rPr>
              <w:t>Advertising</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loss on sale of other assets owned</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480"/>
              <w:spacing w:after="0"/>
              <w:rPr>
                <w:sz w:val="20"/>
                <w:szCs w:val="20"/>
                <w:color w:val="auto"/>
              </w:rPr>
            </w:pPr>
            <w:r>
              <w:rPr>
                <w:rFonts w:ascii="Arial" w:cs="Arial" w:eastAsia="Arial" w:hAnsi="Arial"/>
                <w:sz w:val="18"/>
                <w:szCs w:val="18"/>
                <w:color w:val="auto"/>
              </w:rPr>
              <w:t>FDIC assessment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Mortgage servicing rights amortization</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tcPr>
          <w:p>
            <w:pPr>
              <w:ind w:left="480"/>
              <w:spacing w:after="0"/>
              <w:rPr>
                <w:sz w:val="20"/>
                <w:szCs w:val="20"/>
                <w:color w:val="auto"/>
              </w:rPr>
            </w:pPr>
            <w:r>
              <w:rPr>
                <w:rFonts w:ascii="Arial" w:cs="Arial" w:eastAsia="Arial" w:hAnsi="Arial"/>
                <w:sz w:val="18"/>
                <w:szCs w:val="18"/>
                <w:color w:val="auto"/>
              </w:rPr>
              <w:t>Consulting fees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2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noninterest expense</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41,595</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32,221</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Income Taxes</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18,402</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20" w:type="dxa"/>
            <w:vAlign w:val="bottom"/>
            <w:vMerge w:val="continue"/>
          </w:tcPr>
          <w:p>
            <w:pPr>
              <w:spacing w:after="0"/>
              <w:rPr>
                <w:sz w:val="17"/>
                <w:szCs w:val="17"/>
                <w:color w:val="auto"/>
              </w:rPr>
            </w:pPr>
          </w:p>
        </w:tc>
        <w:tc>
          <w:tcPr>
            <w:tcW w:w="420" w:type="dxa"/>
            <w:vAlign w:val="bottom"/>
            <w:gridSpan w:val="2"/>
          </w:tcPr>
          <w:p>
            <w:pPr>
              <w:jc w:val="right"/>
              <w:ind w:right="83"/>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0.61</w:t>
            </w:r>
          </w:p>
        </w:tc>
        <w:tc>
          <w:tcPr>
            <w:tcW w:w="180" w:type="dxa"/>
            <w:vAlign w:val="bottom"/>
          </w:tcPr>
          <w:p>
            <w:pPr>
              <w:spacing w:after="0"/>
              <w:rPr>
                <w:sz w:val="17"/>
                <w:szCs w:val="17"/>
                <w:color w:val="auto"/>
              </w:rPr>
            </w:pPr>
          </w:p>
        </w:tc>
        <w:tc>
          <w:tcPr>
            <w:tcW w:w="340" w:type="dxa"/>
            <w:vAlign w:val="bottom"/>
            <w:gridSpan w:val="2"/>
          </w:tcPr>
          <w:p>
            <w:pPr>
              <w:jc w:val="right"/>
              <w:ind w:right="52"/>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0.56</w:t>
            </w:r>
          </w:p>
        </w:tc>
        <w:tc>
          <w:tcPr>
            <w:tcW w:w="2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8"/>
        </w:trPr>
        <w:tc>
          <w:tcPr>
            <w:tcW w:w="626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gridSpan w:val="8"/>
          </w:tcPr>
          <w:p>
            <w:pPr>
              <w:jc w:val="right"/>
              <w:spacing w:after="0"/>
              <w:rPr>
                <w:sz w:val="20"/>
                <w:szCs w:val="20"/>
                <w:color w:val="auto"/>
              </w:rPr>
            </w:pPr>
            <w:r>
              <w:rPr>
                <w:rFonts w:ascii="Arial" w:cs="Arial" w:eastAsia="Arial" w:hAnsi="Arial"/>
                <w:sz w:val="18"/>
                <w:szCs w:val="18"/>
                <w:b w:val="1"/>
                <w:bCs w:val="1"/>
                <w:color w:val="auto"/>
                <w:w w:val="87"/>
              </w:rPr>
              <w:t>Consolidated Statements of Comprehensive Income</w:t>
            </w:r>
          </w:p>
        </w:tc>
        <w:tc>
          <w:tcPr>
            <w:tcW w:w="0" w:type="dxa"/>
            <w:vAlign w:val="bottom"/>
          </w:tcPr>
          <w:p>
            <w:pPr>
              <w:spacing w:after="0"/>
              <w:rPr>
                <w:sz w:val="1"/>
                <w:szCs w:val="1"/>
                <w:color w:val="auto"/>
              </w:rPr>
            </w:pPr>
          </w:p>
        </w:tc>
      </w:tr>
      <w:tr>
        <w:trPr>
          <w:trHeight w:val="211"/>
        </w:trPr>
        <w:tc>
          <w:tcPr>
            <w:tcW w:w="6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40" w:type="dxa"/>
            <w:vAlign w:val="bottom"/>
            <w:gridSpan w:val="8"/>
          </w:tcPr>
          <w:p>
            <w:pPr>
              <w:jc w:val="right"/>
              <w:spacing w:after="0"/>
              <w:rPr>
                <w:sz w:val="20"/>
                <w:szCs w:val="20"/>
                <w:color w:val="auto"/>
              </w:rPr>
            </w:pPr>
            <w:r>
              <w:rPr>
                <w:rFonts w:ascii="Arial" w:cs="Arial" w:eastAsia="Arial" w:hAnsi="Arial"/>
                <w:sz w:val="18"/>
                <w:szCs w:val="18"/>
                <w:b w:val="1"/>
                <w:bCs w:val="1"/>
                <w:color w:val="auto"/>
                <w:w w:val="96"/>
              </w:rPr>
              <w:t>Years Ended December 31, 2019, 2018 and 2017</w:t>
            </w:r>
          </w:p>
        </w:tc>
        <w:tc>
          <w:tcPr>
            <w:tcW w:w="0" w:type="dxa"/>
            <w:vAlign w:val="bottom"/>
          </w:tcPr>
          <w:p>
            <w:pPr>
              <w:spacing w:after="0"/>
              <w:rPr>
                <w:sz w:val="1"/>
                <w:szCs w:val="1"/>
                <w:color w:val="auto"/>
              </w:rPr>
            </w:pPr>
          </w:p>
        </w:tc>
      </w:tr>
      <w:tr>
        <w:trPr>
          <w:trHeight w:val="228"/>
        </w:trPr>
        <w:tc>
          <w:tcPr>
            <w:tcW w:w="6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2"/>
              </w:rPr>
              <w:t>(000’s Omitted)</w:t>
            </w:r>
          </w:p>
        </w:tc>
        <w:tc>
          <w:tcPr>
            <w:tcW w:w="0" w:type="dxa"/>
            <w:vAlign w:val="bottom"/>
          </w:tcPr>
          <w:p>
            <w:pPr>
              <w:spacing w:after="0"/>
              <w:rPr>
                <w:sz w:val="1"/>
                <w:szCs w:val="1"/>
                <w:color w:val="auto"/>
              </w:rPr>
            </w:pPr>
          </w:p>
        </w:tc>
      </w:tr>
      <w:tr>
        <w:trPr>
          <w:trHeight w:val="435"/>
        </w:trPr>
        <w:tc>
          <w:tcPr>
            <w:tcW w:w="6260" w:type="dxa"/>
            <w:vAlign w:val="bottom"/>
            <w:tcBorders>
              <w:bottom w:val="single" w:sz="8" w:color="CFF0FC"/>
            </w:tcBorders>
          </w:tcPr>
          <w:p>
            <w:pPr>
              <w:spacing w:after="0"/>
              <w:rPr>
                <w:sz w:val="24"/>
                <w:szCs w:val="24"/>
                <w:color w:val="auto"/>
              </w:rPr>
            </w:pPr>
          </w:p>
        </w:tc>
        <w:tc>
          <w:tcPr>
            <w:tcW w:w="10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gridSpan w:val="2"/>
            <w:shd w:val="clear" w:color="auto" w:fill="CFF0FC"/>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18,402</w:t>
            </w:r>
          </w:p>
        </w:tc>
        <w:tc>
          <w:tcPr>
            <w:tcW w:w="52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unrealized gain (loss) on available-for-sale securities</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(1,058)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60" w:type="dxa"/>
            <w:vAlign w:val="bottom"/>
          </w:tcPr>
          <w:p>
            <w:pPr>
              <w:ind w:left="240"/>
              <w:spacing w:after="0"/>
              <w:rPr>
                <w:sz w:val="20"/>
                <w:szCs w:val="20"/>
                <w:color w:val="auto"/>
              </w:rPr>
            </w:pPr>
            <w:r>
              <w:rPr>
                <w:rFonts w:ascii="Arial" w:cs="Arial" w:eastAsia="Arial" w:hAnsi="Arial"/>
                <w:sz w:val="18"/>
                <w:szCs w:val="18"/>
                <w:color w:val="auto"/>
              </w:rPr>
              <w:t>Reclassification adjustment for (gain) loss on sale of available-for-sale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380"/>
              <w:spacing w:after="0"/>
              <w:rPr>
                <w:sz w:val="20"/>
                <w:szCs w:val="20"/>
                <w:color w:val="auto"/>
              </w:rPr>
            </w:pPr>
            <w:r>
              <w:rPr>
                <w:rFonts w:ascii="Arial" w:cs="Arial" w:eastAsia="Arial" w:hAnsi="Arial"/>
                <w:sz w:val="18"/>
                <w:szCs w:val="18"/>
                <w:color w:val="auto"/>
              </w:rPr>
              <w:t>securities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unrealized gain (loss) on available-for-sale securities</w:t>
            </w:r>
          </w:p>
        </w:tc>
        <w:tc>
          <w:tcPr>
            <w:tcW w:w="1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(1,049)</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60" w:type="dxa"/>
            <w:vAlign w:val="bottom"/>
          </w:tcPr>
          <w:p>
            <w:pPr>
              <w:ind w:left="240"/>
              <w:spacing w:after="0"/>
              <w:rPr>
                <w:sz w:val="20"/>
                <w:szCs w:val="20"/>
                <w:color w:val="auto"/>
              </w:rPr>
            </w:pPr>
            <w:r>
              <w:rPr>
                <w:rFonts w:ascii="Arial" w:cs="Arial" w:eastAsia="Arial" w:hAnsi="Arial"/>
                <w:sz w:val="18"/>
                <w:szCs w:val="18"/>
                <w:color w:val="auto"/>
              </w:rPr>
              <w:t>Tax expense (benefit)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(829)</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0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22,514</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14,120</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133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9795" cy="13398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8"/>
        </w:trPr>
        <w:tc>
          <w:tcPr>
            <w:tcW w:w="486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13"/>
          </w:tcPr>
          <w:p>
            <w:pPr>
              <w:jc w:val="right"/>
              <w:spacing w:after="0"/>
              <w:rPr>
                <w:sz w:val="20"/>
                <w:szCs w:val="20"/>
                <w:color w:val="auto"/>
              </w:rPr>
            </w:pPr>
            <w:r>
              <w:rPr>
                <w:rFonts w:ascii="Arial" w:cs="Arial" w:eastAsia="Arial" w:hAnsi="Arial"/>
                <w:sz w:val="18"/>
                <w:szCs w:val="18"/>
                <w:b w:val="1"/>
                <w:bCs w:val="1"/>
                <w:color w:val="auto"/>
                <w:w w:val="86"/>
              </w:rPr>
              <w:t>Consolidated Statements of Changes to Stockholders’ Equity</w:t>
            </w:r>
          </w:p>
        </w:tc>
        <w:tc>
          <w:tcPr>
            <w:tcW w:w="0" w:type="dxa"/>
            <w:vAlign w:val="bottom"/>
          </w:tcPr>
          <w:p>
            <w:pPr>
              <w:spacing w:after="0"/>
              <w:rPr>
                <w:sz w:val="1"/>
                <w:szCs w:val="1"/>
                <w:color w:val="auto"/>
              </w:rPr>
            </w:pPr>
          </w:p>
        </w:tc>
      </w:tr>
      <w:tr>
        <w:trPr>
          <w:trHeight w:val="211"/>
        </w:trPr>
        <w:tc>
          <w:tcPr>
            <w:tcW w:w="4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11"/>
          </w:tcPr>
          <w:p>
            <w:pPr>
              <w:jc w:val="right"/>
              <w:spacing w:after="0"/>
              <w:rPr>
                <w:sz w:val="20"/>
                <w:szCs w:val="20"/>
                <w:color w:val="auto"/>
              </w:rPr>
            </w:pPr>
            <w:r>
              <w:rPr>
                <w:rFonts w:ascii="Arial" w:cs="Arial" w:eastAsia="Arial" w:hAnsi="Arial"/>
                <w:sz w:val="18"/>
                <w:szCs w:val="18"/>
                <w:b w:val="1"/>
                <w:bCs w:val="1"/>
                <w:color w:val="auto"/>
                <w:w w:val="89"/>
              </w:rPr>
              <w:t>For the Years Ended December 31, 2019, 2018 and 2017</w:t>
            </w:r>
          </w:p>
        </w:tc>
        <w:tc>
          <w:tcPr>
            <w:tcW w:w="0" w:type="dxa"/>
            <w:vAlign w:val="bottom"/>
          </w:tcPr>
          <w:p>
            <w:pPr>
              <w:spacing w:after="0"/>
              <w:rPr>
                <w:sz w:val="1"/>
                <w:szCs w:val="1"/>
                <w:color w:val="auto"/>
              </w:rPr>
            </w:pPr>
          </w:p>
        </w:tc>
      </w:tr>
      <w:tr>
        <w:trPr>
          <w:trHeight w:val="228"/>
        </w:trPr>
        <w:tc>
          <w:tcPr>
            <w:tcW w:w="4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40" w:type="dxa"/>
            <w:vAlign w:val="bottom"/>
            <w:gridSpan w:val="8"/>
          </w:tcPr>
          <w:p>
            <w:pPr>
              <w:jc w:val="right"/>
              <w:spacing w:after="0"/>
              <w:rPr>
                <w:sz w:val="20"/>
                <w:szCs w:val="20"/>
                <w:color w:val="auto"/>
              </w:rPr>
            </w:pPr>
            <w:r>
              <w:rPr>
                <w:rFonts w:ascii="Arial" w:cs="Arial" w:eastAsia="Arial" w:hAnsi="Arial"/>
                <w:sz w:val="18"/>
                <w:szCs w:val="18"/>
                <w:b w:val="1"/>
                <w:bCs w:val="1"/>
                <w:color w:val="auto"/>
                <w:w w:val="96"/>
              </w:rPr>
              <w:t>(000’s Omitted, Except Per Share Data)</w:t>
            </w:r>
          </w:p>
        </w:tc>
        <w:tc>
          <w:tcPr>
            <w:tcW w:w="0" w:type="dxa"/>
            <w:vAlign w:val="bottom"/>
          </w:tcPr>
          <w:p>
            <w:pPr>
              <w:spacing w:after="0"/>
              <w:rPr>
                <w:sz w:val="1"/>
                <w:szCs w:val="1"/>
                <w:color w:val="auto"/>
              </w:rPr>
            </w:pPr>
          </w:p>
        </w:tc>
      </w:tr>
      <w:tr>
        <w:trPr>
          <w:trHeight w:val="435"/>
        </w:trPr>
        <w:tc>
          <w:tcPr>
            <w:tcW w:w="4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6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Shares of</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4"/>
        </w:trPr>
        <w:tc>
          <w:tcPr>
            <w:tcW w:w="486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Common</w:t>
            </w:r>
          </w:p>
        </w:tc>
        <w:tc>
          <w:tcPr>
            <w:tcW w:w="160" w:type="dxa"/>
            <w:vAlign w:val="bottom"/>
          </w:tcPr>
          <w:p>
            <w:pPr>
              <w:spacing w:after="0"/>
              <w:rPr>
                <w:sz w:val="19"/>
                <w:szCs w:val="19"/>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w w:val="92"/>
              </w:rPr>
              <w:t>Treasury</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Retained</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Comprehensive</w:t>
            </w:r>
          </w:p>
        </w:tc>
        <w:tc>
          <w:tcPr>
            <w:tcW w:w="1060" w:type="dxa"/>
            <w:vAlign w:val="bottom"/>
            <w:gridSpan w:val="3"/>
          </w:tcPr>
          <w:p>
            <w:pPr>
              <w:spacing w:after="0"/>
              <w:rPr>
                <w:sz w:val="20"/>
                <w:szCs w:val="20"/>
                <w:color w:val="auto"/>
              </w:rPr>
            </w:pPr>
            <w:r>
              <w:rPr>
                <w:rFonts w:ascii="Arial" w:cs="Arial" w:eastAsia="Arial" w:hAnsi="Arial"/>
                <w:sz w:val="18"/>
                <w:szCs w:val="18"/>
                <w:color w:val="auto"/>
                <w:w w:val="96"/>
              </w:rPr>
              <w:t>Stockholders'</w:t>
            </w:r>
          </w:p>
        </w:tc>
        <w:tc>
          <w:tcPr>
            <w:tcW w:w="0" w:type="dxa"/>
            <w:vAlign w:val="bottom"/>
          </w:tcPr>
          <w:p>
            <w:pPr>
              <w:spacing w:after="0"/>
              <w:rPr>
                <w:sz w:val="1"/>
                <w:szCs w:val="1"/>
                <w:color w:val="auto"/>
              </w:rPr>
            </w:pPr>
          </w:p>
        </w:tc>
      </w:tr>
      <w:tr>
        <w:trPr>
          <w:trHeight w:val="224"/>
        </w:trPr>
        <w:tc>
          <w:tcPr>
            <w:tcW w:w="48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3"/>
              </w:rPr>
              <w:t>Stock</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7"/>
              </w:rPr>
              <w:t>Stock</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5"/>
              </w:rPr>
              <w:t>Earnings</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Income (Loss)</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Equity</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 January 1, 2017</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9,241,750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11,947</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(12,267)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127,869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40"/>
              <w:spacing w:after="0"/>
              <w:rPr>
                <w:sz w:val="20"/>
                <w:szCs w:val="20"/>
                <w:color w:val="auto"/>
              </w:rPr>
            </w:pPr>
            <w:r>
              <w:rPr>
                <w:rFonts w:ascii="Arial" w:cs="Arial" w:eastAsia="Arial" w:hAnsi="Arial"/>
                <w:sz w:val="18"/>
                <w:szCs w:val="18"/>
                <w:color w:val="auto"/>
              </w:rPr>
              <w:t>Purchase of treasury stock</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(6,790)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2"/>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of 32,000 shares of restricted stock</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- 1,080)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4"/>
        </w:trPr>
        <w:tc>
          <w:tcPr>
            <w:tcW w:w="486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 $0.50 per share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(4,582)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Balance - December 31, 2017</w:t>
            </w: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9,265,880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(12,160)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136,577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(1,826)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Adoption of ASU 2017-08, cumulative effect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Balance - December 31, 2017, adjusted</w:t>
            </w: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9,265,880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(12,160)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136,547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(1,826)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(829)</w:t>
            </w: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Adoption of ASU 2018-02</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40"/>
              <w:spacing w:after="0"/>
              <w:rPr>
                <w:sz w:val="20"/>
                <w:szCs w:val="20"/>
                <w:color w:val="auto"/>
              </w:rPr>
            </w:pPr>
            <w:r>
              <w:rPr>
                <w:rFonts w:ascii="Arial" w:cs="Arial" w:eastAsia="Arial" w:hAnsi="Arial"/>
                <w:sz w:val="18"/>
                <w:szCs w:val="18"/>
                <w:color w:val="auto"/>
              </w:rPr>
              <w:t>Purchase of treasury stock</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(10,999)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2"/>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of 33,000 shares of restricted stock</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- 2,620)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4"/>
        </w:trPr>
        <w:tc>
          <w:tcPr>
            <w:tcW w:w="486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 $0.56 per share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(5,142)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Balance - December 31, 2018</w:t>
            </w: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9,285,261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(12,409)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147,887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(3,014)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40"/>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Issuance of 1,830,000 shares of common stock in acquisition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40"/>
              <w:spacing w:after="0"/>
              <w:rPr>
                <w:sz w:val="20"/>
                <w:szCs w:val="20"/>
                <w:color w:val="auto"/>
              </w:rPr>
            </w:pPr>
            <w:r>
              <w:rPr>
                <w:rFonts w:ascii="Arial" w:cs="Arial" w:eastAsia="Arial" w:hAnsi="Arial"/>
                <w:sz w:val="18"/>
                <w:szCs w:val="18"/>
                <w:color w:val="auto"/>
              </w:rPr>
              <w:t>Purchase of treasury stock</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(13,206)</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2"/>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of 38,100 shares of restricted stock</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- 3,220)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 $0.61 per share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(6,734)</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Balance - December 31, 2019</w:t>
            </w: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11,136,935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81,535</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(12,456)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160,081</w:t>
            </w:r>
          </w:p>
        </w:tc>
        <w:tc>
          <w:tcPr>
            <w:tcW w:w="22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230,258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10160</wp:posOffset>
            </wp:positionV>
            <wp:extent cx="2291080" cy="133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91080" cy="13398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8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40" w:type="dxa"/>
            <w:vAlign w:val="bottom"/>
            <w:gridSpan w:val="8"/>
          </w:tcPr>
          <w:p>
            <w:pPr>
              <w:jc w:val="right"/>
              <w:ind w:right="20"/>
              <w:spacing w:after="0"/>
              <w:rPr>
                <w:sz w:val="20"/>
                <w:szCs w:val="20"/>
                <w:color w:val="auto"/>
              </w:rPr>
            </w:pPr>
            <w:r>
              <w:rPr>
                <w:rFonts w:ascii="Arial" w:cs="Arial" w:eastAsia="Arial" w:hAnsi="Arial"/>
                <w:sz w:val="18"/>
                <w:szCs w:val="18"/>
                <w:b w:val="1"/>
                <w:bCs w:val="1"/>
                <w:color w:val="auto"/>
                <w:w w:val="87"/>
              </w:rPr>
              <w:t>Consolidated Statements of Cash Flows</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80" w:type="dxa"/>
            <w:vAlign w:val="bottom"/>
            <w:gridSpan w:val="11"/>
          </w:tcPr>
          <w:p>
            <w:pPr>
              <w:jc w:val="right"/>
              <w:ind w:right="20"/>
              <w:spacing w:after="0" w:line="184" w:lineRule="exact"/>
              <w:rPr>
                <w:sz w:val="20"/>
                <w:szCs w:val="20"/>
                <w:color w:val="auto"/>
              </w:rPr>
            </w:pPr>
            <w:r>
              <w:rPr>
                <w:rFonts w:ascii="Arial" w:cs="Arial" w:eastAsia="Arial" w:hAnsi="Arial"/>
                <w:sz w:val="18"/>
                <w:szCs w:val="18"/>
                <w:b w:val="1"/>
                <w:bCs w:val="1"/>
                <w:color w:val="auto"/>
              </w:rPr>
              <w:t>Years Ended December 31, 2019, 2018 and 2017</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3"/>
              </w:rPr>
              <w:t>(000’s Omitted)</w:t>
            </w:r>
          </w:p>
        </w:tc>
        <w:tc>
          <w:tcPr>
            <w:tcW w:w="0" w:type="dxa"/>
            <w:vAlign w:val="bottom"/>
          </w:tcPr>
          <w:p>
            <w:pPr>
              <w:spacing w:after="0"/>
              <w:rPr>
                <w:sz w:val="1"/>
                <w:szCs w:val="1"/>
                <w:color w:val="auto"/>
              </w:rPr>
            </w:pPr>
          </w:p>
        </w:tc>
      </w:tr>
      <w:tr>
        <w:trPr>
          <w:trHeight w:val="290"/>
        </w:trPr>
        <w:tc>
          <w:tcPr>
            <w:tcW w:w="4840" w:type="dxa"/>
            <w:vAlign w:val="bottom"/>
            <w:tcBorders>
              <w:bottom w:val="single" w:sz="8" w:color="CFF0FC"/>
            </w:tcBorders>
          </w:tcPr>
          <w:p>
            <w:pPr>
              <w:spacing w:after="0"/>
              <w:rPr>
                <w:sz w:val="24"/>
                <w:szCs w:val="24"/>
                <w:color w:val="auto"/>
              </w:rPr>
            </w:pPr>
          </w:p>
        </w:tc>
        <w:tc>
          <w:tcPr>
            <w:tcW w:w="19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22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18,402</w:t>
            </w:r>
          </w:p>
        </w:tc>
        <w:tc>
          <w:tcPr>
            <w:tcW w:w="180" w:type="dxa"/>
            <w:vAlign w:val="bottom"/>
          </w:tcPr>
          <w:p>
            <w:pPr>
              <w:spacing w:after="0"/>
              <w:rPr>
                <w:sz w:val="19"/>
                <w:szCs w:val="19"/>
                <w:color w:val="auto"/>
              </w:rPr>
            </w:pPr>
          </w:p>
        </w:tc>
        <w:tc>
          <w:tcPr>
            <w:tcW w:w="40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14,949</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12,720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w:t>
            </w:r>
          </w:p>
        </w:tc>
        <w:tc>
          <w:tcPr>
            <w:tcW w:w="1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operating activities:</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Depreciation</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available-for-sale securities, net</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Net amortization (accretion) of fair value adjustments</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Originations of loans held for sale</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(73,562)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(51,807)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59,520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other assets owned</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(Gain) loss on sales of available-for-sale securities</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Change in other assets and other liabilities, net</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(7,828)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23,931</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10,737</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Activity in available-for-sale securities:</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Maturities, prepayments and calls</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67,071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240"/>
              <w:spacing w:after="0"/>
              <w:rPr>
                <w:sz w:val="20"/>
                <w:szCs w:val="20"/>
                <w:color w:val="auto"/>
              </w:rPr>
            </w:pPr>
            <w:r>
              <w:rPr>
                <w:rFonts w:ascii="Arial" w:cs="Arial" w:eastAsia="Arial" w:hAnsi="Arial"/>
                <w:sz w:val="18"/>
                <w:szCs w:val="18"/>
                <w:color w:val="auto"/>
              </w:rPr>
              <w:t>Sales</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(110,166)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(13,866)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Activity in other securities, at cost:</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Sales</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120"/>
              <w:spacing w:after="0"/>
              <w:rPr>
                <w:sz w:val="20"/>
                <w:szCs w:val="20"/>
                <w:color w:val="auto"/>
              </w:rPr>
            </w:pPr>
            <w:r>
              <w:rPr>
                <w:rFonts w:ascii="Arial" w:cs="Arial" w:eastAsia="Arial" w:hAnsi="Arial"/>
                <w:sz w:val="18"/>
                <w:szCs w:val="18"/>
                <w:color w:val="auto"/>
              </w:rPr>
              <w:t>Purchases</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Change in interest-bearing time deposits</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Proceeds from sales of other assets owned</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premises and equipment</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(3,510)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(112,212)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(21,926)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(65,611)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Limberlost, net of cash received</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(2,089)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(149,316)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(48,173)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Net change in deposits</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153,088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federal funds purchased and</w:t>
            </w:r>
          </w:p>
        </w:tc>
        <w:tc>
          <w:tcPr>
            <w:tcW w:w="1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 sold under agreements to repurchase</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(30,829)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Repayment of FHLB advances</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(23,938)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Purchase of Treasury stock</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Cash dividends paid on common stock</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1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vMerge w:val="continue"/>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138,316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(8,310)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9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19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38,365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4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194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940" w:type="dxa"/>
            <w:vAlign w:val="bottom"/>
            <w:vMerge w:val="restart"/>
          </w:tcPr>
          <w:p>
            <w:pPr>
              <w:jc w:val="right"/>
              <w:ind w:right="892"/>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8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8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2"/>
        </w:trPr>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8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paid during the year for:</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80" w:type="dxa"/>
            <w:vAlign w:val="bottom"/>
          </w:tcPr>
          <w:p>
            <w:pPr>
              <w:spacing w:after="0"/>
              <w:rPr>
                <w:sz w:val="20"/>
                <w:szCs w:val="20"/>
                <w:color w:val="auto"/>
              </w:rPr>
            </w:pPr>
            <w:r>
              <w:rPr>
                <w:rFonts w:ascii="Arial" w:cs="Arial" w:eastAsia="Arial" w:hAnsi="Arial"/>
                <w:sz w:val="18"/>
                <w:szCs w:val="18"/>
                <w:color w:val="auto"/>
              </w:rPr>
              <w:t>Interest</w:t>
            </w:r>
          </w:p>
        </w:tc>
        <w:tc>
          <w:tcPr>
            <w:tcW w:w="280" w:type="dxa"/>
            <w:vAlign w:val="bottom"/>
            <w:gridSpan w:val="2"/>
          </w:tcPr>
          <w:p>
            <w:pPr>
              <w:jc w:val="right"/>
              <w:ind w:right="103"/>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13,540</w:t>
            </w:r>
          </w:p>
        </w:tc>
        <w:tc>
          <w:tcPr>
            <w:tcW w:w="580" w:type="dxa"/>
            <w:vAlign w:val="bottom"/>
            <w:gridSpan w:val="2"/>
          </w:tcPr>
          <w:p>
            <w:pPr>
              <w:jc w:val="right"/>
              <w:ind w:right="103"/>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6,472</w:t>
            </w:r>
          </w:p>
        </w:tc>
        <w:tc>
          <w:tcPr>
            <w:tcW w:w="600" w:type="dxa"/>
            <w:vAlign w:val="bottom"/>
            <w:gridSpan w:val="2"/>
          </w:tcPr>
          <w:p>
            <w:pPr>
              <w:jc w:val="right"/>
              <w:ind w:right="123"/>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5,064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780" w:type="dxa"/>
            <w:vAlign w:val="bottom"/>
            <w:tcBorders>
              <w:top w:val="single" w:sz="8" w:color="CFF0FC"/>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Income taxes</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b w:val="1"/>
                <w:bCs w:val="1"/>
                <w:color w:val="auto"/>
              </w:rPr>
              <w:t>3,845</w:t>
            </w:r>
          </w:p>
        </w:tc>
        <w:tc>
          <w:tcPr>
            <w:tcW w:w="3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b w:val="1"/>
                <w:bCs w:val="1"/>
                <w:color w:val="auto"/>
              </w:rPr>
              <w:t>3,107</w:t>
            </w:r>
          </w:p>
        </w:tc>
        <w:tc>
          <w:tcPr>
            <w:tcW w:w="32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b w:val="1"/>
                <w:bCs w:val="1"/>
                <w:color w:val="auto"/>
              </w:rPr>
              <w:t>5,102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Noncash investing activities:</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Transfer of loans to other real estate owned</w:t>
            </w:r>
          </w:p>
        </w:tc>
        <w:tc>
          <w:tcPr>
            <w:tcW w:w="280" w:type="dxa"/>
            <w:vAlign w:val="bottom"/>
            <w:gridSpan w:val="2"/>
            <w:shd w:val="clear" w:color="auto" w:fill="CFF0FC"/>
          </w:tcPr>
          <w:p>
            <w:pPr>
              <w:jc w:val="right"/>
              <w:ind w:right="103"/>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287</w:t>
            </w:r>
          </w:p>
        </w:tc>
        <w:tc>
          <w:tcPr>
            <w:tcW w:w="580" w:type="dxa"/>
            <w:vAlign w:val="bottom"/>
            <w:gridSpan w:val="2"/>
            <w:shd w:val="clear" w:color="auto" w:fill="CFF0FC"/>
          </w:tcPr>
          <w:p>
            <w:pPr>
              <w:jc w:val="right"/>
              <w:ind w:right="103"/>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w:t>
            </w:r>
          </w:p>
        </w:tc>
        <w:tc>
          <w:tcPr>
            <w:tcW w:w="600" w:type="dxa"/>
            <w:vAlign w:val="bottom"/>
            <w:gridSpan w:val="2"/>
            <w:shd w:val="clear" w:color="auto" w:fill="CFF0FC"/>
          </w:tcPr>
          <w:p>
            <w:pPr>
              <w:jc w:val="right"/>
              <w:ind w:right="123"/>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6"/>
              </w:rPr>
              <w:t>The Company purchased all of the capital stock of Limberlost for $78,902 on January 1,</w:t>
            </w: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2019. In conjunction with the acquisition, liabilities were assumed as follows: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of assets acquired</w:t>
            </w:r>
          </w:p>
        </w:tc>
        <w:tc>
          <w:tcPr>
            <w:tcW w:w="280" w:type="dxa"/>
            <w:vAlign w:val="bottom"/>
            <w:gridSpan w:val="2"/>
            <w:shd w:val="clear" w:color="auto" w:fill="CFF0FC"/>
          </w:tcPr>
          <w:p>
            <w:pPr>
              <w:jc w:val="right"/>
              <w:ind w:right="10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80" w:type="dxa"/>
            <w:vAlign w:val="bottom"/>
          </w:tcPr>
          <w:p>
            <w:pPr>
              <w:ind w:left="240"/>
              <w:spacing w:after="0"/>
              <w:rPr>
                <w:sz w:val="20"/>
                <w:szCs w:val="20"/>
                <w:color w:val="auto"/>
              </w:rPr>
            </w:pPr>
            <w:r>
              <w:rPr>
                <w:rFonts w:ascii="Arial" w:cs="Arial" w:eastAsia="Arial" w:hAnsi="Arial"/>
                <w:sz w:val="18"/>
                <w:szCs w:val="18"/>
                <w:color w:val="auto"/>
              </w:rPr>
              <w:t>Less: common stock issued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70,437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the capital stock</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80" w:type="dxa"/>
            <w:vAlign w:val="bottom"/>
          </w:tcPr>
          <w:p>
            <w:pPr>
              <w:ind w:left="240"/>
              <w:spacing w:after="0"/>
              <w:rPr>
                <w:sz w:val="20"/>
                <w:szCs w:val="20"/>
                <w:color w:val="auto"/>
              </w:rPr>
            </w:pPr>
            <w:r>
              <w:rPr>
                <w:rFonts w:ascii="Arial" w:cs="Arial" w:eastAsia="Arial" w:hAnsi="Arial"/>
                <w:sz w:val="18"/>
                <w:szCs w:val="18"/>
                <w:color w:val="auto"/>
              </w:rPr>
              <w:t>Liabilities assumed</w:t>
            </w:r>
          </w:p>
        </w:tc>
        <w:tc>
          <w:tcPr>
            <w:tcW w:w="28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Nature of Operations</w:t>
      </w:r>
    </w:p>
    <w:p>
      <w:pPr>
        <w:spacing w:after="0" w:line="115"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The Farmers &amp; Merchants Bancorp, Inc. (the Company) through its bank subsidiary, The Farmers &amp; Merchants State Bank (the Bank) provides a variety of financial services to individuals and small businesses through its offices in Northwest Ohio and Northeast Indiana.</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Consolidation Policy</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consolidated financial statements include the accounts of Farmers &amp; Merchants Bancorp, Inc. and its wholly-owned subsidiaries, The Farmers &amp; Merchants State Bank (the Bank), a commercial banking institution and Farmers &amp; Merchants Risk Management, Inc. (the Captive), a Captive insurance company. All significant inter-company balances and transactions have been eliminated.</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Use of Estimates</w:t>
      </w:r>
    </w:p>
    <w:p>
      <w:pPr>
        <w:spacing w:after="0" w:line="115"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Material estimates that are particularly susceptible to significant change in the near term relate to the determination of the allowance for loan losses and the valuation of mortgage servicing rights. Actual results could differ from those estimates.</w:t>
      </w:r>
    </w:p>
    <w:p>
      <w:pPr>
        <w:spacing w:after="0" w:line="59"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w:t>
      </w:r>
    </w:p>
    <w:p>
      <w:pPr>
        <w:spacing w:after="0" w:line="83"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Bank’s loans are generally secured by specific items of collateral including real property, consumer assets, and business assets. Although the Bank has a diversified loan portfolio, a substantial portion of its debtors’ ability to honor their contracts is dependent on local economic conditions in the agricultural industry.</w:t>
      </w:r>
    </w:p>
    <w:p>
      <w:pPr>
        <w:spacing w:after="0" w:line="83"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While management uses available information to recognize losses on loans, further reductions in the carrying amounts of loans may be necessary based on changes in local economic conditions.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Cash and Cash Equivalents</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For purposes of the consolidated statement of cash flows, the Company considers all highly liquid debt instruments purchased with an original maturity of three months or less to be cash equivalents. This includes cash on hand, amounts due from banks, and federal funds sold. Generally, federal funds sold are outstanding for one day periods.</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Restrictions on Cash and Amounts Due from Banks</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Bank is required to maintain average balances on hand with the Federal Reserve Bank. The aggregate reserve was $22.5 million for December 31, 2019 and it was $12.6 million for December 31, 2018. The Company and its subsidiaries maintain cash balances with high quality credit institutions. At times such balances may be in excess of the federally insured limits.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Securities</w:t>
      </w:r>
    </w:p>
    <w:p>
      <w:pPr>
        <w:spacing w:after="0" w:line="115"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Debt securities are classified as available-for-sale. Securities available-for-sale are carried at fair value with unrealized gains and losses reported in other comprehensive income (loss). Net realized gains and losses on securities available for sale are included in noninterest income and, when applicable, are reported as a reclassification adjustment, net of tax, in other comprehensive income (loss). Gains and losses on sales of securities are determined on the specific-identification method.</w:t>
      </w:r>
    </w:p>
    <w:p>
      <w:pPr>
        <w:spacing w:after="0" w:line="86"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Declines in the fair value of securities below their cost that are deemed to be other than temporary are reflected in earnings as realized losses. In estimating other-than-temporary impairment losses, management considers (1) the length of time and the extent to which the fair value has been less than cost, (2) the financial condition and near-term prospects of the issuer, and (3) the intent and ability of the Company to retain its investment in the issuer for a period of time sufficient to allow for any anticipated recovery in fair value. The related write-downs are included in earnings as realized losses.</w:t>
      </w:r>
    </w:p>
    <w:p>
      <w:pPr>
        <w:spacing w:after="0" w:line="29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Other Securities</w:t>
      </w:r>
    </w:p>
    <w:p>
      <w:pPr>
        <w:spacing w:after="0" w:line="115"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Other Securities consist of stock in the Federal Home Loan Banks of Cincinnati and Indianapolis (the “FHLBs”), which is held to enable the Bank to conduct business with the entities. The FHLBs sell and purchase their stock at par. The FHLBs stock is carried at cost and held as collateral security for all indebtedness of the Bank to the Federal Home Loan Bank. The FHLBs stock is evaluated for impairment as conditions warrant.</w:t>
      </w:r>
    </w:p>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Loans</w:t>
      </w:r>
    </w:p>
    <w:p>
      <w:pPr>
        <w:spacing w:after="0" w:line="115"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Loans that management has the intent and ability to hold for the foreseeable future or until maturity or pay-off are reported at the amount of unpaid principal, reduced by unearned discounts, unamortized premiums or discounts on purchased loans, and deferred loan fees and costs, as well as, by the allowance for loan losses. Interest income is accrued on a daily basis based on the principal outstanding.</w:t>
      </w:r>
    </w:p>
    <w:p>
      <w:pPr>
        <w:spacing w:after="0" w:line="50"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Generally, a loan is classified as nonaccrual and the accrual of interest income is generally discontinued when a loan becomes ninety days past due as to principal or interest and these loans are placed on a “cash basis” for purposes of income recognition. Management may elect to continue the accrual of interest when the estimated net realizable value of collateral is sufficient to cover the principal and accrued interest, and the loan is in the process of collection. When a loan is placed on nonaccrual status, all previously accrued and unpaid interest receivable is charged against income.</w:t>
      </w:r>
    </w:p>
    <w:p>
      <w:pPr>
        <w:spacing w:after="0" w:line="56"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Loan origination and commitment fees and certain direct loan origination costs are deferred and amortized as a net adjustment to the related loan’s yield. The Bank is generally amortizing these costs over the contractual life of such loans.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Allowance for Loan Losses</w:t>
      </w:r>
    </w:p>
    <w:p>
      <w:pPr>
        <w:spacing w:after="0" w:line="115"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The allowance for loan losses is established through a provision for loan losses charged to income. Loans deemed to be uncollectable and changes in the allowance relating to loans are charged against the allowance for loan losses, and subsequent recoveries, if any, are credited to the allowance.</w:t>
      </w:r>
    </w:p>
    <w:p>
      <w:pPr>
        <w:spacing w:after="0" w:line="30"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experiences, the nature and volume of the loan portfolio, adverse situations that may affect the borrower’s ability to repay, estimated value of any underlying collateral, and prevailing economic conditions. This evaluation is inherently subjective, as it requires estimates that are subject to revision as more information becomes available.</w:t>
      </w:r>
    </w:p>
    <w:p>
      <w:pPr>
        <w:spacing w:after="0" w:line="86"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The allowance consists of specific, general and unallocated components. The specific component relates to loans that are classified as doubtful, substandard or special mention. For such loans that are also classified as impaired, 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allowance is established when the discounted cash flows (or collateral value) of the impaired loan is lower than the carrying value of that loan. The general component covers non-classified loans and is based on historical loss experience adjusted for qualitative factors. The unallocated component is maintained to cover uncertainties that could affect management’s estimate of probable losses.</w:t>
      </w:r>
    </w:p>
    <w:p>
      <w:pPr>
        <w:spacing w:after="0" w:line="83" w:lineRule="exact"/>
        <w:rPr>
          <w:sz w:val="20"/>
          <w:szCs w:val="20"/>
          <w:color w:val="auto"/>
        </w:rPr>
      </w:pPr>
    </w:p>
    <w:p>
      <w:pPr>
        <w:jc w:val="both"/>
        <w:ind w:left="820"/>
        <w:spacing w:after="0" w:line="282" w:lineRule="auto"/>
        <w:rPr>
          <w:sz w:val="20"/>
          <w:szCs w:val="20"/>
          <w:color w:val="auto"/>
        </w:rPr>
      </w:pPr>
      <w:r>
        <w:rPr>
          <w:rFonts w:ascii="Arial" w:cs="Arial" w:eastAsia="Arial" w:hAnsi="Arial"/>
          <w:sz w:val="16"/>
          <w:szCs w:val="16"/>
          <w:color w:val="auto"/>
        </w:rPr>
        <w:t>A loan is considered impaired when, based on current information and events, it is probable that the Bank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length of the delay, the reasons for the delay, the borrower's prior payment record, and the amount of the shortfall in relation to the principal and interest owed. Impairment is measured on a loan by loan basis for commercial and agricultural loans by either the present value of expected future cash flows discounted at the loan's effective interest rate or the fair value of the collateral if the loan is collateral dependent.</w:t>
      </w:r>
    </w:p>
    <w:p>
      <w:pPr>
        <w:spacing w:after="0" w:line="61"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83"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89"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Large groups of homogeneous loans are collectively evaluated for impairment. Accordingly, the Bank does not separately identify individual consumer loans for impairment, unless such loans are the subject of a restructuring agreement due to financial difficulties of the borrower.</w:t>
      </w:r>
    </w:p>
    <w:p>
      <w:pPr>
        <w:spacing w:after="0" w:line="30"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For more information regarding the actual composition and classification of loans involved in the establishment of the allowance for loan loss, please see Note 4 provided here with the notes to consolidated financial statements.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Loans Held for Sale</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Loans originated and intended for sale in the secondary market are carried at the lower of cost or estimated fair value in the aggregate. Net unrealized losses, if any, are recognized in a valuation allowance by charges to income.</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Servicing Assets</w:t>
      </w:r>
    </w:p>
    <w:p>
      <w:pPr>
        <w:spacing w:after="0" w:line="115" w:lineRule="exact"/>
        <w:rPr>
          <w:sz w:val="20"/>
          <w:szCs w:val="20"/>
          <w:color w:val="auto"/>
        </w:rPr>
      </w:pPr>
    </w:p>
    <w:p>
      <w:pPr>
        <w:jc w:val="both"/>
        <w:ind w:left="820"/>
        <w:spacing w:after="0" w:line="282" w:lineRule="auto"/>
        <w:rPr>
          <w:sz w:val="20"/>
          <w:szCs w:val="20"/>
          <w:color w:val="auto"/>
        </w:rPr>
      </w:pPr>
      <w:r>
        <w:rPr>
          <w:rFonts w:ascii="Arial" w:cs="Arial" w:eastAsia="Arial" w:hAnsi="Arial"/>
          <w:sz w:val="16"/>
          <w:szCs w:val="16"/>
          <w:color w:val="auto"/>
        </w:rPr>
        <w:t>Servicing assets are recognized as separate assets when rights are acquired through purchase or sale of financial assets. Capitalized servicing rights are amortized into noninterest expense in proportion to, and over the period of, the estimated future net servicing income of the underlying financial assets. Servicing assets are evaluated for impairment based upon the fair value of the rights as compared to amortized cost. Impairment is determined by stratifying rights by predominant characteristics, such as interest rates and terms. Fair value is determined using prices for similar assets with similar characteristics, when available, or based upon discounted cash flows using market based assumptions. Impairment is recognized through a valuation allowance for an individual stratum, to the extent that fair value is less than the capitalized amount for the stratum. Fees received for servicing loans owned by investors are based on a percentage of the outstanding monthly principal balance of such loans and are included in operating income as loan payments are received. Costs of servicing loans are charged to expense as incurred.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15" w:lineRule="exact"/>
        <w:rPr>
          <w:sz w:val="20"/>
          <w:szCs w:val="20"/>
          <w:color w:val="auto"/>
        </w:rPr>
      </w:pPr>
    </w:p>
    <w:p>
      <w:pPr>
        <w:jc w:val="both"/>
        <w:ind w:left="820"/>
        <w:spacing w:after="0" w:line="279" w:lineRule="auto"/>
        <w:rPr>
          <w:sz w:val="20"/>
          <w:szCs w:val="20"/>
          <w:color w:val="auto"/>
        </w:rPr>
      </w:pPr>
      <w:r>
        <w:rPr>
          <w:rFonts w:ascii="Arial" w:cs="Arial" w:eastAsia="Arial" w:hAnsi="Arial"/>
          <w:sz w:val="16"/>
          <w:szCs w:val="16"/>
          <w:color w:val="auto"/>
        </w:rPr>
        <w:t>Goodwill results from business acquisitions and represents the excess of the purchase price over the fair value of acquired tangible assets and liabilities and identifiable intangible assets. Goodwill is assessed at least annually. If possible impairment is likely, the Bank will utilize the assistance of an independent third party for impairment and any such impairment is recognized in the period identified. Periodically the Bank will have an independent third party assess the possibility of impairment of Goodwill. Such an assessment was performed as of September 30, 2017. The goodwill impairment analysis consisted of a first step goodwill impairment test which was used to identify potential impairment by comparing the fair value of the relevant reporting unity with its carrying value, including goodwill. The analysis was performed under guidance of FASB ASC 350. The engagement would have expanded to the second step goodwill impairment valuation if necessary; however, the findings showed the second step was not warranted. The analysis confirmed no impairment was likely. In quantitative testing done in 2019, the excess fair value of capital was $75.7 million or 37.0% over the carrying value and was over one and a half times the value of the goodwill being carried Therefore, the Bank concluded it is unlikely impairment of Goodwill has occurred from the goodwill established from the Bank’s acquisition of Knisely which occurred on December 31, 2007, and the acquisition of Bank of Geneva which occurred on January 1, 2019.</w:t>
      </w:r>
    </w:p>
    <w:p>
      <w:pPr>
        <w:spacing w:after="0" w:line="70"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Other intangible assets consist of core deposit intangible assets arising from business acquisitions. They are initially measured at fair value and then are amortized on a straight line method over their estimated useful lives and evaluated for impairment. These assets are included in other assets on the consolidated balance sheets.</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Off Balance Sheet Instruments</w:t>
      </w:r>
    </w:p>
    <w:p>
      <w:pPr>
        <w:spacing w:after="0" w:line="115"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In the ordinary course of business, the Bank has entered into commitments to extend credit, including commitments under credit card arrangements, commercial letters of credit and standby letters of credit. Such financial instruments are recorded when they are funded.</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Foreclosed Real Estate</w:t>
      </w:r>
    </w:p>
    <w:p>
      <w:pPr>
        <w:spacing w:after="0" w:line="115" w:lineRule="exact"/>
        <w:rPr>
          <w:sz w:val="20"/>
          <w:szCs w:val="20"/>
          <w:color w:val="auto"/>
        </w:rPr>
      </w:pPr>
    </w:p>
    <w:p>
      <w:pPr>
        <w:jc w:val="both"/>
        <w:ind w:left="820"/>
        <w:spacing w:after="0" w:line="284" w:lineRule="auto"/>
        <w:rPr>
          <w:sz w:val="20"/>
          <w:szCs w:val="20"/>
          <w:color w:val="auto"/>
        </w:rPr>
      </w:pPr>
      <w:r>
        <w:rPr>
          <w:rFonts w:ascii="Arial" w:cs="Arial" w:eastAsia="Arial" w:hAnsi="Arial"/>
          <w:sz w:val="16"/>
          <w:szCs w:val="16"/>
          <w:color w:val="auto"/>
        </w:rPr>
        <w:t>Foreclosed real estate held for sale is carried at the lower of fair value minus estimated costs to sell, or cost. Costs of holding foreclosed real estate are charged to expense in the current period, except for significant property improvements, which are capitalized. Valuations are periodically performed by management and an allowance is established by a charge to non-interest expense if the carrying value exceeds the fair value minus the estimated costs to sell. Foreclosed real estate is classified as other real estate owned. The net loss from operations of foreclosed real estate held for sale is reported in non-interest expense. At December 31, the Bank’s holding of other real estate owned totaled $214 thousand and $600 thousand for 2019 and 2018, respectively.</w:t>
      </w:r>
    </w:p>
    <w:p>
      <w:pPr>
        <w:spacing w:after="0" w:line="26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Bank Premises and Equipment</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Land is carried at cost. Bank premises and equipment are stated at cost less accumulated depreciation. Depreciation is based on the estimated useful lives of the various properties and is computed using straight line and accelerated methods. Costs for maintenance and repairs are charged to operations as incurred. Gains and losses on dispositions are included in current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Revenue Recognition</w:t>
      </w:r>
    </w:p>
    <w:p>
      <w:pPr>
        <w:spacing w:after="0" w:line="115" w:lineRule="exact"/>
        <w:rPr>
          <w:sz w:val="20"/>
          <w:szCs w:val="20"/>
          <w:color w:val="auto"/>
        </w:rPr>
      </w:pPr>
    </w:p>
    <w:p>
      <w:pPr>
        <w:jc w:val="both"/>
        <w:ind w:left="820"/>
        <w:spacing w:after="0" w:line="284" w:lineRule="auto"/>
        <w:rPr>
          <w:sz w:val="20"/>
          <w:szCs w:val="20"/>
          <w:color w:val="auto"/>
        </w:rPr>
      </w:pPr>
      <w:r>
        <w:rPr>
          <w:rFonts w:ascii="Arial" w:cs="Arial" w:eastAsia="Arial" w:hAnsi="Arial"/>
          <w:sz w:val="16"/>
          <w:szCs w:val="16"/>
          <w:color w:val="auto"/>
        </w:rPr>
        <w:t>Accounting Standards Codification 606, “Revenue from Contracts with Customer” (ASC 606) provides that an entity should recognize revenue to depict the transfer of promised goods or services to customers in an amount that reflects the consideration to which the entity expects to be entitled in exchange for those goods or services. Revenue generated from financial instruments, including loans and investment securities, are not included within the scope of ASC 606. The adoption of ASC 606 did not result in a change to the accounting for any of the Company’s revenue streams that are within scope of the amendments. Revenue-generating activities that are within the scope of ASC 606 that are presented as non-interest income in the Company’s consolidated statements of income include:</w:t>
      </w:r>
    </w:p>
    <w:p>
      <w:pPr>
        <w:spacing w:after="0" w:line="63" w:lineRule="exact"/>
        <w:rPr>
          <w:sz w:val="20"/>
          <w:szCs w:val="20"/>
          <w:color w:val="auto"/>
        </w:rPr>
      </w:pPr>
    </w:p>
    <w:p>
      <w:pPr>
        <w:jc w:val="both"/>
        <w:ind w:left="1620" w:hanging="403"/>
        <w:spacing w:after="0" w:line="243" w:lineRule="auto"/>
        <w:tabs>
          <w:tab w:leader="none" w:pos="162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Customer service fees – these include miscellaneous service fees and transaction-based fees charged for certain services, such as debit card or credit card. Revenue is recognized when the performance obligation is completed, which is generally after a transaction is completed or monthly for account maintenance services.</w:t>
      </w:r>
    </w:p>
    <w:p>
      <w:pPr>
        <w:spacing w:after="0" w:line="92" w:lineRule="exact"/>
        <w:rPr>
          <w:rFonts w:ascii="Courier New" w:cs="Courier New" w:eastAsia="Courier New" w:hAnsi="Courier New"/>
          <w:sz w:val="18"/>
          <w:szCs w:val="18"/>
          <w:color w:val="auto"/>
        </w:rPr>
      </w:pPr>
    </w:p>
    <w:p>
      <w:pPr>
        <w:jc w:val="both"/>
        <w:ind w:left="1620" w:hanging="403"/>
        <w:spacing w:after="0" w:line="244" w:lineRule="auto"/>
        <w:tabs>
          <w:tab w:leader="none" w:pos="162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Other service charges and fees – these include service fees charged for deposit account maintenance and activity along with transaction-based fees charged for certain services, such as overdraft activities, returned check charges and wire transfers. Revenue is recognized when the performance obligation is completed, which is generally after a transaction is completed or monthly for account maintenance services.</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Federal Income Tax</w:t>
      </w:r>
    </w:p>
    <w:p>
      <w:pPr>
        <w:spacing w:after="0" w:line="115"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The Company’s income tax expense consists of the following components: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89" w:lineRule="exact"/>
        <w:rPr>
          <w:sz w:val="20"/>
          <w:szCs w:val="20"/>
          <w:color w:val="auto"/>
        </w:rPr>
      </w:pPr>
    </w:p>
    <w:p>
      <w:pPr>
        <w:jc w:val="both"/>
        <w:ind w:left="820"/>
        <w:spacing w:after="0" w:line="281" w:lineRule="auto"/>
        <w:rPr>
          <w:sz w:val="20"/>
          <w:szCs w:val="20"/>
          <w:color w:val="auto"/>
        </w:rPr>
      </w:pPr>
      <w:r>
        <w:rPr>
          <w:rFonts w:ascii="Arial" w:cs="Arial" w:eastAsia="Arial" w:hAnsi="Arial"/>
          <w:sz w:val="16"/>
          <w:szCs w:val="16"/>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63"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Company recognizes interest and penalties, if any, related to unrecognized tax benefits in tax expense. Based on management’s analysis, the Company did not have any uncertain tax positions as of December 31, 2019 and 2018. With a few exceptions, the Company is no longer subject to U.S. Federal, state or local examinations by tax authorities for years before 2016.</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Earnings Per Share</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Basic earnings per share represent income available to common stockholders divided by the weighted-average number of common shares outstanding during the period. On August 18, 2017, the Company’s Board of Directors authorized a two-for-one stock split payable on September 20, 2017, for shareholders of record on September 5, 2017. See Note 12 for additional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Stock-Based Compensation</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fair value of restricted common stock is their fair market value on the date of grant. The fair value of restricted stock is amortized as compensation expense on a straight-line basis over the vesting period of the grants. Compensation expense recognized is included in salaries and wages in the consolidated statements of income.</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Transfers of Financial Assets</w:t>
      </w:r>
    </w:p>
    <w:p>
      <w:pPr>
        <w:spacing w:after="0" w:line="115"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Transfers of financial assets are accounted for as sales, when control over the assets has been surrendered. Control over transferred assets is deemed to be surrendered when (1) the assets have been isolated from the Corporation – put presumptively beyond the reach of the transferor and its creditors, even in bankruptcy or other receivership, (2) the transferee obtains the right (free of conditions that constrain it from taking advantage of that right) to pledge or exchange the transferred assets and (3) the Corporation does not maintain effective control over the transferred assets through an agreement to repurchase them before their maturity or the ability to unilaterally cause the holder to return specific assets.</w:t>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Treasury Stock</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Common stock shares repurchased are recorded at market value on date of purchase. Restricted shares when awarded are removed from treasury stock using the weighted average method.</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Other Comprehensive Income (Loss)</w:t>
      </w:r>
    </w:p>
    <w:p>
      <w:pPr>
        <w:spacing w:after="0" w:line="115"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Accounting principles generally require that recognized revenue, expenses, gains and losses be included in net income. Certain changes in assets and liabilities, such as unrealized gains and losses on available-for-sale securities, are reported as a separate component of the equity section of the balance sheet. Such items, along with net income, are components of other comprehensive income (loss).</w:t>
      </w:r>
    </w:p>
    <w:p>
      <w:pPr>
        <w:spacing w:after="0" w:line="50"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company adopted ASU 2018-02 on January 1, 2018 and elected to reclassify the income tax effects of the Tax Cuts and Jobs Act from accumulated other comprehensive income (AOCI) to retained earnings. The reclassification increased retained earnings and decreased AOCI by $359 thousand, with zero net effect on total stockholder’s equity.</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components of other comprehensive income (loss) and related tax effects are as follows:</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w w:val="92"/>
              </w:rPr>
              <w:t>(In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w w:val="89"/>
              </w:rPr>
              <w:t>Net unrealized gain (loss) on</w:t>
            </w:r>
          </w:p>
        </w:tc>
        <w:tc>
          <w:tcPr>
            <w:tcW w:w="2280" w:type="dxa"/>
            <w:vAlign w:val="bottom"/>
            <w:tcBorders>
              <w:top w:val="single" w:sz="8" w:color="CFF0FC"/>
            </w:tcBorders>
            <w:shd w:val="clear" w:color="auto" w:fill="CFF0FC"/>
          </w:tcPr>
          <w:p>
            <w:pPr>
              <w:ind w:left="20"/>
              <w:spacing w:after="0" w:line="205" w:lineRule="exact"/>
              <w:rPr>
                <w:sz w:val="20"/>
                <w:szCs w:val="20"/>
                <w:color w:val="auto"/>
              </w:rPr>
            </w:pPr>
            <w:r>
              <w:rPr>
                <w:rFonts w:ascii="Arial" w:cs="Arial" w:eastAsia="Arial" w:hAnsi="Arial"/>
                <w:sz w:val="18"/>
                <w:szCs w:val="18"/>
                <w:color w:val="auto"/>
              </w:rPr>
              <w:t>available-for-sale</w:t>
            </w:r>
          </w:p>
        </w:tc>
        <w:tc>
          <w:tcPr>
            <w:tcW w:w="68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2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5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5,179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(1,058)</w:t>
            </w: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360" w:type="dxa"/>
            <w:vAlign w:val="bottom"/>
            <w:gridSpan w:val="2"/>
          </w:tcPr>
          <w:p>
            <w:pPr>
              <w:spacing w:after="0"/>
              <w:rPr>
                <w:sz w:val="20"/>
                <w:szCs w:val="20"/>
                <w:color w:val="auto"/>
              </w:rPr>
            </w:pPr>
            <w:r>
              <w:rPr>
                <w:rFonts w:ascii="Arial" w:cs="Arial" w:eastAsia="Arial" w:hAnsi="Arial"/>
                <w:sz w:val="18"/>
                <w:szCs w:val="18"/>
                <w:color w:val="auto"/>
              </w:rPr>
              <w:t>Reclassification adjustment for (gain) loss on sale of</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120"/>
              <w:spacing w:after="0"/>
              <w:rPr>
                <w:sz w:val="20"/>
                <w:szCs w:val="20"/>
                <w:color w:val="auto"/>
              </w:rPr>
            </w:pPr>
            <w:r>
              <w:rPr>
                <w:rFonts w:ascii="Arial" w:cs="Arial" w:eastAsia="Arial" w:hAnsi="Arial"/>
                <w:sz w:val="18"/>
                <w:szCs w:val="18"/>
                <w:color w:val="auto"/>
                <w:w w:val="88"/>
              </w:rPr>
              <w:t>available-for-sale securities</w:t>
            </w:r>
          </w:p>
        </w:tc>
        <w:tc>
          <w:tcPr>
            <w:tcW w:w="2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5"/>
        </w:trPr>
        <w:tc>
          <w:tcPr>
            <w:tcW w:w="20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w w:val="89"/>
              </w:rPr>
              <w:t>Net unrealized gain (loss) on</w:t>
            </w:r>
          </w:p>
        </w:tc>
        <w:tc>
          <w:tcPr>
            <w:tcW w:w="2280" w:type="dxa"/>
            <w:vAlign w:val="bottom"/>
            <w:tcBorders>
              <w:top w:val="single" w:sz="8" w:color="CFF0FC"/>
            </w:tcBorders>
            <w:shd w:val="clear" w:color="auto" w:fill="CFF0FC"/>
          </w:tcPr>
          <w:p>
            <w:pPr>
              <w:ind w:left="20"/>
              <w:spacing w:after="0" w:line="205" w:lineRule="exact"/>
              <w:rPr>
                <w:sz w:val="20"/>
                <w:szCs w:val="20"/>
                <w:color w:val="auto"/>
              </w:rPr>
            </w:pPr>
            <w:r>
              <w:rPr>
                <w:rFonts w:ascii="Arial" w:cs="Arial" w:eastAsia="Arial" w:hAnsi="Arial"/>
                <w:sz w:val="18"/>
                <w:szCs w:val="18"/>
                <w:color w:val="auto"/>
              </w:rPr>
              <w:t>available-for-sale</w:t>
            </w:r>
          </w:p>
        </w:tc>
        <w:tc>
          <w:tcPr>
            <w:tcW w:w="68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2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5,205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80" w:type="dxa"/>
            <w:vAlign w:val="bottom"/>
          </w:tcPr>
          <w:p>
            <w:pPr>
              <w:spacing w:after="0"/>
              <w:rPr>
                <w:sz w:val="20"/>
                <w:szCs w:val="20"/>
                <w:color w:val="auto"/>
              </w:rPr>
            </w:pPr>
            <w:r>
              <w:rPr>
                <w:rFonts w:ascii="Arial" w:cs="Arial" w:eastAsia="Arial" w:hAnsi="Arial"/>
                <w:sz w:val="18"/>
                <w:szCs w:val="18"/>
                <w:color w:val="auto"/>
              </w:rPr>
              <w:t>Tax expense (benefit)</w:t>
            </w:r>
          </w:p>
        </w:tc>
        <w:tc>
          <w:tcPr>
            <w:tcW w:w="2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1,093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gridSpan w:val="2"/>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4,112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(829)</w:t>
            </w: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Reclassification</w:t>
      </w:r>
    </w:p>
    <w:p>
      <w:pPr>
        <w:spacing w:after="0" w:line="115"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Certain amounts in the 2018 and 2017 consolidated financial statements have been reclassified to conform with the 2019 presentation. These reclassifications had no effect on net income.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Recent Accounting Pronouncements</w:t>
      </w:r>
    </w:p>
    <w:p>
      <w:pPr>
        <w:spacing w:after="0" w:line="115" w:lineRule="exact"/>
        <w:rPr>
          <w:sz w:val="20"/>
          <w:szCs w:val="20"/>
          <w:color w:val="auto"/>
        </w:rPr>
      </w:pPr>
    </w:p>
    <w:p>
      <w:pPr>
        <w:jc w:val="both"/>
        <w:ind w:left="820"/>
        <w:spacing w:after="0" w:line="27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establishes a right of use model that requires a lessee to record a right of use asset and a lease liability for all leases with terms longer than 12 months. Leases will be classified as either financing or operating, with classification affecting the pattern of expense recognition in the income statement. For lessors, the guidance modifies the classification criteria and the accounting for sales-type and direct financing leases. A lease will be treated as a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has adopted ASU 2016-02 on January 1, 2019 and recorded a right of use asset and a corresponding liability in the amount of $491.7 thousand. This did not have a significant impact on the Company’s financial statements.</w:t>
      </w:r>
    </w:p>
    <w:p>
      <w:pPr>
        <w:spacing w:after="0" w:line="70" w:lineRule="exact"/>
        <w:rPr>
          <w:sz w:val="20"/>
          <w:szCs w:val="20"/>
          <w:color w:val="auto"/>
        </w:rPr>
      </w:pPr>
    </w:p>
    <w:p>
      <w:pPr>
        <w:jc w:val="both"/>
        <w:ind w:left="820"/>
        <w:spacing w:after="0" w:line="280" w:lineRule="auto"/>
        <w:rPr>
          <w:sz w:val="20"/>
          <w:szCs w:val="20"/>
          <w:color w:val="auto"/>
        </w:rPr>
      </w:pPr>
      <w:r>
        <w:rPr>
          <w:rFonts w:ascii="Arial" w:cs="Arial" w:eastAsia="Arial" w:hAnsi="Arial"/>
          <w:sz w:val="16"/>
          <w:szCs w:val="16"/>
          <w:color w:val="auto"/>
        </w:rPr>
        <w:t>In June 2016,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The ASU requires the measurement of all expected credit losses for financial assets held at the reporting date based on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66"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The ASU is effective for SEC filers for fiscal years, and interim periods within those fiscal years, beginning after December 15, 2019 (i.e., January 1, 2020, for calendar year entities). FASB recently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89"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The Company has contracted with an external advisor and has formed a committee to determine the methodology to be used. Most importantly, the Company is gathering as much data as possible to enable review scenarios and determine which calculations will produce the most reliable results. The Company began working with the third party service provider to review parallel reports starting in June 2019. The Company will not adopt ASU 2016-13 in calendar year 2020 and management is currently evaluating when or if they would elect to early adopt ASU 2016-13.</w:t>
      </w:r>
    </w:p>
    <w:p>
      <w:pPr>
        <w:spacing w:after="0" w:line="56" w:lineRule="exact"/>
        <w:rPr>
          <w:sz w:val="20"/>
          <w:szCs w:val="20"/>
          <w:color w:val="auto"/>
        </w:rPr>
      </w:pPr>
    </w:p>
    <w:p>
      <w:pPr>
        <w:jc w:val="both"/>
        <w:ind w:left="820"/>
        <w:spacing w:after="0" w:line="282"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 Simplifying the Test for 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w:t>
      </w:r>
      <w:r>
        <w:rPr>
          <w:rFonts w:ascii="Arial" w:cs="Arial" w:eastAsia="Arial" w:hAnsi="Arial"/>
          <w:sz w:val="16"/>
          <w:szCs w:val="16"/>
          <w:color w:val="auto"/>
        </w:rPr>
        <w:t>These amendments eliminate Step 2 from the goodwill impairment test. The amendments also eliminate the requirements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tests performed on testing dates after January 1, 2017. ASU 2017-04 should be adopted on a prospective basis. The Company does not expect ASU 2017-04 to have a material impact on its financial statements, as goodwill testing has been completed annually without any impairment concerns.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jc w:val="both"/>
        <w:ind w:left="820"/>
        <w:spacing w:after="0" w:line="24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w:t>
      </w:r>
      <w:r>
        <w:rPr>
          <w:rFonts w:ascii="Arial" w:cs="Arial" w:eastAsia="Arial" w:hAnsi="Arial"/>
          <w:sz w:val="18"/>
          <w:szCs w:val="18"/>
          <w:color w:val="auto"/>
        </w:rPr>
        <w:t>t.” ASU 2018-13 modifies the disclosure requirements on fair value measurements in Topic 820.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remove disclosures that no longer are considered cost beneficial, modify/clarify the specific requirements of certain disclosures, and add disclosure requirements identified as relevant. ASU 2018-13 is effective for years beginning after December 15, 2019, with early adoption permitted. The Company is in the process of evaluating and does not expect ASU 2018-13 to have a material impact on its accounting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 2 – Business Combination &amp; Asset Purchase</w:t>
      </w:r>
    </w:p>
    <w:p>
      <w:pPr>
        <w:spacing w:after="0" w:line="326" w:lineRule="exact"/>
        <w:rPr>
          <w:sz w:val="20"/>
          <w:szCs w:val="20"/>
          <w:color w:val="auto"/>
        </w:rPr>
      </w:pPr>
    </w:p>
    <w:p>
      <w:pPr>
        <w:jc w:val="both"/>
        <w:ind w:left="820"/>
        <w:spacing w:after="0" w:line="283" w:lineRule="auto"/>
        <w:rPr>
          <w:sz w:val="20"/>
          <w:szCs w:val="20"/>
          <w:color w:val="auto"/>
        </w:rPr>
      </w:pPr>
      <w:r>
        <w:rPr>
          <w:rFonts w:ascii="Arial" w:cs="Arial" w:eastAsia="Arial" w:hAnsi="Arial"/>
          <w:sz w:val="16"/>
          <w:szCs w:val="16"/>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will have an opportunity to increase its deposit base and reduce transaction costs. The Company also expects to reduce costs through economies of scale.</w:t>
      </w:r>
    </w:p>
    <w:p>
      <w:pPr>
        <w:spacing w:after="0" w:line="167"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In 2018, the Company incurred $742.1 thousand of third-party acquisition-related costs. The largest portion of the expenses recognized in 2018 related to consulting fees of $340 thousand, other general and administration expenses of $331.5 thousand and data processing expenses of $58.6 thousand. These three categories of expense accounted for 98.4% of the total acquisition expenses impacting the 2018 financial statements of the Company.</w:t>
      </w:r>
    </w:p>
    <w:p>
      <w:pPr>
        <w:spacing w:after="0" w:line="191"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In 2019, the Company has incurred additional third-party acquisition-related costs of $1.28 million. These expenses are comprised of data processing of $867.6 thousand, employee benefits of $163.0 thousand, ATM expense of $31.4 thousand, consulting fees of $19.3 thousand and other general and administrative expense of $199.8 thousand in the Company’s consolidated statement of income for the year ended December 31, 2019.</w:t>
      </w:r>
    </w:p>
    <w:p>
      <w:pPr>
        <w:spacing w:after="0" w:line="102" w:lineRule="exact"/>
        <w:rPr>
          <w:sz w:val="20"/>
          <w:szCs w:val="20"/>
          <w:color w:val="auto"/>
        </w:rPr>
      </w:pPr>
    </w:p>
    <w:p>
      <w:pPr>
        <w:jc w:val="both"/>
        <w:ind w:left="820"/>
        <w:spacing w:after="0" w:line="284" w:lineRule="auto"/>
        <w:rPr>
          <w:sz w:val="20"/>
          <w:szCs w:val="20"/>
          <w:color w:val="auto"/>
        </w:rPr>
      </w:pPr>
      <w:r>
        <w:rPr>
          <w:rFonts w:ascii="Arial" w:cs="Arial" w:eastAsia="Arial" w:hAnsi="Arial"/>
          <w:sz w:val="16"/>
          <w:szCs w:val="16"/>
          <w:color w:val="auto"/>
        </w:rPr>
        <w:t>Under the acquisition method of accounting, the total purchase is allocated to net tangible and intangible assets based on their current estimated fair values on the date of acquisition. Of the total purchase price of $78.9 million, $3.9 million has been allocated to core deposit intangible included in other assets and will be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 The following table summarizes the consideration paid for Bank of Geneva and the amounts of the assets acquired and liabilities assumed recognized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860" w:type="dxa"/>
            <w:vAlign w:val="bottom"/>
          </w:tcPr>
          <w:p>
            <w:pPr>
              <w:spacing w:after="0"/>
              <w:rPr>
                <w:sz w:val="24"/>
                <w:szCs w:val="24"/>
                <w:color w:val="auto"/>
              </w:rPr>
            </w:pPr>
          </w:p>
        </w:tc>
        <w:tc>
          <w:tcPr>
            <w:tcW w:w="4560" w:type="dxa"/>
            <w:vAlign w:val="bottom"/>
            <w:gridSpan w:val="4"/>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28"/>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Note 2 – Business Combination &amp; Asset Purchase (Continued)</w:t>
            </w:r>
          </w:p>
        </w:tc>
        <w:tc>
          <w:tcPr>
            <w:tcW w:w="456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 2019, 2018, 2017</w:t>
            </w:r>
          </w:p>
        </w:tc>
        <w:tc>
          <w:tcPr>
            <w:tcW w:w="0" w:type="dxa"/>
            <w:vAlign w:val="bottom"/>
          </w:tcPr>
          <w:p>
            <w:pPr>
              <w:spacing w:after="0"/>
              <w:rPr>
                <w:sz w:val="1"/>
                <w:szCs w:val="1"/>
                <w:color w:val="auto"/>
              </w:rPr>
            </w:pPr>
          </w:p>
        </w:tc>
      </w:tr>
      <w:tr>
        <w:trPr>
          <w:trHeight w:val="211"/>
        </w:trPr>
        <w:tc>
          <w:tcPr>
            <w:tcW w:w="686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686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FF0FC"/>
            </w:tcBorders>
          </w:tcPr>
          <w:p>
            <w:pPr>
              <w:spacing w:after="0"/>
              <w:rPr>
                <w:sz w:val="19"/>
                <w:szCs w:val="19"/>
                <w:color w:val="auto"/>
              </w:rPr>
            </w:pPr>
          </w:p>
        </w:tc>
        <w:tc>
          <w:tcPr>
            <w:tcW w:w="2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Shares (1,830,000 shares)</w:t>
            </w:r>
          </w:p>
        </w:tc>
        <w:tc>
          <w:tcPr>
            <w:tcW w:w="2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86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8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 available-for-sale</w:t>
            </w:r>
          </w:p>
        </w:tc>
        <w:tc>
          <w:tcPr>
            <w:tcW w:w="2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Other securities, at cost</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2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Premises and equipment</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2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2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tcBorders>
          </w:tcPr>
          <w:p>
            <w:pPr>
              <w:spacing w:after="0" w:line="20" w:lineRule="exact"/>
              <w:rPr>
                <w:sz w:val="1"/>
                <w:szCs w:val="1"/>
                <w:color w:val="auto"/>
              </w:rPr>
            </w:pPr>
          </w:p>
        </w:tc>
        <w:tc>
          <w:tcPr>
            <w:tcW w:w="2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Deposits</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Noninterest bearing</w:t>
            </w:r>
          </w:p>
        </w:tc>
        <w:tc>
          <w:tcPr>
            <w:tcW w:w="2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Interest bearing</w:t>
            </w:r>
          </w:p>
        </w:tc>
        <w:tc>
          <w:tcPr>
            <w:tcW w:w="2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deposits</w:t>
            </w:r>
          </w:p>
        </w:tc>
        <w:tc>
          <w:tcPr>
            <w:tcW w:w="2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Arial" w:cs="Arial" w:eastAsia="Arial" w:hAnsi="Arial"/>
                <w:sz w:val="18"/>
                <w:szCs w:val="18"/>
                <w:color w:val="auto"/>
              </w:rPr>
              <w:t>Federal Home Loan Bank (FHLB) advances</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25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Assumed</w:t>
            </w:r>
          </w:p>
        </w:tc>
        <w:tc>
          <w:tcPr>
            <w:tcW w:w="2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257,478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The fair value of the assets acquired includes loans with a fair value of $257.2 million. The gross principal and contractual interest due under the contracts is $359.2 million, of which $4.7 million is expected to be uncollectible. The loans have a weighted average life of 70 months.</w:t>
      </w:r>
    </w:p>
    <w:p>
      <w:pPr>
        <w:spacing w:after="0" w:line="83"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The fair value of building and land included in premises and equipment was written down by $1.2 million and will be amortized based on the remaining life of each building. The combined average remaining life is 16.75 years.</w:t>
      </w:r>
    </w:p>
    <w:p>
      <w:pPr>
        <w:spacing w:after="0" w:line="128"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The fair value for certificates of deposit incorporates a valuation amount of $0.5 million which will be amortized over 1.5 years. The fair value of Federal Home Loan Bank (FHLB) advances includes a valuation amount of $1.3 million which will be amortized over 2.3 years.</w:t>
      </w:r>
    </w:p>
    <w:p>
      <w:pPr>
        <w:spacing w:after="0" w:line="83"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28" w:lineRule="exact"/>
        <w:rPr>
          <w:sz w:val="20"/>
          <w:szCs w:val="20"/>
          <w:color w:val="auto"/>
        </w:rPr>
      </w:pPr>
    </w:p>
    <w:p>
      <w:pPr>
        <w:jc w:val="both"/>
        <w:ind w:left="820"/>
        <w:spacing w:after="0" w:line="283" w:lineRule="auto"/>
        <w:rPr>
          <w:sz w:val="20"/>
          <w:szCs w:val="20"/>
          <w:color w:val="auto"/>
        </w:rPr>
      </w:pPr>
      <w:r>
        <w:rPr>
          <w:rFonts w:ascii="Arial" w:cs="Arial" w:eastAsia="Arial" w:hAnsi="Arial"/>
          <w:sz w:val="16"/>
          <w:szCs w:val="16"/>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374"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The carrying amount of those loans is included in loans, net on the balance sheet at December 31, 2019. The amounts of loans at December 31, 2019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tcPr>
          <w:p>
            <w:pPr>
              <w:jc w:val="right"/>
              <w:ind w:right="1032"/>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24"/>
        </w:trPr>
        <w:tc>
          <w:tcPr>
            <w:tcW w:w="8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(In Thousands)</w:t>
            </w:r>
          </w:p>
        </w:tc>
      </w:tr>
      <w:tr>
        <w:trPr>
          <w:trHeight w:val="217"/>
        </w:trPr>
        <w:tc>
          <w:tcPr>
            <w:tcW w:w="8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January 1, 2019</w:t>
            </w:r>
          </w:p>
        </w:tc>
        <w:tc>
          <w:tcPr>
            <w:tcW w:w="420" w:type="dxa"/>
            <w:vAlign w:val="bottom"/>
            <w:tcBorders>
              <w:top w:val="single" w:sz="8" w:color="auto"/>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874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9"/>
                <w:szCs w:val="19"/>
                <w:color w:val="auto"/>
              </w:rPr>
            </w:pPr>
          </w:p>
        </w:tc>
      </w:tr>
      <w:tr>
        <w:trPr>
          <w:trHeight w:val="224"/>
        </w:trPr>
        <w:tc>
          <w:tcPr>
            <w:tcW w:w="8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42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9"/>
                <w:szCs w:val="19"/>
                <w:color w:val="auto"/>
              </w:rPr>
            </w:pPr>
          </w:p>
        </w:tc>
      </w:tr>
      <w:tr>
        <w:trPr>
          <w:trHeight w:val="223"/>
        </w:trPr>
        <w:tc>
          <w:tcPr>
            <w:tcW w:w="8740" w:type="dxa"/>
            <w:vAlign w:val="bottom"/>
          </w:tcPr>
          <w:p>
            <w:pPr>
              <w:ind w:left="24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r>
      <w:tr>
        <w:trPr>
          <w:trHeight w:val="217"/>
        </w:trPr>
        <w:tc>
          <w:tcPr>
            <w:tcW w:w="8740" w:type="dxa"/>
            <w:vAlign w:val="bottom"/>
          </w:tcPr>
          <w:p>
            <w:pPr>
              <w:ind w:left="480"/>
              <w:spacing w:after="0"/>
              <w:rPr>
                <w:sz w:val="20"/>
                <w:szCs w:val="20"/>
                <w:color w:val="auto"/>
              </w:rPr>
            </w:pPr>
            <w:r>
              <w:rPr>
                <w:rFonts w:ascii="Arial" w:cs="Arial" w:eastAsia="Arial" w:hAnsi="Arial"/>
                <w:sz w:val="18"/>
                <w:szCs w:val="18"/>
                <w:color w:val="auto"/>
              </w:rPr>
              <w:t>Carrying amount, net of fair value adjustment of $2,118</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8"/>
                <w:szCs w:val="18"/>
                <w:color w:val="auto"/>
              </w:rPr>
            </w:pPr>
          </w:p>
        </w:tc>
      </w:tr>
      <w:tr>
        <w:trPr>
          <w:trHeight w:val="20"/>
        </w:trPr>
        <w:tc>
          <w:tcPr>
            <w:tcW w:w="8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8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874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42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874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r>
      <w:tr>
        <w:trPr>
          <w:trHeight w:val="224"/>
        </w:trPr>
        <w:tc>
          <w:tcPr>
            <w:tcW w:w="8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42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4"/>
        </w:trPr>
        <w:tc>
          <w:tcPr>
            <w:tcW w:w="8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17"/>
        </w:trPr>
        <w:tc>
          <w:tcPr>
            <w:tcW w:w="87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Carrying amount, net of fair value adjustment of $62</w:t>
            </w: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8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Loans acquired during 2019 for which it was probable at acquisition that all contractually required payments would not be collected are as follows:</w:t>
      </w:r>
    </w:p>
    <w:p>
      <w:pPr>
        <w:spacing w:after="0" w:line="40"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26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674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3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r>
      <w:tr>
        <w:trPr>
          <w:trHeight w:val="224"/>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2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r>
      <w:tr>
        <w:trPr>
          <w:trHeight w:val="224"/>
        </w:trPr>
        <w:tc>
          <w:tcPr>
            <w:tcW w:w="6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26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19"/>
                <w:szCs w:val="19"/>
                <w:color w:val="auto"/>
              </w:rPr>
            </w:pPr>
          </w:p>
        </w:tc>
      </w:tr>
      <w:tr>
        <w:trPr>
          <w:trHeight w:val="217"/>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required payments receivable</w:t>
            </w:r>
          </w:p>
        </w:tc>
        <w:tc>
          <w:tcPr>
            <w:tcW w:w="346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100" w:type="dxa"/>
            <w:vAlign w:val="bottom"/>
            <w:shd w:val="clear" w:color="auto" w:fill="CFF0FC"/>
          </w:tcPr>
          <w:p>
            <w:pPr>
              <w:spacing w:after="0"/>
              <w:rPr>
                <w:sz w:val="18"/>
                <w:szCs w:val="18"/>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26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4"/>
        </w:trPr>
        <w:tc>
          <w:tcPr>
            <w:tcW w:w="67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Cash flows expected to be collected at acquisition</w:t>
            </w:r>
          </w:p>
        </w:tc>
        <w:tc>
          <w:tcPr>
            <w:tcW w:w="346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FF0FC"/>
          </w:tcPr>
          <w:p>
            <w:pPr>
              <w:spacing w:after="0"/>
              <w:rPr>
                <w:sz w:val="19"/>
                <w:szCs w:val="19"/>
                <w:color w:val="auto"/>
              </w:rPr>
            </w:pPr>
          </w:p>
        </w:tc>
      </w:tr>
      <w:tr>
        <w:trPr>
          <w:trHeight w:val="224"/>
        </w:trPr>
        <w:tc>
          <w:tcPr>
            <w:tcW w:w="67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Basis in acquired loans at acquisition</w:t>
            </w:r>
          </w:p>
        </w:tc>
        <w:tc>
          <w:tcPr>
            <w:tcW w:w="346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75" w:lineRule="exact"/>
        <w:rPr>
          <w:sz w:val="20"/>
          <w:szCs w:val="20"/>
          <w:color w:val="auto"/>
        </w:rPr>
      </w:pPr>
    </w:p>
    <w:p>
      <w:pPr>
        <w:jc w:val="both"/>
        <w:ind w:left="820" w:right="20"/>
        <w:spacing w:after="0" w:line="248" w:lineRule="auto"/>
        <w:rPr>
          <w:sz w:val="20"/>
          <w:szCs w:val="20"/>
          <w:color w:val="auto"/>
        </w:rPr>
      </w:pPr>
      <w:r>
        <w:rPr>
          <w:rFonts w:ascii="Arial" w:cs="Arial" w:eastAsia="Arial" w:hAnsi="Arial"/>
          <w:sz w:val="18"/>
          <w:szCs w:val="18"/>
          <w:color w:val="auto"/>
        </w:rPr>
        <w:t>During the second quarter, two commercial purchased credit-impaired loans were paid off in full after the customer was able to secure financing at another financial institution. The associated discount originally recognized at acquisition of $1.985 million has been included in loan interest income in the Company’s consolidated statement of income for the year ended December 31, 2019. The balance of the fair value adjustment for loans acquired and accounted for under this guidance (ASC 310-30) was $62 thousand at December 31, 2019 and $2.118 million on January 1, 2019, respectively.</w:t>
      </w:r>
    </w:p>
    <w:p>
      <w:pPr>
        <w:spacing w:after="0" w:line="15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1032"/>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CFF0FC"/>
            </w:tcBorders>
          </w:tcPr>
          <w:p>
            <w:pPr>
              <w:spacing w:after="0"/>
              <w:rPr>
                <w:sz w:val="18"/>
                <w:szCs w:val="18"/>
                <w:color w:val="auto"/>
              </w:rPr>
            </w:pPr>
          </w:p>
        </w:tc>
        <w:tc>
          <w:tcPr>
            <w:tcW w:w="41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4580" w:type="dxa"/>
            <w:vAlign w:val="bottom"/>
            <w:gridSpan w:val="2"/>
            <w:shd w:val="clear" w:color="auto" w:fill="CFF0FC"/>
          </w:tcPr>
          <w:p>
            <w:pPr>
              <w:jc w:val="right"/>
              <w:ind w:right="232"/>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8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4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4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80" w:type="dxa"/>
            <w:vAlign w:val="bottom"/>
          </w:tcPr>
          <w:p>
            <w:pPr>
              <w:ind w:left="240"/>
              <w:spacing w:after="0"/>
              <w:rPr>
                <w:sz w:val="20"/>
                <w:szCs w:val="20"/>
                <w:color w:val="auto"/>
              </w:rPr>
            </w:pPr>
            <w:r>
              <w:rPr>
                <w:rFonts w:ascii="Arial" w:cs="Arial" w:eastAsia="Arial" w:hAnsi="Arial"/>
                <w:sz w:val="18"/>
                <w:szCs w:val="18"/>
                <w:color w:val="auto"/>
              </w:rPr>
              <w:t>Reclassification from nonaccretable difference</w:t>
            </w:r>
          </w:p>
        </w:tc>
        <w:tc>
          <w:tcPr>
            <w:tcW w:w="4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Disposals</w:t>
            </w:r>
          </w:p>
        </w:tc>
        <w:tc>
          <w:tcPr>
            <w:tcW w:w="4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Ending Balance</w:t>
            </w:r>
          </w:p>
        </w:tc>
        <w:tc>
          <w:tcPr>
            <w:tcW w:w="4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160" w:type="dxa"/>
            <w:vAlign w:val="bottom"/>
            <w:vMerge w:val="restart"/>
          </w:tcPr>
          <w:p>
            <w:pPr>
              <w:jc w:val="right"/>
              <w:ind w:right="2852"/>
              <w:spacing w:after="0"/>
              <w:rPr>
                <w:sz w:val="20"/>
                <w:szCs w:val="20"/>
                <w:color w:val="auto"/>
              </w:rPr>
            </w:pPr>
            <w:r>
              <w:rPr>
                <w:rFonts w:ascii="Arial" w:cs="Arial" w:eastAsia="Arial" w:hAnsi="Arial"/>
                <w:sz w:val="18"/>
                <w:szCs w:val="18"/>
                <w:color w:val="auto"/>
              </w:rPr>
              <w:t>63</w:t>
            </w: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58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8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 (Continued)</w:t>
      </w:r>
    </w:p>
    <w:p>
      <w:pPr>
        <w:spacing w:after="0" w:line="200" w:lineRule="exact"/>
        <w:rPr>
          <w:sz w:val="20"/>
          <w:szCs w:val="20"/>
          <w:color w:val="auto"/>
        </w:rPr>
      </w:pPr>
    </w:p>
    <w:p>
      <w:pPr>
        <w:spacing w:after="0" w:line="319" w:lineRule="exact"/>
        <w:rPr>
          <w:sz w:val="20"/>
          <w:szCs w:val="20"/>
          <w:color w:val="auto"/>
        </w:rPr>
      </w:pPr>
    </w:p>
    <w:p>
      <w:pPr>
        <w:ind w:left="820" w:right="420"/>
        <w:spacing w:after="0" w:line="249" w:lineRule="auto"/>
        <w:rPr>
          <w:sz w:val="20"/>
          <w:szCs w:val="20"/>
          <w:color w:val="auto"/>
        </w:rPr>
      </w:pPr>
      <w:r>
        <w:rPr>
          <w:rFonts w:ascii="Arial" w:cs="Arial" w:eastAsia="Arial" w:hAnsi="Arial"/>
          <w:sz w:val="18"/>
          <w:szCs w:val="18"/>
          <w:color w:val="auto"/>
        </w:rPr>
        <w:t>The results of operations of Bank of Geneva have been included in the Company’s consolidated financial statements since the acquisition date of January 1, 2019. The following schedule includes pro-forma results for the years ended December 31, 2019 and 2018 as if the Bank of Geneva acquisitions had occurred as of the beginning of the comparable prior reporting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Pr>
          <w:p>
            <w:pPr>
              <w:spacing w:after="0"/>
              <w:rPr>
                <w:sz w:val="19"/>
                <w:szCs w:val="19"/>
                <w:color w:val="auto"/>
              </w:rPr>
            </w:pPr>
          </w:p>
        </w:tc>
        <w:tc>
          <w:tcPr>
            <w:tcW w:w="2940" w:type="dxa"/>
            <w:vAlign w:val="bottom"/>
            <w:gridSpan w:val="2"/>
          </w:tcPr>
          <w:p>
            <w:pPr>
              <w:jc w:val="right"/>
              <w:ind w:right="63"/>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672"/>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Summary of Operations</w:t>
            </w:r>
          </w:p>
        </w:tc>
        <w:tc>
          <w:tcPr>
            <w:tcW w:w="17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Net Interest Income - Before Provision for Loan Losses</w:t>
            </w:r>
          </w:p>
        </w:tc>
        <w:tc>
          <w:tcPr>
            <w:tcW w:w="2940" w:type="dxa"/>
            <w:vAlign w:val="bottom"/>
            <w:gridSpan w:val="2"/>
          </w:tcPr>
          <w:p>
            <w:pPr>
              <w:jc w:val="right"/>
              <w:ind w:right="108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54,234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Losses</w:t>
            </w:r>
          </w:p>
        </w:tc>
        <w:tc>
          <w:tcPr>
            <w:tcW w:w="170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53,655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Noninterest Income</w:t>
            </w:r>
          </w:p>
        </w:tc>
        <w:tc>
          <w:tcPr>
            <w:tcW w:w="17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Noninterest Expense</w:t>
            </w:r>
          </w:p>
        </w:tc>
        <w:tc>
          <w:tcPr>
            <w:tcW w:w="170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70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7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08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63"/>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1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2940" w:type="dxa"/>
            <w:vAlign w:val="bottom"/>
            <w:gridSpan w:val="2"/>
          </w:tcPr>
          <w:p>
            <w:pPr>
              <w:jc w:val="right"/>
              <w:ind w:right="1083"/>
              <w:spacing w:after="0" w:line="203"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 pro-forma information includes adjustments for interest income on loans, amortization of intangibles arising from the transaction, interest expense on deposits acquired, premises expense for the branches acquired and the related income tax effects. The pro-forma information for the year ended December 31, 2019 includes approximately $7.4 million, net of tax, of operating revenue from Bank of Geneva since acquisition.</w:t>
      </w:r>
    </w:p>
    <w:p>
      <w:pPr>
        <w:spacing w:after="0" w:line="155"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The pro-forma financial information is presented for informational purposes only and is not indicative of the results of operations that actually would have been achieved had the acquisition been consummated as of that time, nor is it intended to be a projection of future results.</w:t>
      </w:r>
    </w:p>
    <w:p>
      <w:pPr>
        <w:spacing w:after="0" w:line="13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The Company purchased an office on December 13, 2013 in Custar, Ohio. Core deposit intangible assets of $1.17 million were recognized and are being amortized over its remaining economic useful life of the deposits of 7 years on a straight line basis.</w:t>
      </w:r>
    </w:p>
    <w:p>
      <w:pPr>
        <w:spacing w:after="0" w:line="180"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which are being amortized over its remaining economic useful life of 7 years on a straight line basis. Core deposit intangible is included in other assets on the consolidated balance sheets.</w:t>
      </w:r>
    </w:p>
    <w:p>
      <w:pPr>
        <w:spacing w:after="0" w:line="29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amortization expense for the years ended December 31, 2019, 2018 and 2017 was $727, $167, and $245 thousand, respectively.</w:t>
      </w:r>
    </w:p>
    <w:p>
      <w:pPr>
        <w:spacing w:after="0" w:line="1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Future amortization expense of core deposit intangible assets is as follows:</w:t>
      </w:r>
    </w:p>
    <w:p>
      <w:pPr>
        <w:spacing w:after="0" w:line="228"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204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Custar</w:t>
            </w: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8"/>
              </w:rPr>
              <w:t>Geneva</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FF0FC"/>
            </w:tcBorders>
          </w:tcPr>
          <w:p>
            <w:pPr>
              <w:spacing w:after="0"/>
              <w:rPr>
                <w:sz w:val="19"/>
                <w:szCs w:val="19"/>
                <w:color w:val="auto"/>
              </w:rPr>
            </w:pPr>
          </w:p>
        </w:tc>
      </w:tr>
      <w:tr>
        <w:trPr>
          <w:trHeight w:val="217"/>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500" w:type="dxa"/>
            <w:vAlign w:val="bottom"/>
            <w:gridSpan w:val="2"/>
            <w:shd w:val="clear" w:color="auto" w:fill="CFF0FC"/>
          </w:tcPr>
          <w:p>
            <w:pPr>
              <w:jc w:val="right"/>
              <w:ind w:right="6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161</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FF0FC"/>
          </w:tcPr>
          <w:p>
            <w:pPr>
              <w:spacing w:after="0"/>
              <w:rPr>
                <w:sz w:val="18"/>
                <w:szCs w:val="18"/>
                <w:color w:val="auto"/>
              </w:rPr>
            </w:pPr>
          </w:p>
        </w:tc>
      </w:tr>
      <w:tr>
        <w:trPr>
          <w:trHeight w:val="224"/>
        </w:trPr>
        <w:tc>
          <w:tcPr>
            <w:tcW w:w="2040" w:type="dxa"/>
            <w:vAlign w:val="bottom"/>
          </w:tcPr>
          <w:p>
            <w:pPr>
              <w:spacing w:after="0"/>
              <w:rPr>
                <w:sz w:val="20"/>
                <w:szCs w:val="20"/>
                <w:color w:val="auto"/>
              </w:rPr>
            </w:pPr>
            <w:r>
              <w:rPr>
                <w:rFonts w:ascii="Arial" w:cs="Arial" w:eastAsia="Arial" w:hAnsi="Arial"/>
                <w:sz w:val="18"/>
                <w:szCs w:val="18"/>
                <w:color w:val="auto"/>
              </w:rPr>
              <w:t>2021</w:t>
            </w:r>
          </w:p>
        </w:tc>
        <w:tc>
          <w:tcPr>
            <w:tcW w:w="1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r>
      <w:tr>
        <w:trPr>
          <w:trHeight w:val="224"/>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7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FF0FC"/>
          </w:tcPr>
          <w:p>
            <w:pPr>
              <w:spacing w:after="0"/>
              <w:rPr>
                <w:sz w:val="19"/>
                <w:szCs w:val="19"/>
                <w:color w:val="auto"/>
              </w:rPr>
            </w:pPr>
          </w:p>
        </w:tc>
      </w:tr>
      <w:tr>
        <w:trPr>
          <w:trHeight w:val="224"/>
        </w:trPr>
        <w:tc>
          <w:tcPr>
            <w:tcW w:w="2040" w:type="dxa"/>
            <w:vAlign w:val="bottom"/>
          </w:tcPr>
          <w:p>
            <w:pPr>
              <w:spacing w:after="0"/>
              <w:rPr>
                <w:sz w:val="20"/>
                <w:szCs w:val="20"/>
                <w:color w:val="auto"/>
              </w:rPr>
            </w:pPr>
            <w:r>
              <w:rPr>
                <w:rFonts w:ascii="Arial" w:cs="Arial" w:eastAsia="Arial" w:hAnsi="Arial"/>
                <w:sz w:val="18"/>
                <w:szCs w:val="18"/>
                <w:color w:val="auto"/>
              </w:rPr>
              <w:t>2023</w:t>
            </w:r>
          </w:p>
        </w:tc>
        <w:tc>
          <w:tcPr>
            <w:tcW w:w="1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r>
      <w:tr>
        <w:trPr>
          <w:trHeight w:val="224"/>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7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FF0FC"/>
          </w:tcPr>
          <w:p>
            <w:pPr>
              <w:spacing w:after="0"/>
              <w:rPr>
                <w:sz w:val="19"/>
                <w:szCs w:val="19"/>
                <w:color w:val="auto"/>
              </w:rPr>
            </w:pPr>
          </w:p>
        </w:tc>
      </w:tr>
      <w:tr>
        <w:trPr>
          <w:trHeight w:val="224"/>
        </w:trPr>
        <w:tc>
          <w:tcPr>
            <w:tcW w:w="2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17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60" w:type="dxa"/>
            <w:vAlign w:val="bottom"/>
            <w:tcBorders>
              <w:bottom w:val="single" w:sz="8" w:color="CFF0FC"/>
            </w:tcBorders>
          </w:tcPr>
          <w:p>
            <w:pPr>
              <w:spacing w:after="0"/>
              <w:rPr>
                <w:sz w:val="19"/>
                <w:szCs w:val="19"/>
                <w:color w:val="auto"/>
              </w:rPr>
            </w:pPr>
          </w:p>
        </w:tc>
      </w:tr>
      <w:tr>
        <w:trPr>
          <w:trHeight w:val="217"/>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FF0FC"/>
          </w:tcPr>
          <w:p>
            <w:pPr>
              <w:jc w:val="right"/>
              <w:ind w:right="6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161</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w:t>
            </w:r>
          </w:p>
        </w:tc>
        <w:tc>
          <w:tcPr>
            <w:tcW w:w="60" w:type="dxa"/>
            <w:vAlign w:val="bottom"/>
            <w:shd w:val="clear" w:color="auto" w:fill="CFF0FC"/>
          </w:tcPr>
          <w:p>
            <w:pPr>
              <w:spacing w:after="0"/>
              <w:rPr>
                <w:sz w:val="18"/>
                <w:szCs w:val="18"/>
                <w:color w:val="auto"/>
              </w:rPr>
            </w:pPr>
          </w:p>
        </w:tc>
      </w:tr>
      <w:tr>
        <w:trPr>
          <w:trHeight w:val="20"/>
        </w:trPr>
        <w:tc>
          <w:tcPr>
            <w:tcW w:w="204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amortized cost and fair value of securities, with gross unrealized gains and losses, follows: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3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3"/>
              </w:rPr>
              <w:t>Amortized</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Market</w:t>
            </w:r>
          </w:p>
        </w:tc>
        <w:tc>
          <w:tcPr>
            <w:tcW w:w="0" w:type="dxa"/>
            <w:vAlign w:val="bottom"/>
          </w:tcPr>
          <w:p>
            <w:pPr>
              <w:spacing w:after="0"/>
              <w:rPr>
                <w:sz w:val="1"/>
                <w:szCs w:val="1"/>
                <w:color w:val="auto"/>
              </w:rPr>
            </w:pPr>
          </w:p>
        </w:tc>
      </w:tr>
      <w:tr>
        <w:trPr>
          <w:trHeight w:val="224"/>
        </w:trPr>
        <w:tc>
          <w:tcPr>
            <w:tcW w:w="3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Gains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7"/>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5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left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left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left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8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10,023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61,882</w:t>
            </w:r>
          </w:p>
        </w:tc>
        <w:tc>
          <w:tcPr>
            <w:tcW w:w="240" w:type="dxa"/>
            <w:vAlign w:val="bottom"/>
            <w:tcBorders>
              <w:lef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40" w:type="dxa"/>
            <w:vAlign w:val="bottom"/>
            <w:tcBorders>
              <w:lef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94,998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54,001</w:t>
            </w:r>
          </w:p>
        </w:tc>
        <w:tc>
          <w:tcPr>
            <w:tcW w:w="240" w:type="dxa"/>
            <w:vAlign w:val="bottom"/>
            <w:tcBorders>
              <w:lef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40" w:type="dxa"/>
            <w:vAlign w:val="bottom"/>
            <w:tcBorders>
              <w:lef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 available-for-sale securities</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vMerge w:val="continue"/>
          </w:tcPr>
          <w:p>
            <w:pPr>
              <w:spacing w:after="0"/>
              <w:rPr>
                <w:sz w:val="18"/>
                <w:szCs w:val="18"/>
                <w:color w:val="auto"/>
              </w:rPr>
            </w:pPr>
          </w:p>
        </w:tc>
        <w:tc>
          <w:tcPr>
            <w:tcW w:w="15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220,904</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3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w w:val="88"/>
              </w:rPr>
              <w:t>Amortized</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Market</w:t>
            </w:r>
          </w:p>
        </w:tc>
        <w:tc>
          <w:tcPr>
            <w:tcW w:w="0" w:type="dxa"/>
            <w:vAlign w:val="bottom"/>
          </w:tcPr>
          <w:p>
            <w:pPr>
              <w:spacing w:after="0"/>
              <w:rPr>
                <w:sz w:val="1"/>
                <w:szCs w:val="1"/>
                <w:color w:val="auto"/>
              </w:rPr>
            </w:pPr>
          </w:p>
        </w:tc>
      </w:tr>
      <w:tr>
        <w:trPr>
          <w:trHeight w:val="224"/>
        </w:trPr>
        <w:tc>
          <w:tcPr>
            <w:tcW w:w="3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9"/>
              </w:rPr>
              <w:t>Gains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7"/>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5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left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left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left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8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23,078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71,235</w:t>
            </w:r>
          </w:p>
        </w:tc>
        <w:tc>
          <w:tcPr>
            <w:tcW w:w="240" w:type="dxa"/>
            <w:vAlign w:val="bottom"/>
            <w:tcBorders>
              <w:lef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lef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(1,910)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37,342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40,608</w:t>
            </w:r>
          </w:p>
        </w:tc>
        <w:tc>
          <w:tcPr>
            <w:tcW w:w="240" w:type="dxa"/>
            <w:vAlign w:val="bottom"/>
            <w:tcBorders>
              <w:lef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Borders>
              <w:lef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 available-for-sale securities</w:t>
            </w:r>
          </w:p>
        </w:tc>
        <w:tc>
          <w:tcPr>
            <w:tcW w:w="15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vMerge w:val="continue"/>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172,263</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(4,111)</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Investment securities will at times depreciate to an unrealized loss position. The Bank utilizes the following criteria to assess whether impairment is other than temporary. No one item by itself will necessarily signal that a security should be recognized as an other than temporary impairment.</w:t>
      </w:r>
    </w:p>
    <w:p>
      <w:pPr>
        <w:spacing w:after="0" w:line="30" w:lineRule="exact"/>
        <w:rPr>
          <w:sz w:val="20"/>
          <w:szCs w:val="20"/>
          <w:color w:val="auto"/>
        </w:rPr>
      </w:pPr>
    </w:p>
    <w:p>
      <w:pPr>
        <w:ind w:left="1780" w:hanging="563"/>
        <w:spacing w:after="0"/>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109" w:lineRule="exact"/>
        <w:rPr>
          <w:rFonts w:ascii="Arial" w:cs="Arial" w:eastAsia="Arial" w:hAnsi="Arial"/>
          <w:sz w:val="18"/>
          <w:szCs w:val="18"/>
          <w:color w:val="auto"/>
        </w:rPr>
      </w:pPr>
    </w:p>
    <w:p>
      <w:pPr>
        <w:ind w:left="1780" w:hanging="563"/>
        <w:spacing w:after="0" w:line="262" w:lineRule="auto"/>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spacing w:after="0" w:line="74" w:lineRule="exact"/>
        <w:rPr>
          <w:rFonts w:ascii="Arial" w:cs="Arial" w:eastAsia="Arial" w:hAnsi="Arial"/>
          <w:sz w:val="18"/>
          <w:szCs w:val="18"/>
          <w:color w:val="auto"/>
        </w:rPr>
      </w:pPr>
    </w:p>
    <w:p>
      <w:pPr>
        <w:ind w:left="1780" w:hanging="563"/>
        <w:spacing w:after="0"/>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109" w:lineRule="exact"/>
        <w:rPr>
          <w:rFonts w:ascii="Arial" w:cs="Arial" w:eastAsia="Arial" w:hAnsi="Arial"/>
          <w:sz w:val="18"/>
          <w:szCs w:val="18"/>
          <w:color w:val="auto"/>
        </w:rPr>
      </w:pPr>
    </w:p>
    <w:p>
      <w:pPr>
        <w:ind w:left="1780" w:hanging="563"/>
        <w:spacing w:after="0"/>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109" w:lineRule="exact"/>
        <w:rPr>
          <w:rFonts w:ascii="Arial" w:cs="Arial" w:eastAsia="Arial" w:hAnsi="Arial"/>
          <w:sz w:val="18"/>
          <w:szCs w:val="18"/>
          <w:color w:val="auto"/>
        </w:rPr>
      </w:pPr>
    </w:p>
    <w:p>
      <w:pPr>
        <w:ind w:left="1780" w:hanging="563"/>
        <w:spacing w:after="0" w:line="262" w:lineRule="auto"/>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75"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Bank currently does not hold any securities with other than temporary impairment.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Farmers &amp; Merchants Bancorp, Inc. and Subsidiaries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Securities (Continued)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200" w:lineRule="exact"/>
        <w:rPr>
          <w:sz w:val="20"/>
          <w:szCs w:val="20"/>
          <w:color w:val="auto"/>
        </w:rPr>
      </w:pPr>
    </w:p>
    <w:p>
      <w:pPr>
        <w:sectPr>
          <w:pgSz w:w="11900" w:h="16838" w:orient="portrait"/>
          <w:cols w:equalWidth="0" w:num="2">
            <w:col w:w="7440" w:space="720"/>
            <w:col w:w="3260"/>
          </w:cols>
          <w:pgMar w:left="240" w:top="121" w:right="239" w:bottom="1440" w:gutter="0" w:footer="0" w:header="0"/>
          <w:type w:val="continuous"/>
        </w:sectPr>
      </w:pPr>
    </w:p>
    <w:p>
      <w:pPr>
        <w:spacing w:after="0" w:line="108"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Information pertaining to securities with gross unrealized losses at December 31, 2019 and 2018, aggregated by investment category and length of time that individual securities have been in a continuous loss position follows: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jc w:val="center"/>
              <w:ind w:right="32"/>
              <w:spacing w:after="0"/>
              <w:rPr>
                <w:sz w:val="20"/>
                <w:szCs w:val="20"/>
                <w:color w:val="auto"/>
              </w:rPr>
            </w:pPr>
            <w:r>
              <w:rPr>
                <w:rFonts w:ascii="Arial" w:cs="Arial" w:eastAsia="Arial" w:hAnsi="Arial"/>
                <w:sz w:val="18"/>
                <w:szCs w:val="18"/>
                <w:color w:val="auto"/>
                <w:w w:val="87"/>
              </w:rPr>
              <w:t>(In Thousands)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24"/>
        </w:trPr>
        <w:tc>
          <w:tcPr>
            <w:tcW w:w="3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5"/>
          </w:tcPr>
          <w:p>
            <w:pPr>
              <w:jc w:val="center"/>
              <w:ind w:right="32"/>
              <w:spacing w:after="0"/>
              <w:rPr>
                <w:sz w:val="20"/>
                <w:szCs w:val="20"/>
                <w:color w:val="auto"/>
              </w:rPr>
            </w:pPr>
            <w:r>
              <w:rPr>
                <w:rFonts w:ascii="Arial" w:cs="Arial" w:eastAsia="Arial" w:hAnsi="Arial"/>
                <w:sz w:val="18"/>
                <w:szCs w:val="18"/>
                <w:color w:val="auto"/>
                <w:w w:val="88"/>
              </w:rPr>
              <w:t>Less Than Twelve Months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Twelve Months &amp; Over</w:t>
            </w: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right="112"/>
              <w:spacing w:after="0"/>
              <w:rPr>
                <w:sz w:val="20"/>
                <w:szCs w:val="20"/>
                <w:color w:val="auto"/>
              </w:rPr>
            </w:pPr>
            <w:r>
              <w:rPr>
                <w:rFonts w:ascii="Arial" w:cs="Arial" w:eastAsia="Arial" w:hAnsi="Arial"/>
                <w:sz w:val="18"/>
                <w:szCs w:val="18"/>
                <w:color w:val="auto"/>
                <w:w w:val="96"/>
              </w:rPr>
              <w:t>Fair</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392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0"/>
              </w:rPr>
              <w:t>Losses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6"/>
              </w:rPr>
              <w:t>Value</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available-for-sales securities</w:t>
            </w:r>
          </w:p>
        </w:tc>
        <w:tc>
          <w:tcPr>
            <w:tcW w:w="15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20" w:type="dxa"/>
            <w:vAlign w:val="bottom"/>
            <w:vMerge w:val="continue"/>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55,090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jc w:val="center"/>
              <w:ind w:right="32"/>
              <w:spacing w:after="0"/>
              <w:rPr>
                <w:sz w:val="20"/>
                <w:szCs w:val="20"/>
                <w:color w:val="auto"/>
              </w:rPr>
            </w:pPr>
            <w:r>
              <w:rPr>
                <w:rFonts w:ascii="Arial" w:cs="Arial" w:eastAsia="Arial" w:hAnsi="Arial"/>
                <w:sz w:val="18"/>
                <w:szCs w:val="18"/>
                <w:color w:val="auto"/>
                <w:w w:val="87"/>
              </w:rPr>
              <w:t>(In Thousands)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24"/>
        </w:trPr>
        <w:tc>
          <w:tcPr>
            <w:tcW w:w="3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5"/>
          </w:tcPr>
          <w:p>
            <w:pPr>
              <w:jc w:val="center"/>
              <w:ind w:right="32"/>
              <w:spacing w:after="0"/>
              <w:rPr>
                <w:sz w:val="20"/>
                <w:szCs w:val="20"/>
                <w:color w:val="auto"/>
              </w:rPr>
            </w:pPr>
            <w:r>
              <w:rPr>
                <w:rFonts w:ascii="Arial" w:cs="Arial" w:eastAsia="Arial" w:hAnsi="Arial"/>
                <w:sz w:val="18"/>
                <w:szCs w:val="18"/>
                <w:color w:val="auto"/>
                <w:w w:val="88"/>
              </w:rPr>
              <w:t>Less Than Twelve Months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Twelve Months &amp; Over</w:t>
            </w: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right="112"/>
              <w:spacing w:after="0"/>
              <w:rPr>
                <w:sz w:val="20"/>
                <w:szCs w:val="20"/>
                <w:color w:val="auto"/>
              </w:rPr>
            </w:pPr>
            <w:r>
              <w:rPr>
                <w:rFonts w:ascii="Arial" w:cs="Arial" w:eastAsia="Arial" w:hAnsi="Arial"/>
                <w:sz w:val="18"/>
                <w:szCs w:val="18"/>
                <w:color w:val="auto"/>
                <w:w w:val="96"/>
              </w:rPr>
              <w:t>Fair</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4"/>
        </w:trPr>
        <w:tc>
          <w:tcPr>
            <w:tcW w:w="392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0"/>
              </w:rPr>
              <w:t>Losses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6"/>
              </w:rPr>
              <w:t>Value</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(254)</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available-for-sales securities</w:t>
            </w:r>
          </w:p>
        </w:tc>
        <w:tc>
          <w:tcPr>
            <w:tcW w:w="15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20" w:type="dxa"/>
            <w:vAlign w:val="bottom"/>
            <w:vMerge w:val="continue"/>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(4,085)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Sales of $11.1, $10.1, and $13.6 million for 2019, 2018, and 2017 respectively, generated gross realized gains and losses for the years ended</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December 31, as presented below:</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w w:val="89"/>
              </w:rPr>
              <w:t>(In Thousands)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1880" w:type="dxa"/>
            <w:vAlign w:val="bottom"/>
            <w:gridSpan w:val="2"/>
            <w:shd w:val="clear" w:color="auto" w:fill="CFF0FC"/>
          </w:tcPr>
          <w:p>
            <w:pPr>
              <w:jc w:val="right"/>
              <w:ind w:right="65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40" w:type="dxa"/>
            <w:vAlign w:val="bottom"/>
          </w:tcPr>
          <w:p>
            <w:pPr>
              <w:spacing w:after="0"/>
              <w:rPr>
                <w:sz w:val="20"/>
                <w:szCs w:val="20"/>
                <w:color w:val="auto"/>
              </w:rPr>
            </w:pPr>
            <w:r>
              <w:rPr>
                <w:rFonts w:ascii="Arial" w:cs="Arial" w:eastAsia="Arial" w:hAnsi="Arial"/>
                <w:sz w:val="18"/>
                <w:szCs w:val="18"/>
                <w:color w:val="auto"/>
              </w:rPr>
              <w:t>Gross realized losses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realized gains (losses)</w:t>
            </w:r>
          </w:p>
        </w:tc>
        <w:tc>
          <w:tcPr>
            <w:tcW w:w="10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58"/>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w:t>
            </w:r>
          </w:p>
        </w:tc>
        <w:tc>
          <w:tcPr>
            <w:tcW w:w="34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Tax expense (benefit) related to net realized gains (losses)</w:t>
            </w:r>
          </w:p>
        </w:tc>
        <w:tc>
          <w:tcPr>
            <w:tcW w:w="1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880" w:type="dxa"/>
            <w:vAlign w:val="bottom"/>
            <w:gridSpan w:val="2"/>
          </w:tcPr>
          <w:p>
            <w:pPr>
              <w:jc w:val="right"/>
              <w:ind w:right="658"/>
              <w:spacing w:after="0" w:line="203"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w:t>
            </w:r>
          </w:p>
        </w:tc>
        <w:tc>
          <w:tcPr>
            <w:tcW w:w="340" w:type="dxa"/>
            <w:vAlign w:val="bottom"/>
            <w:gridSpan w:val="2"/>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net realized gain (loss) on sales and related tax expense (benefit) is a reclassification out of accumulated other comprehensive income (loss). The net realized gain (loss) is included in net gain (loss) on sale of securities available-for-sale and the related tax expense (benefit) is included in income taxes in the consolidated statements of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Farmers &amp; Merchants Bancorp, Inc. and Subsidiaries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Securities (Continued)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200" w:lineRule="exact"/>
        <w:rPr>
          <w:sz w:val="20"/>
          <w:szCs w:val="20"/>
          <w:color w:val="auto"/>
        </w:rPr>
      </w:pPr>
    </w:p>
    <w:p>
      <w:pPr>
        <w:sectPr>
          <w:pgSz w:w="11900" w:h="16838" w:orient="portrait"/>
          <w:cols w:equalWidth="0" w:num="2">
            <w:col w:w="7440" w:space="720"/>
            <w:col w:w="3260"/>
          </w:cols>
          <w:pgMar w:left="240" w:top="121" w:right="239" w:bottom="1440" w:gutter="0" w:footer="0" w:header="0"/>
          <w:type w:val="continuous"/>
        </w:sectPr>
      </w:pPr>
    </w:p>
    <w:p>
      <w:pPr>
        <w:spacing w:after="0" w:line="108" w:lineRule="exact"/>
        <w:rPr>
          <w:sz w:val="20"/>
          <w:szCs w:val="20"/>
          <w:color w:val="auto"/>
        </w:rPr>
      </w:pPr>
    </w:p>
    <w:p>
      <w:pPr>
        <w:ind w:left="820"/>
        <w:spacing w:after="0" w:line="324" w:lineRule="auto"/>
        <w:rPr>
          <w:sz w:val="20"/>
          <w:szCs w:val="20"/>
          <w:color w:val="auto"/>
        </w:rPr>
      </w:pPr>
      <w:r>
        <w:rPr>
          <w:rFonts w:ascii="Arial" w:cs="Arial" w:eastAsia="Arial" w:hAnsi="Arial"/>
          <w:sz w:val="16"/>
          <w:szCs w:val="16"/>
          <w:color w:val="auto"/>
        </w:rPr>
        <w:t>The amortized cost and fair value of debt securities at December 31, 2019, by contractual maturity, are shown below. Expected maturities will differ from contractual maturities because borrowers may have the right to call or prepay obligations with or without call or prepayment penalties.</w:t>
      </w:r>
    </w:p>
    <w:p>
      <w:pPr>
        <w:spacing w:after="0" w:line="149"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5"/>
          </w:tcPr>
          <w:p>
            <w:pPr>
              <w:ind w:left="5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6"/>
              </w:rPr>
              <w:t>Amortized</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0"/>
              </w:rPr>
              <w:t>Fair Value</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After one year through five years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After ten years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vMerge w:val="continue"/>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125,906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94,998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95,197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vMerge w:val="continue"/>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220,904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Investments with a carrying value and fair value of $88.8 million at December 31, 2019 and $81.8 million at December 31, 2018 were pledged to secure public deposits and securities sold under repurchase agreements.</w:t>
      </w:r>
    </w:p>
    <w:p>
      <w:pPr>
        <w:spacing w:after="0" w:line="75"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Other securities include Federal Home Loan Bank of Cincinnati and Indianapolis stock as of December 31, 2019 while December 31, 2018 only includes Federal Home Loan Bank of Cincinnati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55245</wp:posOffset>
            </wp:positionV>
            <wp:extent cx="6731635" cy="133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635" cy="1339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The Company had $4.2 million in loans held for sale at December 31, 2019 as compared to $495 thousand in loans held for sale at December 31, 2018.</w:t>
      </w:r>
    </w:p>
    <w:p>
      <w:pPr>
        <w:spacing w:after="0" w:line="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Loans at December 31 are summarized below:</w:t>
      </w: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78"/>
        </w:trPr>
        <w:tc>
          <w:tcPr>
            <w:tcW w:w="4220" w:type="dxa"/>
            <w:vAlign w:val="bottom"/>
            <w:gridSpan w:val="3"/>
          </w:tcPr>
          <w:p>
            <w:pPr>
              <w:spacing w:after="0" w:line="178" w:lineRule="exact"/>
              <w:rPr>
                <w:sz w:val="20"/>
                <w:szCs w:val="20"/>
                <w:color w:val="auto"/>
              </w:rPr>
            </w:pPr>
            <w:r>
              <w:rPr>
                <w:rFonts w:ascii="Arial" w:cs="Arial" w:eastAsia="Arial" w:hAnsi="Arial"/>
                <w:sz w:val="18"/>
                <w:szCs w:val="18"/>
                <w:color w:val="auto"/>
              </w:rPr>
              <w:t>Loans:</w:t>
            </w:r>
          </w:p>
        </w:tc>
        <w:tc>
          <w:tcPr>
            <w:tcW w:w="1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72"/>
              <w:spacing w:after="0" w:line="178" w:lineRule="exact"/>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2"/>
              <w:spacing w:after="0" w:line="178" w:lineRule="exact"/>
              <w:rPr>
                <w:sz w:val="20"/>
                <w:szCs w:val="20"/>
                <w:color w:val="auto"/>
              </w:rPr>
            </w:pPr>
            <w:r>
              <w:rPr>
                <w:rFonts w:ascii="Arial" w:cs="Arial" w:eastAsia="Arial" w:hAnsi="Arial"/>
                <w:sz w:val="18"/>
                <w:szCs w:val="18"/>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CFF0FC"/>
            </w:tcBorders>
          </w:tcPr>
          <w:p>
            <w:pPr>
              <w:spacing w:after="0" w:line="20" w:lineRule="exact"/>
              <w:rPr>
                <w:sz w:val="1"/>
                <w:szCs w:val="1"/>
                <w:color w:val="auto"/>
              </w:rPr>
            </w:pPr>
          </w:p>
        </w:tc>
        <w:tc>
          <w:tcPr>
            <w:tcW w:w="3740" w:type="dxa"/>
            <w:vAlign w:val="bottom"/>
            <w:tcBorders>
              <w:bottom w:val="single" w:sz="8" w:color="CFF0FC"/>
            </w:tcBorders>
          </w:tcPr>
          <w:p>
            <w:pPr>
              <w:spacing w:after="0" w:line="20" w:lineRule="exact"/>
              <w:rPr>
                <w:sz w:val="1"/>
                <w:szCs w:val="1"/>
                <w:color w:val="auto"/>
              </w:rPr>
            </w:pPr>
          </w:p>
        </w:tc>
        <w:tc>
          <w:tcPr>
            <w:tcW w:w="13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Consumer Real Estate</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165,349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Agricultural Real Estate</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199,105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68,609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Agricultural</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Commercial Real Estate</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551,309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419,784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Commercial and Industrial</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135,631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Consumer</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1,220,765</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847,289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Less: Net deferred loan fees and costs</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(1,766)</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1,218,999</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Less: Allowance for loan losses</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(7,228)</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8"/>
                <w:szCs w:val="18"/>
                <w:color w:val="auto"/>
              </w:rPr>
              <w:t>Loans - Net</w:t>
            </w: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2"/>
            <w:vMerge w:val="continue"/>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1,211,771</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839,599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75"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54"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41"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52"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5"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22"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1"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198120</wp:posOffset>
            </wp:positionV>
            <wp:extent cx="729234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3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is a maturity schedule by major category of loans excluding fair value adjustments at December 31, 2019:</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90"/>
              </w:rPr>
              <w:t>After One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3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Within</w:t>
            </w:r>
          </w:p>
        </w:tc>
        <w:tc>
          <w:tcPr>
            <w:tcW w:w="22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2"/>
              </w:rPr>
              <w:t>Year Within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After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368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8"/>
              </w:rPr>
              <w:t>One Year</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5"/>
              </w:rPr>
              <w:t>Five Years</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5"/>
              </w:rPr>
              <w:t>Five Years</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tcPr>
          <w:p>
            <w:pPr>
              <w:spacing w:after="0"/>
              <w:rPr>
                <w:sz w:val="19"/>
                <w:szCs w:val="19"/>
                <w:color w:val="auto"/>
              </w:rPr>
            </w:pPr>
          </w:p>
        </w:tc>
      </w:tr>
      <w:tr>
        <w:trPr>
          <w:trHeight w:val="217"/>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141,231</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165,419</w:t>
            </w:r>
          </w:p>
        </w:tc>
        <w:tc>
          <w:tcPr>
            <w:tcW w:w="100" w:type="dxa"/>
            <w:vAlign w:val="bottom"/>
            <w:shd w:val="clear" w:color="auto" w:fill="CFF0FC"/>
          </w:tcPr>
          <w:p>
            <w:pPr>
              <w:spacing w:after="0"/>
              <w:rPr>
                <w:sz w:val="18"/>
                <w:szCs w:val="18"/>
                <w:color w:val="auto"/>
              </w:rPr>
            </w:pPr>
          </w:p>
        </w:tc>
      </w:tr>
      <w:tr>
        <w:trPr>
          <w:trHeight w:val="224"/>
        </w:trPr>
        <w:tc>
          <w:tcPr>
            <w:tcW w:w="36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195,162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200,102</w:t>
            </w:r>
          </w:p>
        </w:tc>
        <w:tc>
          <w:tcPr>
            <w:tcW w:w="100" w:type="dxa"/>
            <w:vAlign w:val="bottom"/>
          </w:tcPr>
          <w:p>
            <w:pPr>
              <w:spacing w:after="0"/>
              <w:rPr>
                <w:sz w:val="19"/>
                <w:szCs w:val="19"/>
                <w:color w:val="auto"/>
              </w:rPr>
            </w:pPr>
          </w:p>
        </w:tc>
      </w:tr>
      <w:tr>
        <w:trPr>
          <w:trHeight w:val="224"/>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111,811</w:t>
            </w:r>
          </w:p>
        </w:tc>
        <w:tc>
          <w:tcPr>
            <w:tcW w:w="100" w:type="dxa"/>
            <w:vAlign w:val="bottom"/>
            <w:shd w:val="clear" w:color="auto" w:fill="CFF0FC"/>
          </w:tcPr>
          <w:p>
            <w:pPr>
              <w:spacing w:after="0"/>
              <w:rPr>
                <w:sz w:val="19"/>
                <w:szCs w:val="19"/>
                <w:color w:val="auto"/>
              </w:rPr>
            </w:pPr>
          </w:p>
        </w:tc>
      </w:tr>
      <w:tr>
        <w:trPr>
          <w:trHeight w:val="224"/>
        </w:trPr>
        <w:tc>
          <w:tcPr>
            <w:tcW w:w="36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230,817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270,698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551,491</w:t>
            </w:r>
          </w:p>
        </w:tc>
        <w:tc>
          <w:tcPr>
            <w:tcW w:w="100" w:type="dxa"/>
            <w:vAlign w:val="bottom"/>
          </w:tcPr>
          <w:p>
            <w:pPr>
              <w:spacing w:after="0"/>
              <w:rPr>
                <w:sz w:val="19"/>
                <w:szCs w:val="19"/>
                <w:color w:val="auto"/>
              </w:rPr>
            </w:pPr>
          </w:p>
        </w:tc>
      </w:tr>
      <w:tr>
        <w:trPr>
          <w:trHeight w:val="224"/>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135,683</w:t>
            </w:r>
          </w:p>
        </w:tc>
        <w:tc>
          <w:tcPr>
            <w:tcW w:w="100" w:type="dxa"/>
            <w:vAlign w:val="bottom"/>
            <w:shd w:val="clear" w:color="auto" w:fill="CFF0FC"/>
          </w:tcPr>
          <w:p>
            <w:pPr>
              <w:spacing w:after="0"/>
              <w:rPr>
                <w:sz w:val="19"/>
                <w:szCs w:val="19"/>
                <w:color w:val="auto"/>
              </w:rPr>
            </w:pPr>
          </w:p>
        </w:tc>
      </w:tr>
      <w:tr>
        <w:trPr>
          <w:trHeight w:val="224"/>
        </w:trPr>
        <w:tc>
          <w:tcPr>
            <w:tcW w:w="3680" w:type="dxa"/>
            <w:vAlign w:val="bottom"/>
          </w:tcPr>
          <w:p>
            <w:pPr>
              <w:spacing w:after="0"/>
              <w:rPr>
                <w:sz w:val="20"/>
                <w:szCs w:val="20"/>
                <w:color w:val="auto"/>
              </w:rPr>
            </w:pPr>
            <w:r>
              <w:rPr>
                <w:rFonts w:ascii="Arial" w:cs="Arial" w:eastAsia="Arial" w:hAnsi="Arial"/>
                <w:sz w:val="18"/>
                <w:szCs w:val="18"/>
                <w:color w:val="auto"/>
              </w:rPr>
              <w:t>Consumer</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49,153</w:t>
            </w:r>
          </w:p>
        </w:tc>
        <w:tc>
          <w:tcPr>
            <w:tcW w:w="100" w:type="dxa"/>
            <w:vAlign w:val="bottom"/>
          </w:tcPr>
          <w:p>
            <w:pPr>
              <w:spacing w:after="0"/>
              <w:rPr>
                <w:sz w:val="19"/>
                <w:szCs w:val="19"/>
                <w:color w:val="auto"/>
              </w:rPr>
            </w:pPr>
          </w:p>
        </w:tc>
      </w:tr>
      <w:tr>
        <w:trPr>
          <w:trHeight w:val="224"/>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8,307</w:t>
            </w:r>
          </w:p>
        </w:tc>
        <w:tc>
          <w:tcPr>
            <w:tcW w:w="100" w:type="dxa"/>
            <w:vAlign w:val="bottom"/>
            <w:shd w:val="clear" w:color="auto" w:fill="CFF0FC"/>
          </w:tcPr>
          <w:p>
            <w:pPr>
              <w:spacing w:after="0"/>
              <w:rPr>
                <w:sz w:val="19"/>
                <w:szCs w:val="19"/>
                <w:color w:val="auto"/>
              </w:rPr>
            </w:pPr>
          </w:p>
        </w:tc>
      </w:tr>
      <w:tr>
        <w:trPr>
          <w:trHeight w:val="217"/>
        </w:trPr>
        <w:tc>
          <w:tcPr>
            <w:tcW w:w="36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197,074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372,697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652,195</w:t>
            </w:r>
          </w:p>
        </w:tc>
        <w:tc>
          <w:tcPr>
            <w:tcW w:w="22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1,221,966</w:t>
            </w:r>
          </w:p>
        </w:tc>
        <w:tc>
          <w:tcPr>
            <w:tcW w:w="10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December 31, 2019:</w:t>
      </w: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Fixed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Variable</w:t>
            </w:r>
          </w:p>
        </w:tc>
      </w:tr>
      <w:tr>
        <w:trPr>
          <w:trHeight w:val="224"/>
        </w:trPr>
        <w:tc>
          <w:tcPr>
            <w:tcW w:w="20" w:type="dxa"/>
            <w:vAlign w:val="bottom"/>
          </w:tcPr>
          <w:p>
            <w:pPr>
              <w:spacing w:after="0"/>
              <w:rPr>
                <w:sz w:val="19"/>
                <w:szCs w:val="19"/>
                <w:color w:val="auto"/>
              </w:rPr>
            </w:pPr>
          </w:p>
        </w:tc>
        <w:tc>
          <w:tcPr>
            <w:tcW w:w="3700" w:type="dxa"/>
            <w:vAlign w:val="bottom"/>
            <w:tcBorders>
              <w:bottom w:val="single" w:sz="8" w:color="CFF0FC"/>
            </w:tcBorders>
          </w:tcPr>
          <w:p>
            <w:pPr>
              <w:spacing w:after="0"/>
              <w:rPr>
                <w:sz w:val="19"/>
                <w:szCs w:val="19"/>
                <w:color w:val="auto"/>
              </w:rPr>
            </w:pPr>
          </w:p>
        </w:tc>
        <w:tc>
          <w:tcPr>
            <w:tcW w:w="18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Rate</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Rate</w:t>
            </w:r>
          </w:p>
        </w:tc>
        <w:tc>
          <w:tcPr>
            <w:tcW w:w="80" w:type="dxa"/>
            <w:vAlign w:val="bottom"/>
            <w:tcBorders>
              <w:bottom w:val="single" w:sz="8" w:color="CFF0FC"/>
            </w:tcBorders>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88,907</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76,442</w:t>
            </w:r>
          </w:p>
        </w:tc>
        <w:tc>
          <w:tcPr>
            <w:tcW w:w="80" w:type="dxa"/>
            <w:vAlign w:val="bottom"/>
            <w:shd w:val="clear" w:color="auto" w:fill="CFF0FC"/>
          </w:tcPr>
          <w:p>
            <w:pPr>
              <w:spacing w:after="0"/>
              <w:rPr>
                <w:sz w:val="18"/>
                <w:szCs w:val="18"/>
                <w:color w:val="auto"/>
              </w:rPr>
            </w:pP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97,684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101,421</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45,265</w:t>
            </w:r>
          </w:p>
        </w:tc>
        <w:tc>
          <w:tcPr>
            <w:tcW w:w="80" w:type="dxa"/>
            <w:vAlign w:val="bottom"/>
            <w:shd w:val="clear" w:color="auto" w:fill="CFF0FC"/>
          </w:tcPr>
          <w:p>
            <w:pPr>
              <w:spacing w:after="0"/>
              <w:rPr>
                <w:sz w:val="19"/>
                <w:szCs w:val="19"/>
                <w:color w:val="auto"/>
              </w:rPr>
            </w:pP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392,933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158,376</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50,523</w:t>
            </w:r>
          </w:p>
        </w:tc>
        <w:tc>
          <w:tcPr>
            <w:tcW w:w="80" w:type="dxa"/>
            <w:vAlign w:val="bottom"/>
            <w:shd w:val="clear" w:color="auto" w:fill="CFF0FC"/>
          </w:tcPr>
          <w:p>
            <w:pPr>
              <w:spacing w:after="0"/>
              <w:rPr>
                <w:sz w:val="19"/>
                <w:szCs w:val="19"/>
                <w:color w:val="auto"/>
              </w:rPr>
            </w:pP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4,815</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Other loans are included in the commercial and industrial category for the remainder of the tables in this Note 4, unless specifically noted separately.</w:t>
      </w:r>
    </w:p>
    <w:p>
      <w:pPr>
        <w:spacing w:after="0" w:line="132" w:lineRule="exact"/>
        <w:rPr>
          <w:sz w:val="20"/>
          <w:szCs w:val="20"/>
          <w:color w:val="auto"/>
        </w:rPr>
      </w:pPr>
    </w:p>
    <w:p>
      <w:pPr>
        <w:ind w:left="820" w:right="20"/>
        <w:spacing w:after="0" w:line="262" w:lineRule="auto"/>
        <w:rPr>
          <w:sz w:val="20"/>
          <w:szCs w:val="20"/>
          <w:color w:val="auto"/>
        </w:rPr>
      </w:pPr>
      <w:r>
        <w:rPr>
          <w:rFonts w:ascii="Arial" w:cs="Arial" w:eastAsia="Arial" w:hAnsi="Arial"/>
          <w:sz w:val="18"/>
          <w:szCs w:val="18"/>
          <w:color w:val="auto"/>
        </w:rPr>
        <w:t>The following table represents the contractual aging of the recorded investment in past due loans by portfolio classification of loans as of December 31, 2019 and 2018, net of deferred loan fees and costs: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Recorded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Investment</w:t>
            </w:r>
          </w:p>
        </w:tc>
        <w:tc>
          <w:tcPr>
            <w:tcW w:w="20" w:type="dxa"/>
            <w:vAlign w:val="bottom"/>
          </w:tcPr>
          <w:p>
            <w:pPr>
              <w:spacing w:after="0"/>
              <w:rPr>
                <w:sz w:val="18"/>
                <w:szCs w:val="18"/>
                <w:color w:val="auto"/>
              </w:rPr>
            </w:pPr>
          </w:p>
        </w:tc>
      </w:tr>
      <w:tr>
        <w:trPr>
          <w:trHeight w:val="211"/>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center"/>
              <w:ind w:left="17"/>
              <w:spacing w:after="0"/>
              <w:rPr>
                <w:sz w:val="20"/>
                <w:szCs w:val="20"/>
                <w:color w:val="auto"/>
              </w:rPr>
            </w:pPr>
            <w:r>
              <w:rPr>
                <w:rFonts w:ascii="Arial" w:cs="Arial" w:eastAsia="Arial" w:hAnsi="Arial"/>
                <w:sz w:val="18"/>
                <w:szCs w:val="18"/>
                <w:color w:val="auto"/>
                <w:w w:val="85"/>
              </w:rPr>
              <w:t>Greater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0"/>
              </w:rPr>
              <w:t>&gt; 90 Days</w:t>
            </w:r>
          </w:p>
        </w:tc>
        <w:tc>
          <w:tcPr>
            <w:tcW w:w="20" w:type="dxa"/>
            <w:vAlign w:val="bottom"/>
          </w:tcPr>
          <w:p>
            <w:pPr>
              <w:spacing w:after="0"/>
              <w:rPr>
                <w:sz w:val="18"/>
                <w:szCs w:val="18"/>
                <w:color w:val="auto"/>
              </w:rPr>
            </w:pPr>
          </w:p>
        </w:tc>
      </w:tr>
      <w:tr>
        <w:trPr>
          <w:trHeight w:val="211"/>
        </w:trPr>
        <w:tc>
          <w:tcPr>
            <w:tcW w:w="428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30-59 Days</w:t>
            </w:r>
          </w:p>
        </w:tc>
        <w:tc>
          <w:tcPr>
            <w:tcW w:w="24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60-89 Days</w:t>
            </w:r>
          </w:p>
        </w:tc>
        <w:tc>
          <w:tcPr>
            <w:tcW w:w="700" w:type="dxa"/>
            <w:vAlign w:val="bottom"/>
          </w:tcPr>
          <w:p>
            <w:pPr>
              <w:jc w:val="center"/>
              <w:ind w:left="17"/>
              <w:spacing w:after="0"/>
              <w:rPr>
                <w:sz w:val="20"/>
                <w:szCs w:val="20"/>
                <w:color w:val="auto"/>
              </w:rPr>
            </w:pPr>
            <w:r>
              <w:rPr>
                <w:rFonts w:ascii="Arial" w:cs="Arial" w:eastAsia="Arial" w:hAnsi="Arial"/>
                <w:sz w:val="18"/>
                <w:szCs w:val="18"/>
                <w:color w:val="auto"/>
                <w:w w:val="87"/>
              </w:rPr>
              <w:t>Than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Financing</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December 31, 2019</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0"/>
              </w:rPr>
              <w:t>Past Due</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3"/>
              </w:rPr>
              <w:t>Past Due</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90 Days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3"/>
              </w:rPr>
              <w:t>Past Due</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3"/>
              </w:rPr>
              <w:t>Current</w:t>
            </w:r>
          </w:p>
        </w:tc>
        <w:tc>
          <w:tcPr>
            <w:tcW w:w="2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Receivables</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Accruing</w:t>
            </w: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320" w:type="dxa"/>
            <w:vAlign w:val="bottom"/>
            <w:gridSpan w:val="2"/>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164,266</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164,691</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55"/>
              <w:spacing w:after="0"/>
              <w:rPr>
                <w:sz w:val="20"/>
                <w:szCs w:val="20"/>
                <w:color w:val="auto"/>
              </w:rPr>
            </w:pPr>
            <w:r>
              <w:rPr>
                <w:rFonts w:ascii="Arial" w:cs="Arial" w:eastAsia="Arial" w:hAnsi="Arial"/>
                <w:sz w:val="15"/>
                <w:szCs w:val="15"/>
                <w:color w:val="auto"/>
                <w:w w:val="71"/>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198,752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198,859</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111,864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111,949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550,082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550,082</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144,009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24"/>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49,409</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17"/>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320" w:type="dxa"/>
            <w:vAlign w:val="bottom"/>
            <w:gridSpan w:val="2"/>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1,217,860</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1,218,999</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55"/>
              <w:spacing w:after="0"/>
              <w:rPr>
                <w:sz w:val="20"/>
                <w:szCs w:val="20"/>
                <w:color w:val="auto"/>
              </w:rPr>
            </w:pPr>
            <w:r>
              <w:rPr>
                <w:rFonts w:ascii="Arial" w:cs="Arial" w:eastAsia="Arial" w:hAnsi="Arial"/>
                <w:sz w:val="15"/>
                <w:szCs w:val="15"/>
                <w:color w:val="auto"/>
                <w:w w:val="71"/>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1"/>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92"/>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8"/>
        </w:trPr>
        <w:tc>
          <w:tcPr>
            <w:tcW w:w="4280" w:type="dxa"/>
            <w:vAlign w:val="bottom"/>
          </w:tcPr>
          <w:p>
            <w:pPr>
              <w:spacing w:after="0"/>
              <w:rPr>
                <w:sz w:val="20"/>
                <w:szCs w:val="20"/>
                <w:color w:val="auto"/>
              </w:rPr>
            </w:pPr>
            <w:r>
              <w:rPr>
                <w:rFonts w:ascii="Arial" w:cs="Arial" w:eastAsia="Arial" w:hAnsi="Arial"/>
                <w:sz w:val="18"/>
                <w:szCs w:val="18"/>
                <w:b w:val="1"/>
                <w:bCs w:val="1"/>
                <w:color w:val="auto"/>
                <w:w w:val="94"/>
              </w:rPr>
              <w:t>Farmers &amp; Merchants Bancorp, Inc. and Subsidiaries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11"/>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28"/>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Note 4 – Loans (Continued)</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8"/>
          </w:tcPr>
          <w:p>
            <w:pPr>
              <w:jc w:val="right"/>
              <w:spacing w:after="0"/>
              <w:rPr>
                <w:sz w:val="20"/>
                <w:szCs w:val="20"/>
                <w:color w:val="auto"/>
              </w:rPr>
            </w:pPr>
            <w:r>
              <w:rPr>
                <w:rFonts w:ascii="Arial" w:cs="Arial" w:eastAsia="Arial" w:hAnsi="Arial"/>
                <w:sz w:val="18"/>
                <w:szCs w:val="18"/>
                <w:b w:val="1"/>
                <w:bCs w:val="1"/>
                <w:color w:val="auto"/>
              </w:rPr>
              <w:t>December 31, 2019, 2018, 2017</w:t>
            </w:r>
          </w:p>
        </w:tc>
        <w:tc>
          <w:tcPr>
            <w:tcW w:w="0" w:type="dxa"/>
            <w:vAlign w:val="bottom"/>
          </w:tcPr>
          <w:p>
            <w:pPr>
              <w:spacing w:after="0"/>
              <w:rPr>
                <w:sz w:val="1"/>
                <w:szCs w:val="1"/>
                <w:color w:val="auto"/>
              </w:rPr>
            </w:pPr>
          </w:p>
        </w:tc>
      </w:tr>
      <w:tr>
        <w:trPr>
          <w:trHeight w:val="211"/>
        </w:trPr>
        <w:tc>
          <w:tcPr>
            <w:tcW w:w="4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Recorded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Investment</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2"/>
              <w:spacing w:after="0"/>
              <w:rPr>
                <w:sz w:val="20"/>
                <w:szCs w:val="20"/>
                <w:color w:val="auto"/>
              </w:rPr>
            </w:pPr>
            <w:r>
              <w:rPr>
                <w:rFonts w:ascii="Arial" w:cs="Arial" w:eastAsia="Arial" w:hAnsi="Arial"/>
                <w:sz w:val="18"/>
                <w:szCs w:val="18"/>
                <w:color w:val="auto"/>
                <w:w w:val="88"/>
              </w:rPr>
              <w:t>Greater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Total</w:t>
            </w:r>
          </w:p>
        </w:tc>
        <w:tc>
          <w:tcPr>
            <w:tcW w:w="86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&gt; 90 Days</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30-59 Days</w:t>
            </w:r>
          </w:p>
        </w:tc>
        <w:tc>
          <w:tcPr>
            <w:tcW w:w="24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60-89 Days</w:t>
            </w:r>
          </w:p>
        </w:tc>
        <w:tc>
          <w:tcPr>
            <w:tcW w:w="100" w:type="dxa"/>
            <w:vAlign w:val="bottom"/>
          </w:tcPr>
          <w:p>
            <w:pPr>
              <w:spacing w:after="0"/>
              <w:rPr>
                <w:sz w:val="18"/>
                <w:szCs w:val="18"/>
                <w:color w:val="auto"/>
              </w:rPr>
            </w:pPr>
          </w:p>
        </w:tc>
        <w:tc>
          <w:tcPr>
            <w:tcW w:w="720" w:type="dxa"/>
            <w:vAlign w:val="bottom"/>
          </w:tcPr>
          <w:p>
            <w:pPr>
              <w:jc w:val="center"/>
              <w:ind w:right="32"/>
              <w:spacing w:after="0"/>
              <w:rPr>
                <w:sz w:val="20"/>
                <w:szCs w:val="20"/>
                <w:color w:val="auto"/>
              </w:rPr>
            </w:pPr>
            <w:r>
              <w:rPr>
                <w:rFonts w:ascii="Arial" w:cs="Arial" w:eastAsia="Arial" w:hAnsi="Arial"/>
                <w:sz w:val="18"/>
                <w:szCs w:val="18"/>
                <w:color w:val="auto"/>
                <w:w w:val="87"/>
              </w:rPr>
              <w:t>Than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99"/>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Financing</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December 31, 2018</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0"/>
              </w:rPr>
              <w:t>Past Due</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3"/>
              </w:rPr>
              <w:t>Past Due</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90 Days</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1"/>
              </w:rPr>
              <w:t>Past Due</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9"/>
              </w:rPr>
              <w:t>Current</w:t>
            </w:r>
          </w:p>
        </w:tc>
        <w:tc>
          <w:tcPr>
            <w:tcW w:w="2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Receivables</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Accruing</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320" w:type="dxa"/>
            <w:vAlign w:val="bottom"/>
            <w:gridSpan w:val="2"/>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79,612</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80,232</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5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68,588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68,588</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108,616</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419,131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419,131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127,752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127,752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42,055</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320" w:type="dxa"/>
            <w:vAlign w:val="bottom"/>
            <w:gridSpan w:val="2"/>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845,637</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846,374</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5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The following table presents the recorded investment in nonaccrual loans by portfolio class of loans as of December 31, 2019 and December 31, 2018:</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5"/>
          </w:tcPr>
          <w:p>
            <w:pPr>
              <w:ind w:left="4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CFF0FC"/>
            </w:tcBorders>
          </w:tcPr>
          <w:p>
            <w:pPr>
              <w:spacing w:after="0"/>
              <w:rPr>
                <w:sz w:val="18"/>
                <w:szCs w:val="18"/>
                <w:color w:val="auto"/>
              </w:rPr>
            </w:pPr>
          </w:p>
        </w:tc>
        <w:tc>
          <w:tcPr>
            <w:tcW w:w="18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Agriculture</w:t>
            </w:r>
          </w:p>
        </w:tc>
        <w:tc>
          <w:tcPr>
            <w:tcW w:w="1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vMerge w:val="continue"/>
            <w:shd w:val="clear" w:color="auto" w:fill="CFF0FC"/>
          </w:tcPr>
          <w:p>
            <w:pPr>
              <w:spacing w:after="0"/>
              <w:rPr>
                <w:sz w:val="18"/>
                <w:szCs w:val="18"/>
                <w:color w:val="auto"/>
              </w:rPr>
            </w:pPr>
          </w:p>
        </w:tc>
        <w:tc>
          <w:tcPr>
            <w:tcW w:w="2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risk ratings are described as follows.</w:t>
      </w:r>
    </w:p>
    <w:p>
      <w:pPr>
        <w:spacing w:after="0" w:line="109" w:lineRule="exact"/>
        <w:rPr>
          <w:sz w:val="20"/>
          <w:szCs w:val="20"/>
          <w:color w:val="auto"/>
        </w:rPr>
      </w:pPr>
    </w:p>
    <w:p>
      <w:pPr>
        <w:ind w:left="1780" w:hanging="563"/>
        <w:spacing w:after="0"/>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09" w:lineRule="exact"/>
        <w:rPr>
          <w:rFonts w:ascii="Arial" w:cs="Arial" w:eastAsia="Arial" w:hAnsi="Arial"/>
          <w:sz w:val="18"/>
          <w:szCs w:val="18"/>
          <w:color w:val="auto"/>
        </w:rPr>
      </w:pPr>
    </w:p>
    <w:p>
      <w:pPr>
        <w:jc w:val="both"/>
        <w:ind w:left="1780" w:hanging="563"/>
        <w:spacing w:after="0" w:line="283" w:lineRule="auto"/>
        <w:tabs>
          <w:tab w:leader="none" w:pos="1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61" w:lineRule="exact"/>
        <w:rPr>
          <w:rFonts w:ascii="Arial" w:cs="Arial" w:eastAsia="Arial" w:hAnsi="Arial"/>
          <w:sz w:val="16"/>
          <w:szCs w:val="16"/>
          <w:color w:val="auto"/>
        </w:rPr>
      </w:pPr>
    </w:p>
    <w:p>
      <w:pPr>
        <w:jc w:val="both"/>
        <w:ind w:left="1780" w:hanging="563"/>
        <w:spacing w:after="0" w:line="248" w:lineRule="auto"/>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89" w:lineRule="exact"/>
        <w:rPr>
          <w:rFonts w:ascii="Arial" w:cs="Arial" w:eastAsia="Arial" w:hAnsi="Arial"/>
          <w:sz w:val="18"/>
          <w:szCs w:val="18"/>
          <w:color w:val="auto"/>
        </w:rPr>
      </w:pPr>
    </w:p>
    <w:p>
      <w:pPr>
        <w:jc w:val="both"/>
        <w:ind w:left="1780" w:hanging="563"/>
        <w:spacing w:after="0" w:line="253" w:lineRule="auto"/>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308" w:lineRule="exact"/>
        <w:rPr>
          <w:sz w:val="20"/>
          <w:szCs w:val="20"/>
          <w:color w:val="auto"/>
        </w:rPr>
      </w:pPr>
    </w:p>
    <w:p>
      <w:pPr>
        <w:ind w:left="1780"/>
        <w:spacing w:after="0" w:line="262" w:lineRule="auto"/>
        <w:rPr>
          <w:sz w:val="20"/>
          <w:szCs w:val="20"/>
          <w:color w:val="auto"/>
        </w:rPr>
      </w:pPr>
      <w:r>
        <w:rPr>
          <w:rFonts w:ascii="Arial" w:cs="Arial" w:eastAsia="Arial" w:hAnsi="Arial"/>
          <w:sz w:val="18"/>
          <w:szCs w:val="18"/>
          <w:color w:val="auto"/>
        </w:rPr>
        <w:t>position less than 2.00. May be some weakness but with offsetting features of other support readily available. Loans are meeting the terms of repayment.</w:t>
      </w:r>
    </w:p>
    <w:p>
      <w:pPr>
        <w:spacing w:after="0" w:line="75" w:lineRule="exact"/>
        <w:rPr>
          <w:sz w:val="20"/>
          <w:szCs w:val="20"/>
          <w:color w:val="auto"/>
        </w:rPr>
      </w:pPr>
    </w:p>
    <w:p>
      <w:pPr>
        <w:ind w:left="1780"/>
        <w:spacing w:after="0" w:line="262" w:lineRule="auto"/>
        <w:rPr>
          <w:sz w:val="20"/>
          <w:szCs w:val="20"/>
          <w:color w:val="auto"/>
        </w:rPr>
      </w:pPr>
      <w:r>
        <w:rPr>
          <w:rFonts w:ascii="Arial" w:cs="Arial" w:eastAsia="Arial" w:hAnsi="Arial"/>
          <w:sz w:val="18"/>
          <w:szCs w:val="18"/>
          <w:color w:val="auto"/>
        </w:rPr>
        <w:t>Loans may be graded 3 when there is no recent information on which to base a current risk evaluation and the following conditions apply:</w:t>
      </w:r>
    </w:p>
    <w:p>
      <w:pPr>
        <w:spacing w:after="0" w:line="7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109" w:lineRule="exact"/>
        <w:rPr>
          <w:sz w:val="20"/>
          <w:szCs w:val="20"/>
          <w:color w:val="auto"/>
        </w:rPr>
      </w:pPr>
    </w:p>
    <w:p>
      <w:pPr>
        <w:ind w:left="2340" w:hanging="557"/>
        <w:spacing w:after="0"/>
        <w:tabs>
          <w:tab w:leader="none" w:pos="23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At inception, the loan was secured with collateral possessing a loan-to-value adequate to protect the Bank from loss;</w:t>
      </w:r>
    </w:p>
    <w:p>
      <w:pPr>
        <w:spacing w:after="0" w:line="132" w:lineRule="exact"/>
        <w:rPr>
          <w:rFonts w:ascii="Arial" w:cs="Arial" w:eastAsia="Arial" w:hAnsi="Arial"/>
          <w:sz w:val="16"/>
          <w:szCs w:val="16"/>
          <w:color w:val="auto"/>
        </w:rPr>
      </w:pPr>
    </w:p>
    <w:p>
      <w:pPr>
        <w:ind w:left="2340" w:hanging="557"/>
        <w:spacing w:after="0"/>
        <w:tabs>
          <w:tab w:leader="none" w:pos="23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loan exhibited two or more years of satisfactory repayment with a reasonable reduction of the principal balance;</w:t>
      </w:r>
    </w:p>
    <w:p>
      <w:pPr>
        <w:spacing w:after="0" w:line="132" w:lineRule="exact"/>
        <w:rPr>
          <w:rFonts w:ascii="Arial" w:cs="Arial" w:eastAsia="Arial" w:hAnsi="Arial"/>
          <w:sz w:val="16"/>
          <w:szCs w:val="16"/>
          <w:color w:val="auto"/>
        </w:rPr>
      </w:pPr>
    </w:p>
    <w:p>
      <w:pPr>
        <w:jc w:val="both"/>
        <w:ind w:left="2340" w:hanging="557"/>
        <w:spacing w:after="0" w:line="327" w:lineRule="auto"/>
        <w:tabs>
          <w:tab w:leader="none" w:pos="234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are observed, a lower risk grade is warranted.</w:t>
      </w:r>
    </w:p>
    <w:p>
      <w:pPr>
        <w:spacing w:after="0" w:line="32" w:lineRule="exact"/>
        <w:rPr>
          <w:rFonts w:ascii="Arial" w:cs="Arial" w:eastAsia="Arial" w:hAnsi="Arial"/>
          <w:sz w:val="15"/>
          <w:szCs w:val="15"/>
          <w:color w:val="auto"/>
        </w:rPr>
      </w:pPr>
    </w:p>
    <w:p>
      <w:pPr>
        <w:jc w:val="both"/>
        <w:ind w:left="1780" w:hanging="563"/>
        <w:spacing w:after="0" w:line="291" w:lineRule="auto"/>
        <w:tabs>
          <w:tab w:leader="none" w:pos="1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55" w:lineRule="exact"/>
        <w:rPr>
          <w:rFonts w:ascii="Arial" w:cs="Arial" w:eastAsia="Arial" w:hAnsi="Arial"/>
          <w:sz w:val="16"/>
          <w:szCs w:val="16"/>
          <w:color w:val="auto"/>
        </w:rPr>
      </w:pPr>
    </w:p>
    <w:p>
      <w:pPr>
        <w:jc w:val="both"/>
        <w:ind w:left="1780" w:hanging="563"/>
        <w:spacing w:after="0" w:line="291" w:lineRule="auto"/>
        <w:tabs>
          <w:tab w:leader="none" w:pos="1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Five (5) Special Mention. Loans that possess some credit deficiency or potential weakness which deserve close attention but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55" w:lineRule="exact"/>
        <w:rPr>
          <w:rFonts w:ascii="Arial" w:cs="Arial" w:eastAsia="Arial" w:hAnsi="Arial"/>
          <w:sz w:val="16"/>
          <w:szCs w:val="16"/>
          <w:color w:val="auto"/>
        </w:rPr>
      </w:pPr>
    </w:p>
    <w:p>
      <w:pPr>
        <w:ind w:left="1780" w:hanging="563"/>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09" w:lineRule="exact"/>
        <w:rPr>
          <w:rFonts w:ascii="Arial" w:cs="Arial" w:eastAsia="Arial" w:hAnsi="Arial"/>
          <w:sz w:val="18"/>
          <w:szCs w:val="18"/>
          <w:color w:val="auto"/>
        </w:rPr>
      </w:pPr>
    </w:p>
    <w:p>
      <w:pPr>
        <w:jc w:val="both"/>
        <w:ind w:left="2340" w:hanging="557"/>
        <w:spacing w:after="0" w:line="253" w:lineRule="auto"/>
        <w:tabs>
          <w:tab w:leader="none" w:pos="2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and are uncertain. Financial deterioration is underway and very close attention is warranted to ensure that the loan is collected without loss.</w:t>
      </w:r>
    </w:p>
    <w:p>
      <w:pPr>
        <w:spacing w:after="0" w:line="82" w:lineRule="exact"/>
        <w:rPr>
          <w:rFonts w:ascii="Arial" w:cs="Arial" w:eastAsia="Arial" w:hAnsi="Arial"/>
          <w:sz w:val="18"/>
          <w:szCs w:val="18"/>
          <w:color w:val="auto"/>
        </w:rPr>
      </w:pPr>
    </w:p>
    <w:p>
      <w:pPr>
        <w:ind w:left="2340" w:hanging="557"/>
        <w:spacing w:after="0"/>
        <w:tabs>
          <w:tab w:leader="none" w:pos="2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09" w:lineRule="exact"/>
        <w:rPr>
          <w:rFonts w:ascii="Arial" w:cs="Arial" w:eastAsia="Arial" w:hAnsi="Arial"/>
          <w:sz w:val="18"/>
          <w:szCs w:val="18"/>
          <w:color w:val="auto"/>
        </w:rPr>
      </w:pPr>
    </w:p>
    <w:p>
      <w:pPr>
        <w:ind w:left="2340" w:hanging="557"/>
        <w:spacing w:after="0" w:line="262" w:lineRule="auto"/>
        <w:tabs>
          <w:tab w:leader="none" w:pos="2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4" w:lineRule="exact"/>
        <w:rPr>
          <w:rFonts w:ascii="Arial" w:cs="Arial" w:eastAsia="Arial" w:hAnsi="Arial"/>
          <w:sz w:val="18"/>
          <w:szCs w:val="18"/>
          <w:color w:val="auto"/>
        </w:rPr>
      </w:pPr>
    </w:p>
    <w:p>
      <w:pPr>
        <w:ind w:left="2340" w:hanging="557"/>
        <w:spacing w:after="0"/>
        <w:tabs>
          <w:tab w:leader="none" w:pos="23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132" w:lineRule="exact"/>
        <w:rPr>
          <w:rFonts w:ascii="Arial" w:cs="Arial" w:eastAsia="Arial" w:hAnsi="Arial"/>
          <w:sz w:val="16"/>
          <w:szCs w:val="16"/>
          <w:color w:val="auto"/>
        </w:rPr>
      </w:pPr>
    </w:p>
    <w:p>
      <w:pPr>
        <w:ind w:left="2340" w:hanging="557"/>
        <w:spacing w:after="0"/>
        <w:tabs>
          <w:tab w:leader="none" w:pos="2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09" w:lineRule="exact"/>
        <w:rPr>
          <w:rFonts w:ascii="Arial" w:cs="Arial" w:eastAsia="Arial" w:hAnsi="Arial"/>
          <w:sz w:val="18"/>
          <w:szCs w:val="18"/>
          <w:color w:val="auto"/>
        </w:rPr>
      </w:pPr>
    </w:p>
    <w:p>
      <w:pPr>
        <w:ind w:left="2340" w:hanging="557"/>
        <w:spacing w:after="0"/>
        <w:tabs>
          <w:tab w:leader="none" w:pos="2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borrower is not generating enough cash flow to repay loan principal but continues to make interest payments.</w:t>
      </w:r>
    </w:p>
    <w:p>
      <w:pPr>
        <w:spacing w:after="0" w:line="109" w:lineRule="exact"/>
        <w:rPr>
          <w:rFonts w:ascii="Arial" w:cs="Arial" w:eastAsia="Arial" w:hAnsi="Arial"/>
          <w:sz w:val="18"/>
          <w:szCs w:val="18"/>
          <w:color w:val="auto"/>
        </w:rPr>
      </w:pPr>
    </w:p>
    <w:p>
      <w:pPr>
        <w:ind w:left="2340" w:hanging="557"/>
        <w:spacing w:after="0"/>
        <w:tabs>
          <w:tab w:leader="none" w:pos="2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09" w:lineRule="exact"/>
        <w:rPr>
          <w:rFonts w:ascii="Arial" w:cs="Arial" w:eastAsia="Arial" w:hAnsi="Arial"/>
          <w:sz w:val="18"/>
          <w:szCs w:val="18"/>
          <w:color w:val="auto"/>
        </w:rPr>
      </w:pPr>
    </w:p>
    <w:p>
      <w:pPr>
        <w:ind w:left="2340" w:hanging="557"/>
        <w:spacing w:after="0" w:line="262" w:lineRule="auto"/>
        <w:tabs>
          <w:tab w:leader="none" w:pos="2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308" w:lineRule="exact"/>
        <w:rPr>
          <w:sz w:val="20"/>
          <w:szCs w:val="20"/>
          <w:color w:val="auto"/>
        </w:rPr>
      </w:pPr>
    </w:p>
    <w:p>
      <w:pPr>
        <w:ind w:left="2340" w:hanging="557"/>
        <w:spacing w:after="0"/>
        <w:tabs>
          <w:tab w:leader="none" w:pos="23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09" w:lineRule="exact"/>
        <w:rPr>
          <w:rFonts w:ascii="Arial" w:cs="Arial" w:eastAsia="Arial" w:hAnsi="Arial"/>
          <w:sz w:val="18"/>
          <w:szCs w:val="18"/>
          <w:color w:val="auto"/>
        </w:rPr>
      </w:pPr>
    </w:p>
    <w:p>
      <w:pPr>
        <w:ind w:left="2340" w:hanging="557"/>
        <w:spacing w:after="0"/>
        <w:tabs>
          <w:tab w:leader="none" w:pos="23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109" w:lineRule="exact"/>
        <w:rPr>
          <w:rFonts w:ascii="Arial" w:cs="Arial" w:eastAsia="Arial" w:hAnsi="Arial"/>
          <w:sz w:val="18"/>
          <w:szCs w:val="18"/>
          <w:color w:val="auto"/>
        </w:rPr>
      </w:pPr>
    </w:p>
    <w:p>
      <w:pPr>
        <w:ind w:left="1780" w:hanging="563"/>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09" w:lineRule="exact"/>
        <w:rPr>
          <w:rFonts w:ascii="Arial" w:cs="Arial" w:eastAsia="Arial" w:hAnsi="Arial"/>
          <w:sz w:val="18"/>
          <w:szCs w:val="18"/>
          <w:color w:val="auto"/>
        </w:rPr>
      </w:pPr>
    </w:p>
    <w:p>
      <w:pPr>
        <w:ind w:left="2340" w:right="20" w:hanging="557"/>
        <w:spacing w:after="0" w:line="262" w:lineRule="auto"/>
        <w:tabs>
          <w:tab w:leader="none" w:pos="2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these weaknesses make collection or liquidation in full based on existing conditions improbable.</w:t>
      </w:r>
    </w:p>
    <w:p>
      <w:pPr>
        <w:spacing w:after="0" w:line="74" w:lineRule="exact"/>
        <w:rPr>
          <w:rFonts w:ascii="Arial" w:cs="Arial" w:eastAsia="Arial" w:hAnsi="Arial"/>
          <w:sz w:val="18"/>
          <w:szCs w:val="18"/>
          <w:color w:val="auto"/>
        </w:rPr>
      </w:pPr>
    </w:p>
    <w:p>
      <w:pPr>
        <w:ind w:left="2340" w:hanging="557"/>
        <w:spacing w:after="0"/>
        <w:tabs>
          <w:tab w:leader="none" w:pos="23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The primary source of repayment is gone, and there is considerable doubt as to the quality of the secondary source of repayment.</w:t>
      </w:r>
    </w:p>
    <w:p>
      <w:pPr>
        <w:spacing w:after="0" w:line="143" w:lineRule="exact"/>
        <w:rPr>
          <w:rFonts w:ascii="Arial" w:cs="Arial" w:eastAsia="Arial" w:hAnsi="Arial"/>
          <w:sz w:val="15"/>
          <w:szCs w:val="15"/>
          <w:color w:val="auto"/>
        </w:rPr>
      </w:pPr>
    </w:p>
    <w:p>
      <w:pPr>
        <w:jc w:val="both"/>
        <w:ind w:left="2340" w:right="20" w:hanging="557"/>
        <w:spacing w:after="0" w:line="253" w:lineRule="auto"/>
        <w:tabs>
          <w:tab w:leader="none" w:pos="2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82" w:lineRule="exact"/>
        <w:rPr>
          <w:rFonts w:ascii="Arial" w:cs="Arial" w:eastAsia="Arial" w:hAnsi="Arial"/>
          <w:sz w:val="18"/>
          <w:szCs w:val="18"/>
          <w:color w:val="auto"/>
        </w:rPr>
      </w:pPr>
    </w:p>
    <w:p>
      <w:pPr>
        <w:jc w:val="both"/>
        <w:ind w:left="1780" w:right="20" w:hanging="563"/>
        <w:spacing w:after="0" w:line="299" w:lineRule="auto"/>
        <w:tabs>
          <w:tab w:leader="none" w:pos="1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50" w:lineRule="exact"/>
        <w:rPr>
          <w:sz w:val="20"/>
          <w:szCs w:val="20"/>
          <w:color w:val="auto"/>
        </w:rPr>
      </w:pPr>
    </w:p>
    <w:p>
      <w:pPr>
        <w:ind w:left="820" w:right="20"/>
        <w:spacing w:after="0" w:line="262" w:lineRule="auto"/>
        <w:rPr>
          <w:sz w:val="20"/>
          <w:szCs w:val="20"/>
          <w:color w:val="auto"/>
        </w:rPr>
      </w:pPr>
      <w:r>
        <w:rPr>
          <w:rFonts w:ascii="Arial" w:cs="Arial" w:eastAsia="Arial" w:hAnsi="Arial"/>
          <w:sz w:val="18"/>
          <w:szCs w:val="18"/>
          <w:color w:val="auto"/>
        </w:rPr>
        <w:t>The following table represents the risk category of loans by portfolio class, net of deferred fees, based on the most recent analysis performed as of the time periods shown of December 31, 2019 and December 31,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5"/>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ind w:left="180"/>
              <w:spacing w:after="0" w:line="205" w:lineRule="exact"/>
              <w:rPr>
                <w:sz w:val="20"/>
                <w:szCs w:val="20"/>
                <w:color w:val="auto"/>
              </w:rPr>
            </w:pPr>
            <w:r>
              <w:rPr>
                <w:rFonts w:ascii="Arial" w:cs="Arial" w:eastAsia="Arial" w:hAnsi="Arial"/>
                <w:sz w:val="18"/>
                <w:szCs w:val="18"/>
                <w:color w:val="auto"/>
              </w:rPr>
              <w:t>Commercial and</w:t>
            </w:r>
          </w:p>
        </w:tc>
        <w:tc>
          <w:tcPr>
            <w:tcW w:w="1880" w:type="dxa"/>
            <w:vAlign w:val="bottom"/>
            <w:gridSpan w:val="5"/>
          </w:tcPr>
          <w:p>
            <w:pPr>
              <w:jc w:val="right"/>
              <w:ind w:right="52"/>
              <w:spacing w:after="0" w:line="205" w:lineRule="exact"/>
              <w:rPr>
                <w:sz w:val="20"/>
                <w:szCs w:val="20"/>
                <w:color w:val="auto"/>
              </w:rPr>
            </w:pPr>
            <w:r>
              <w:rPr>
                <w:rFonts w:ascii="Arial" w:cs="Arial" w:eastAsia="Arial" w:hAnsi="Arial"/>
                <w:sz w:val="18"/>
                <w:szCs w:val="18"/>
                <w:color w:val="auto"/>
                <w:w w:val="93"/>
              </w:rPr>
              <w:t>Industrial Development</w:t>
            </w:r>
          </w:p>
        </w:tc>
        <w:tc>
          <w:tcPr>
            <w:tcW w:w="20" w:type="dxa"/>
            <w:vAlign w:val="bottom"/>
          </w:tcPr>
          <w:p>
            <w:pPr>
              <w:spacing w:after="0"/>
              <w:rPr>
                <w:sz w:val="17"/>
                <w:szCs w:val="17"/>
                <w:color w:val="auto"/>
              </w:rPr>
            </w:pPr>
          </w:p>
        </w:tc>
      </w:tr>
      <w:tr>
        <w:trPr>
          <w:trHeight w:val="223"/>
        </w:trPr>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5"/>
          </w:tcPr>
          <w:p>
            <w:pPr>
              <w:spacing w:after="0"/>
              <w:rPr>
                <w:sz w:val="20"/>
                <w:szCs w:val="20"/>
                <w:color w:val="auto"/>
              </w:rPr>
            </w:pPr>
            <w:r>
              <w:rPr>
                <w:rFonts w:ascii="Arial" w:cs="Arial" w:eastAsia="Arial" w:hAnsi="Arial"/>
                <w:sz w:val="18"/>
                <w:szCs w:val="18"/>
                <w:color w:val="auto"/>
              </w:rPr>
              <w:t>Agricultural Real Estate</w:t>
            </w:r>
          </w:p>
        </w:tc>
        <w:tc>
          <w:tcPr>
            <w:tcW w:w="160" w:type="dxa"/>
            <w:vAlign w:val="bottom"/>
          </w:tcPr>
          <w:p>
            <w:pPr>
              <w:spacing w:after="0"/>
              <w:rPr>
                <w:sz w:val="19"/>
                <w:szCs w:val="19"/>
                <w:color w:val="auto"/>
              </w:rPr>
            </w:pPr>
          </w:p>
        </w:tc>
        <w:tc>
          <w:tcPr>
            <w:tcW w:w="1740" w:type="dxa"/>
            <w:vAlign w:val="bottom"/>
            <w:gridSpan w:val="4"/>
          </w:tcPr>
          <w:p>
            <w:pPr>
              <w:jc w:val="right"/>
              <w:ind w:right="432"/>
              <w:spacing w:after="0"/>
              <w:rPr>
                <w:sz w:val="20"/>
                <w:szCs w:val="20"/>
                <w:color w:val="auto"/>
              </w:rPr>
            </w:pPr>
            <w:r>
              <w:rPr>
                <w:rFonts w:ascii="Arial" w:cs="Arial" w:eastAsia="Arial" w:hAnsi="Arial"/>
                <w:sz w:val="18"/>
                <w:szCs w:val="18"/>
                <w:color w:val="auto"/>
              </w:rPr>
              <w:t>Agricultural</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4"/>
          </w:tcPr>
          <w:p>
            <w:pPr>
              <w:jc w:val="right"/>
              <w:ind w:right="12"/>
              <w:spacing w:after="0"/>
              <w:rPr>
                <w:sz w:val="20"/>
                <w:szCs w:val="20"/>
                <w:color w:val="auto"/>
              </w:rPr>
            </w:pPr>
            <w:r>
              <w:rPr>
                <w:rFonts w:ascii="Arial" w:cs="Arial" w:eastAsia="Arial" w:hAnsi="Arial"/>
                <w:sz w:val="18"/>
                <w:szCs w:val="18"/>
                <w:color w:val="auto"/>
                <w:w w:val="87"/>
              </w:rPr>
              <w:t>Commercial Real Estate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Industrial</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Bonds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72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2018</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2019</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2018</w:t>
            </w:r>
          </w:p>
        </w:tc>
        <w:tc>
          <w:tcPr>
            <w:tcW w:w="24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2018</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2019</w:t>
            </w:r>
          </w:p>
        </w:tc>
        <w:tc>
          <w:tcPr>
            <w:tcW w:w="22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2018</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2019</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94"/>
              </w:rPr>
              <w:t>2018</w:t>
            </w:r>
          </w:p>
        </w:tc>
        <w:tc>
          <w:tcPr>
            <w:tcW w:w="20" w:type="dxa"/>
            <w:vAlign w:val="bottom"/>
          </w:tcPr>
          <w:p>
            <w:pPr>
              <w:spacing w:after="0"/>
              <w:rPr>
                <w:sz w:val="18"/>
                <w:szCs w:val="18"/>
                <w:color w:val="auto"/>
              </w:rPr>
            </w:pPr>
          </w:p>
        </w:tc>
      </w:tr>
      <w:tr>
        <w:trPr>
          <w:trHeight w:val="217"/>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1-2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14,655</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4,698</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36,913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38,852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131,780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64,341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19,790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3,135</w:t>
            </w:r>
          </w:p>
        </w:tc>
        <w:tc>
          <w:tcPr>
            <w:tcW w:w="2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4</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116,834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49,596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63,380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401,404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346,072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103,527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100,644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20" w:type="dxa"/>
            <w:vAlign w:val="bottom"/>
          </w:tcPr>
          <w:p>
            <w:pPr>
              <w:spacing w:after="0"/>
              <w:rPr>
                <w:sz w:val="19"/>
                <w:szCs w:val="19"/>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8</w:t>
            </w:r>
          </w:p>
        </w:tc>
        <w:tc>
          <w:tcPr>
            <w:tcW w:w="3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198,859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68,588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111,949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108,616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550,082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419,131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135,695</w:t>
            </w:r>
          </w:p>
        </w:tc>
        <w:tc>
          <w:tcPr>
            <w:tcW w:w="2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121,863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8,314</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5,889</w:t>
            </w:r>
          </w:p>
        </w:tc>
        <w:tc>
          <w:tcPr>
            <w:tcW w:w="2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1"/>
        </w:trPr>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7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which was previously stated, and by payment activity. The following tables present the recorded investment in those classes based on payment activity and assigned risk grading as of December 31, 2019 and December 31, 2018.</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color w:val="auto"/>
                <w:w w:val="91"/>
              </w:rPr>
              <w:t>Consumer Real Estate</w:t>
            </w:r>
          </w:p>
        </w:tc>
      </w:tr>
      <w:tr>
        <w:trPr>
          <w:trHeight w:val="217"/>
        </w:trPr>
        <w:tc>
          <w:tcPr>
            <w:tcW w:w="20" w:type="dxa"/>
            <w:vAlign w:val="bottom"/>
          </w:tcPr>
          <w:p>
            <w:pPr>
              <w:spacing w:after="0"/>
              <w:rPr>
                <w:sz w:val="18"/>
                <w:szCs w:val="18"/>
                <w:color w:val="auto"/>
              </w:rPr>
            </w:pPr>
          </w:p>
        </w:tc>
        <w:tc>
          <w:tcPr>
            <w:tcW w:w="3640" w:type="dxa"/>
            <w:vAlign w:val="bottom"/>
            <w:tcBorders>
              <w:bottom w:val="single" w:sz="8" w:color="CFF0FC"/>
            </w:tcBorders>
          </w:tcPr>
          <w:p>
            <w:pPr>
              <w:spacing w:after="0"/>
              <w:rPr>
                <w:sz w:val="18"/>
                <w:szCs w:val="18"/>
                <w:color w:val="auto"/>
              </w:rPr>
            </w:pPr>
          </w:p>
        </w:tc>
        <w:tc>
          <w:tcPr>
            <w:tcW w:w="20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2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Arial" w:cs="Arial" w:eastAsia="Arial" w:hAnsi="Arial"/>
                <w:sz w:val="18"/>
                <w:szCs w:val="18"/>
                <w:color w:val="auto"/>
              </w:rPr>
              <w:t>Pass</w:t>
            </w:r>
          </w:p>
        </w:tc>
        <w:tc>
          <w:tcPr>
            <w:tcW w:w="2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160,930</w:t>
            </w:r>
          </w:p>
        </w:tc>
        <w:tc>
          <w:tcPr>
            <w:tcW w:w="2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79,121</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Special mention (5)</w:t>
            </w:r>
          </w:p>
        </w:tc>
        <w:tc>
          <w:tcPr>
            <w:tcW w:w="2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FF0FC"/>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640" w:type="dxa"/>
            <w:vAlign w:val="bottom"/>
          </w:tcPr>
          <w:p>
            <w:pPr>
              <w:ind w:left="220"/>
              <w:spacing w:after="0"/>
              <w:rPr>
                <w:sz w:val="20"/>
                <w:szCs w:val="20"/>
                <w:color w:val="auto"/>
              </w:rPr>
            </w:pPr>
            <w:r>
              <w:rPr>
                <w:rFonts w:ascii="Arial" w:cs="Arial" w:eastAsia="Arial" w:hAnsi="Arial"/>
                <w:sz w:val="18"/>
                <w:szCs w:val="18"/>
                <w:color w:val="auto"/>
              </w:rPr>
              <w:t>Substandard (6)</w:t>
            </w: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879</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Doubtful (7)</w:t>
            </w:r>
          </w:p>
        </w:tc>
        <w:tc>
          <w:tcPr>
            <w:tcW w:w="20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17"/>
        </w:trPr>
        <w:tc>
          <w:tcPr>
            <w:tcW w:w="3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164,691</w:t>
            </w:r>
          </w:p>
        </w:tc>
        <w:tc>
          <w:tcPr>
            <w:tcW w:w="2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80,232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4"/>
          </w:tcPr>
          <w:p>
            <w:pPr>
              <w:jc w:val="right"/>
              <w:ind w:right="232"/>
              <w:spacing w:after="0"/>
              <w:rPr>
                <w:sz w:val="20"/>
                <w:szCs w:val="20"/>
                <w:color w:val="auto"/>
              </w:rPr>
            </w:pPr>
            <w:r>
              <w:rPr>
                <w:rFonts w:ascii="Arial" w:cs="Arial" w:eastAsia="Arial" w:hAnsi="Arial"/>
                <w:sz w:val="18"/>
                <w:szCs w:val="18"/>
                <w:color w:val="auto"/>
                <w:w w:val="92"/>
              </w:rPr>
              <w:t>Consumer - Credit Card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ind w:left="320"/>
              <w:spacing w:after="0"/>
              <w:rPr>
                <w:sz w:val="20"/>
                <w:szCs w:val="20"/>
                <w:color w:val="auto"/>
              </w:rPr>
            </w:pPr>
            <w:r>
              <w:rPr>
                <w:rFonts w:ascii="Arial" w:cs="Arial" w:eastAsia="Arial" w:hAnsi="Arial"/>
                <w:sz w:val="18"/>
                <w:szCs w:val="18"/>
                <w:color w:val="auto"/>
              </w:rPr>
              <w:t>Consumer - Other</w:t>
            </w:r>
          </w:p>
        </w:tc>
      </w:tr>
      <w:tr>
        <w:trPr>
          <w:trHeight w:val="217"/>
        </w:trPr>
        <w:tc>
          <w:tcPr>
            <w:tcW w:w="3200" w:type="dxa"/>
            <w:vAlign w:val="bottom"/>
            <w:tcBorders>
              <w:bottom w:val="single" w:sz="8" w:color="CFF0FC"/>
            </w:tcBorders>
          </w:tcPr>
          <w:p>
            <w:pPr>
              <w:spacing w:after="0"/>
              <w:rPr>
                <w:sz w:val="18"/>
                <w:szCs w:val="18"/>
                <w:color w:val="auto"/>
              </w:rPr>
            </w:pPr>
          </w:p>
        </w:tc>
        <w:tc>
          <w:tcPr>
            <w:tcW w:w="21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18"/>
                <w:szCs w:val="18"/>
                <w:color w:val="auto"/>
              </w:rPr>
            </w:pPr>
          </w:p>
        </w:tc>
      </w:tr>
      <w:tr>
        <w:trPr>
          <w:trHeight w:val="217"/>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44,831</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38,073</w:t>
            </w:r>
          </w:p>
        </w:tc>
        <w:tc>
          <w:tcPr>
            <w:tcW w:w="100" w:type="dxa"/>
            <w:vAlign w:val="bottom"/>
            <w:shd w:val="clear" w:color="auto" w:fill="CFF0FC"/>
          </w:tcPr>
          <w:p>
            <w:pPr>
              <w:spacing w:after="0"/>
              <w:rPr>
                <w:sz w:val="18"/>
                <w:szCs w:val="18"/>
                <w:color w:val="auto"/>
              </w:rPr>
            </w:pPr>
          </w:p>
        </w:tc>
      </w:tr>
      <w:tr>
        <w:trPr>
          <w:trHeight w:val="224"/>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Nonperforming</w:t>
            </w:r>
          </w:p>
        </w:tc>
        <w:tc>
          <w:tcPr>
            <w:tcW w:w="2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FF0FC"/>
            </w:tcBorders>
          </w:tcPr>
          <w:p>
            <w:pPr>
              <w:spacing w:after="0"/>
              <w:rPr>
                <w:sz w:val="19"/>
                <w:szCs w:val="19"/>
                <w:color w:val="auto"/>
              </w:rPr>
            </w:pPr>
          </w:p>
        </w:tc>
      </w:tr>
      <w:tr>
        <w:trPr>
          <w:trHeight w:val="217"/>
        </w:trPr>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45,318</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38,127</w:t>
            </w:r>
          </w:p>
        </w:tc>
        <w:tc>
          <w:tcPr>
            <w:tcW w:w="100" w:type="dxa"/>
            <w:vAlign w:val="bottom"/>
            <w:shd w:val="clear" w:color="auto" w:fill="CFF0FC"/>
          </w:tcPr>
          <w:p>
            <w:pPr>
              <w:spacing w:after="0"/>
              <w:rPr>
                <w:sz w:val="18"/>
                <w:szCs w:val="18"/>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2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Information about impaired loans as of and for the years ended December 31, 2019 and 2018 are as follows:</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6"/>
          </w:tcPr>
          <w:p>
            <w:pPr>
              <w:jc w:val="right"/>
              <w:ind w:right="572"/>
              <w:spacing w:after="0"/>
              <w:rPr>
                <w:sz w:val="20"/>
                <w:szCs w:val="20"/>
                <w:color w:val="auto"/>
              </w:rPr>
            </w:pPr>
            <w:r>
              <w:rPr>
                <w:rFonts w:ascii="Arial" w:cs="Arial" w:eastAsia="Arial" w:hAnsi="Arial"/>
                <w:sz w:val="18"/>
                <w:szCs w:val="18"/>
                <w:color w:val="auto"/>
                <w:w w:val="87"/>
              </w:rPr>
              <w:t>(In Thousands)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9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color w:val="auto"/>
                <w:w w:val="84"/>
              </w:rPr>
              <w:t>2018</w:t>
            </w:r>
          </w:p>
        </w:tc>
        <w:tc>
          <w:tcPr>
            <w:tcW w:w="80" w:type="dxa"/>
            <w:vAlign w:val="bottom"/>
            <w:tcBorders>
              <w:bottom w:val="single" w:sz="8" w:color="CFF0FC"/>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80" w:type="dxa"/>
            <w:vAlign w:val="bottom"/>
            <w:gridSpan w:val="2"/>
          </w:tcPr>
          <w:p>
            <w:pPr>
              <w:ind w:left="560"/>
              <w:spacing w:after="0"/>
              <w:rPr>
                <w:sz w:val="20"/>
                <w:szCs w:val="20"/>
                <w:color w:val="auto"/>
              </w:rPr>
            </w:pPr>
            <w:r>
              <w:rPr>
                <w:rFonts w:ascii="Arial" w:cs="Arial" w:eastAsia="Arial" w:hAnsi="Arial"/>
                <w:sz w:val="18"/>
                <w:szCs w:val="18"/>
                <w:color w:val="auto"/>
              </w:rPr>
              <w:t>Impaired loans with a valuation allowance</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4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3,061</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80" w:type="dxa"/>
            <w:vAlign w:val="bottom"/>
            <w:gridSpan w:val="2"/>
            <w:vMerge w:val="restart"/>
          </w:tcPr>
          <w:p>
            <w:pPr>
              <w:ind w:left="560"/>
              <w:spacing w:after="0"/>
              <w:rPr>
                <w:sz w:val="20"/>
                <w:szCs w:val="20"/>
                <w:color w:val="auto"/>
              </w:rPr>
            </w:pPr>
            <w:r>
              <w:rPr>
                <w:rFonts w:ascii="Arial" w:cs="Arial" w:eastAsia="Arial" w:hAnsi="Arial"/>
                <w:sz w:val="18"/>
                <w:szCs w:val="18"/>
                <w:color w:val="auto"/>
              </w:rPr>
              <w:t>Valuation allowance related to impaired loans</w:t>
            </w: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197</w:t>
            </w:r>
          </w:p>
        </w:tc>
        <w:tc>
          <w:tcPr>
            <w:tcW w:w="5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9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ind w:left="400"/>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3,400</w:t>
            </w:r>
          </w:p>
        </w:tc>
        <w:tc>
          <w:tcPr>
            <w:tcW w:w="56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542</w:t>
            </w: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80" w:type="dxa"/>
            <w:vAlign w:val="bottom"/>
            <w:gridSpan w:val="2"/>
            <w:vMerge w:val="restart"/>
          </w:tcPr>
          <w:p>
            <w:pPr>
              <w:ind w:left="560"/>
              <w:spacing w:after="0"/>
              <w:rPr>
                <w:sz w:val="20"/>
                <w:szCs w:val="20"/>
                <w:color w:val="auto"/>
              </w:rPr>
            </w:pPr>
            <w:r>
              <w:rPr>
                <w:rFonts w:ascii="Arial" w:cs="Arial" w:eastAsia="Arial" w:hAnsi="Arial"/>
                <w:sz w:val="18"/>
                <w:szCs w:val="18"/>
                <w:color w:val="auto"/>
              </w:rPr>
              <w:t>Total loans past-due ninety days or more and still accruing</w:t>
            </w: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color w:val="auto"/>
              </w:rPr>
              <w:t>(In Thousands)</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Borders>
              <w:bottom w:val="single" w:sz="8" w:color="CFF0FC"/>
            </w:tcBorders>
          </w:tcPr>
          <w:p>
            <w:pPr>
              <w:spacing w:after="0"/>
              <w:rPr>
                <w:sz w:val="18"/>
                <w:szCs w:val="18"/>
                <w:color w:val="auto"/>
              </w:rPr>
            </w:pPr>
          </w:p>
        </w:tc>
        <w:tc>
          <w:tcPr>
            <w:tcW w:w="49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Average investment in impaired loans</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w w:val="84"/>
              </w:rPr>
              <w:t>2,649</w:t>
            </w:r>
          </w:p>
        </w:tc>
        <w:tc>
          <w:tcPr>
            <w:tcW w:w="680" w:type="dxa"/>
            <w:vAlign w:val="bottom"/>
            <w:gridSpan w:val="2"/>
            <w:shd w:val="clear" w:color="auto" w:fill="CFF0FC"/>
          </w:tcPr>
          <w:p>
            <w:pPr>
              <w:jc w:val="right"/>
              <w:ind w:right="27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740" w:type="dxa"/>
            <w:vAlign w:val="bottom"/>
            <w:gridSpan w:val="3"/>
            <w:shd w:val="clear" w:color="auto" w:fill="CFF0FC"/>
          </w:tcPr>
          <w:p>
            <w:pPr>
              <w:jc w:val="right"/>
              <w:ind w:right="31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Interest income recognized on impaired loans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80" w:type="dxa"/>
            <w:vAlign w:val="bottom"/>
            <w:gridSpan w:val="2"/>
            <w:vMerge w:val="continue"/>
          </w:tcPr>
          <w:p>
            <w:pPr>
              <w:spacing w:after="0"/>
              <w:rPr>
                <w:sz w:val="21"/>
                <w:szCs w:val="21"/>
                <w:color w:val="auto"/>
              </w:rPr>
            </w:pPr>
          </w:p>
        </w:tc>
        <w:tc>
          <w:tcPr>
            <w:tcW w:w="220" w:type="dxa"/>
            <w:vAlign w:val="bottom"/>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118</w:t>
            </w:r>
          </w:p>
        </w:tc>
        <w:tc>
          <w:tcPr>
            <w:tcW w:w="680" w:type="dxa"/>
            <w:vAlign w:val="bottom"/>
            <w:gridSpan w:val="2"/>
          </w:tcPr>
          <w:p>
            <w:pPr>
              <w:jc w:val="right"/>
              <w:ind w:right="272"/>
              <w:spacing w:after="0" w:line="203"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69</w:t>
            </w:r>
          </w:p>
        </w:tc>
        <w:tc>
          <w:tcPr>
            <w:tcW w:w="740" w:type="dxa"/>
            <w:vAlign w:val="bottom"/>
            <w:gridSpan w:val="3"/>
          </w:tcPr>
          <w:p>
            <w:pPr>
              <w:jc w:val="right"/>
              <w:ind w:right="312"/>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480" w:type="dxa"/>
            <w:vAlign w:val="bottom"/>
            <w:tcBorders>
              <w:top w:val="single" w:sz="8" w:color="CFF0FC"/>
            </w:tcBorders>
            <w:gridSpan w:val="2"/>
            <w:shd w:val="clear" w:color="auto" w:fill="CFF0FC"/>
          </w:tcPr>
          <w:p>
            <w:pPr>
              <w:spacing w:after="0" w:line="191" w:lineRule="exact"/>
              <w:rPr>
                <w:sz w:val="20"/>
                <w:szCs w:val="20"/>
                <w:color w:val="auto"/>
              </w:rPr>
            </w:pPr>
            <w:r>
              <w:rPr>
                <w:rFonts w:ascii="Arial" w:cs="Arial" w:eastAsia="Arial" w:hAnsi="Arial"/>
                <w:sz w:val="18"/>
                <w:szCs w:val="18"/>
                <w:color w:val="auto"/>
              </w:rPr>
              <w:t>Interest income recognized on a cash basis on impaired</w:t>
            </w:r>
          </w:p>
        </w:tc>
        <w:tc>
          <w:tcPr>
            <w:tcW w:w="22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right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80" w:type="dxa"/>
            <w:vAlign w:val="bottom"/>
            <w:gridSpan w:val="2"/>
            <w:shd w:val="clear" w:color="auto" w:fill="CFF0FC"/>
          </w:tcPr>
          <w:p>
            <w:pPr>
              <w:jc w:val="right"/>
              <w:ind w:right="27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740" w:type="dxa"/>
            <w:vAlign w:val="bottom"/>
            <w:gridSpan w:val="3"/>
            <w:shd w:val="clear" w:color="auto" w:fill="CFF0FC"/>
          </w:tcPr>
          <w:p>
            <w:pPr>
              <w:jc w:val="right"/>
              <w:ind w:right="31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FF0FC"/>
            </w:tcBorders>
          </w:tcPr>
          <w:p>
            <w:pPr>
              <w:spacing w:after="0" w:line="20" w:lineRule="exact"/>
              <w:rPr>
                <w:sz w:val="1"/>
                <w:szCs w:val="1"/>
                <w:color w:val="auto"/>
              </w:rPr>
            </w:pPr>
          </w:p>
        </w:tc>
        <w:tc>
          <w:tcPr>
            <w:tcW w:w="4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Additional funds of $4 thousand are committed to be advanced in connection with impaired loans.</w:t>
      </w:r>
    </w:p>
    <w:p>
      <w:pPr>
        <w:spacing w:after="0" w:line="109"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The Bank had approximately $956 thousand and $178 thousand of its impaired loans classified as troubled debt restructured as of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49795" cy="584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9795" cy="58420"/>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jc w:val="both"/>
        <w:ind w:left="600"/>
        <w:spacing w:after="0" w:line="291" w:lineRule="auto"/>
        <w:rPr>
          <w:sz w:val="20"/>
          <w:szCs w:val="20"/>
          <w:color w:val="auto"/>
        </w:rPr>
      </w:pPr>
      <w:r>
        <w:rPr>
          <w:rFonts w:ascii="Arial" w:cs="Arial" w:eastAsia="Arial" w:hAnsi="Arial"/>
          <w:sz w:val="16"/>
          <w:szCs w:val="16"/>
          <w:color w:val="auto"/>
        </w:rPr>
        <w:t>Modification programs focused on payment pattern changes and/or modified maturity dates with most receiving a combination of the two concessions. The modifications did not result in the contractual forgiveness of principal. In 2019, four of the loans resulted in payment changes to interest only for an extended period of time and one loan had a lowering of payment to match an extended maturity. Consequently, the financial impact of the modifications was immaterial. The following table represents the years ended December 31, 2019 and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December 31, 2019</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5"/>
          </w:tcPr>
          <w:p>
            <w:pPr>
              <w:ind w:left="380"/>
              <w:spacing w:after="0"/>
              <w:rPr>
                <w:sz w:val="20"/>
                <w:szCs w:val="20"/>
                <w:color w:val="auto"/>
              </w:rPr>
            </w:pPr>
            <w:r>
              <w:rPr>
                <w:rFonts w:ascii="Arial" w:cs="Arial" w:eastAsia="Arial" w:hAnsi="Arial"/>
                <w:sz w:val="18"/>
                <w:szCs w:val="18"/>
                <w:color w:val="auto"/>
              </w:rPr>
              <w:t>(In thousands)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3"/>
          </w:tcPr>
          <w:p>
            <w:pPr>
              <w:jc w:val="right"/>
              <w:ind w:right="334"/>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Pre-</w:t>
            </w: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Post-</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Pre-</w:t>
            </w: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1240" w:type="dxa"/>
            <w:vAlign w:val="bottom"/>
            <w:gridSpan w:val="4"/>
          </w:tcPr>
          <w:p>
            <w:pPr>
              <w:jc w:val="center"/>
              <w:spacing w:after="0"/>
              <w:rPr>
                <w:sz w:val="20"/>
                <w:szCs w:val="20"/>
                <w:color w:val="auto"/>
              </w:rPr>
            </w:pPr>
            <w:r>
              <w:rPr>
                <w:rFonts w:ascii="Arial" w:cs="Arial" w:eastAsia="Arial" w:hAnsi="Arial"/>
                <w:sz w:val="18"/>
                <w:szCs w:val="18"/>
                <w:color w:val="auto"/>
                <w:w w:val="95"/>
              </w:rPr>
              <w:t>Modification</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Modification</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Number of</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Modification</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Modification</w:t>
            </w:r>
          </w:p>
        </w:tc>
      </w:tr>
      <w:tr>
        <w:trPr>
          <w:trHeight w:val="211"/>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Contracts</w:t>
            </w:r>
          </w:p>
        </w:tc>
        <w:tc>
          <w:tcPr>
            <w:tcW w:w="16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Outstanding</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Outstanding</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Contracts</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Outstanding</w:t>
            </w:r>
          </w:p>
        </w:tc>
        <w:tc>
          <w:tcPr>
            <w:tcW w:w="98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Outstanding</w:t>
            </w:r>
          </w:p>
        </w:tc>
      </w:tr>
      <w:tr>
        <w:trPr>
          <w:trHeight w:val="211"/>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Modified in the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Recorded</w:t>
            </w: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Recorded</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Modified in the</w:t>
            </w: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Recorded</w:t>
            </w:r>
          </w:p>
        </w:tc>
        <w:tc>
          <w:tcPr>
            <w:tcW w:w="840" w:type="dxa"/>
            <w:vAlign w:val="bottom"/>
          </w:tcPr>
          <w:p>
            <w:pPr>
              <w:jc w:val="center"/>
              <w:spacing w:after="0"/>
              <w:rPr>
                <w:sz w:val="20"/>
                <w:szCs w:val="20"/>
                <w:color w:val="auto"/>
              </w:rPr>
            </w:pPr>
            <w:r>
              <w:rPr>
                <w:rFonts w:ascii="Arial" w:cs="Arial" w:eastAsia="Arial" w:hAnsi="Arial"/>
                <w:sz w:val="18"/>
                <w:szCs w:val="18"/>
                <w:color w:val="auto"/>
                <w:w w:val="84"/>
              </w:rPr>
              <w:t>Recorded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Troubled Debt Restructurings</w:t>
            </w:r>
          </w:p>
        </w:tc>
        <w:tc>
          <w:tcPr>
            <w:tcW w:w="6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Last 12 Months</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Borders>
              <w:bottom w:val="single" w:sz="8" w:color="CFF0FC"/>
            </w:tcBorders>
          </w:tcPr>
          <w:p>
            <w:pPr>
              <w:spacing w:after="0"/>
              <w:rPr>
                <w:sz w:val="19"/>
                <w:szCs w:val="19"/>
                <w:color w:val="auto"/>
              </w:rPr>
            </w:pPr>
          </w:p>
        </w:tc>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Troubled Debt Restructurings</w:t>
            </w:r>
          </w:p>
        </w:tc>
        <w:tc>
          <w:tcPr>
            <w:tcW w:w="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Last 12 Months</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Investment</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r>
      <w:tr>
        <w:trPr>
          <w:trHeight w:val="217"/>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180" w:type="dxa"/>
            <w:vAlign w:val="bottom"/>
            <w:gridSpan w:val="2"/>
            <w:shd w:val="clear" w:color="auto" w:fill="CFF0FC"/>
          </w:tcPr>
          <w:p>
            <w:pPr>
              <w:jc w:val="right"/>
              <w:ind w:right="352"/>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10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74"/>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8"/>
                <w:szCs w:val="18"/>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180" w:type="dxa"/>
            <w:vAlign w:val="bottom"/>
            <w:gridSpan w:val="2"/>
          </w:tcPr>
          <w:p>
            <w:pPr>
              <w:jc w:val="right"/>
              <w:ind w:right="35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r>
    </w:tbl>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years ended December 31, 2019 and 2018, there were no TDR’s that subsequently defaulted after modification.</w:t>
      </w:r>
    </w:p>
    <w:p>
      <w:pPr>
        <w:spacing w:after="0" w:line="109"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For the Bank’s impaired TDR loans, the Bank may utilize a measurement incorporating the present value of expected future cash flows discounted at the loan's effective rate of interest or the fair value of collateral if the loan is collateral dependent. To determine the fair value of collateral,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89" w:lineRule="exact"/>
        <w:rPr>
          <w:sz w:val="20"/>
          <w:szCs w:val="20"/>
          <w:color w:val="auto"/>
        </w:rPr>
      </w:pPr>
    </w:p>
    <w:p>
      <w:pPr>
        <w:jc w:val="both"/>
        <w:ind w:left="600"/>
        <w:spacing w:after="0" w:line="283"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whether a partial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tables present loans individually evaluated for impairment by portfolio class of loans as of December 31, 2019 and 2018:</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280"/>
              <w:spacing w:after="0" w:line="205" w:lineRule="exact"/>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Interest</w:t>
            </w: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Recorded</w:t>
            </w: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0"/>
              </w:rPr>
              <w:t>Related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Income</w:t>
            </w: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Recognized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Investment</w:t>
            </w:r>
          </w:p>
        </w:tc>
        <w:tc>
          <w:tcPr>
            <w:tcW w:w="10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Balance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Allowance</w:t>
            </w:r>
          </w:p>
        </w:tc>
        <w:tc>
          <w:tcPr>
            <w:tcW w:w="22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8"/>
              </w:rPr>
              <w:t>Investment</w:t>
            </w:r>
          </w:p>
        </w:tc>
        <w:tc>
          <w:tcPr>
            <w:tcW w:w="22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Recognized</w:t>
            </w: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85"/>
              </w:rPr>
              <w:t>Cash Basis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226</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691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691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21</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153</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299</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238</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1,209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1,359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142</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1,192</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20"/>
                <w:szCs w:val="20"/>
                <w:color w:val="auto"/>
              </w:rPr>
            </w:pPr>
            <w:r>
              <w:rPr>
                <w:rFonts w:ascii="Arial" w:cs="Arial" w:eastAsia="Arial" w:hAnsi="Arial"/>
                <w:sz w:val="18"/>
                <w:szCs w:val="18"/>
                <w:b w:val="1"/>
                <w:bCs w:val="1"/>
                <w:color w:val="auto"/>
              </w:rPr>
              <w:t>Note 4 – Loans (Continued)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3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280"/>
              <w:spacing w:after="0" w:line="205" w:lineRule="exact"/>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11"/>
        </w:trPr>
        <w:tc>
          <w:tcPr>
            <w:tcW w:w="3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Interest</w:t>
            </w: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11"/>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84"/>
              </w:rPr>
              <w:t>Recorded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0"/>
              </w:rPr>
              <w:t>Related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Income</w:t>
            </w: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Recognized</w:t>
            </w: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3"/>
              </w:rPr>
              <w:t>Investment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Balance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Allowance</w:t>
            </w:r>
          </w:p>
        </w:tc>
        <w:tc>
          <w:tcPr>
            <w:tcW w:w="22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8"/>
              </w:rPr>
              <w:t>Investment</w:t>
            </w:r>
          </w:p>
        </w:tc>
        <w:tc>
          <w:tcPr>
            <w:tcW w:w="22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Recognized</w:t>
            </w: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85"/>
              </w:rPr>
              <w:t>Cash Basis</w:t>
            </w:r>
          </w:p>
        </w:tc>
        <w:tc>
          <w:tcPr>
            <w:tcW w:w="0" w:type="dxa"/>
            <w:vAlign w:val="bottom"/>
          </w:tcPr>
          <w:p>
            <w:pPr>
              <w:spacing w:after="0"/>
              <w:rPr>
                <w:sz w:val="1"/>
                <w:szCs w:val="1"/>
                <w:color w:val="auto"/>
              </w:rPr>
            </w:pPr>
          </w:p>
        </w:tc>
      </w:tr>
      <w:tr>
        <w:trPr>
          <w:trHeight w:val="217"/>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194</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338</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1,103</w:t>
            </w: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1,103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883</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20" w:right="20"/>
        <w:spacing w:after="0" w:line="287" w:lineRule="auto"/>
        <w:rPr>
          <w:sz w:val="20"/>
          <w:szCs w:val="20"/>
          <w:color w:val="auto"/>
        </w:rPr>
      </w:pPr>
      <w:r>
        <w:rPr>
          <w:rFonts w:ascii="Arial" w:cs="Arial" w:eastAsia="Arial" w:hAnsi="Arial"/>
          <w:sz w:val="16"/>
          <w:szCs w:val="16"/>
          <w:color w:val="auto"/>
        </w:rPr>
        <w:t>As of December 31, 2019 the Company had $50 thousand of foreclosed residential real estate property obtained by physical possession and $383 thousand of consumer mortgage loans secured by residential real estate properties for which foreclosure proceedings are in process according to local jurisdictions. This compares to the Company having $61 thousand of foreclosed residential real estate property obtained by physical possession and $278 thousand of consumer mortgage loans secured by residential real estate properties for which foreclosure proceedings are in process according to local jurisdictions as of December 31, 2018.</w:t>
      </w:r>
    </w:p>
    <w:p>
      <w:pPr>
        <w:spacing w:after="0" w:line="59"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The ALLL has a direct impact on the provision expense. An increase in the ALLL is funded through recoveries and provision expense. The following tables summarize the activities in the allowance for credit losses.</w:t>
      </w:r>
    </w:p>
    <w:p>
      <w:pPr>
        <w:spacing w:after="0" w:line="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is an analysis of the allowance for credit losses for the years ended December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7"/>
              </w:rPr>
              <w:t>(In Thousands)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820" w:type="dxa"/>
            <w:vAlign w:val="bottom"/>
            <w:tcBorders>
              <w:bottom w:val="single" w:sz="8" w:color="CFF0FC"/>
            </w:tcBorders>
          </w:tcPr>
          <w:p>
            <w:pPr>
              <w:spacing w:after="0"/>
              <w:rPr>
                <w:sz w:val="18"/>
                <w:szCs w:val="18"/>
                <w:color w:val="auto"/>
              </w:rPr>
            </w:pPr>
          </w:p>
        </w:tc>
        <w:tc>
          <w:tcPr>
            <w:tcW w:w="16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Losses</w:t>
            </w:r>
          </w:p>
        </w:tc>
        <w:tc>
          <w:tcPr>
            <w:tcW w:w="1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6,775</w:t>
            </w:r>
          </w:p>
        </w:tc>
        <w:tc>
          <w:tcPr>
            <w:tcW w:w="14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6,868</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6,784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1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6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80" w:type="dxa"/>
            <w:vAlign w:val="bottom"/>
            <w:gridSpan w:val="2"/>
          </w:tcPr>
          <w:p>
            <w:pPr>
              <w:ind w:left="1160"/>
              <w:spacing w:after="0"/>
              <w:rPr>
                <w:sz w:val="20"/>
                <w:szCs w:val="20"/>
                <w:color w:val="auto"/>
              </w:rPr>
            </w:pPr>
            <w:r>
              <w:rPr>
                <w:rFonts w:ascii="Arial" w:cs="Arial" w:eastAsia="Arial" w:hAnsi="Arial"/>
                <w:sz w:val="18"/>
                <w:szCs w:val="18"/>
                <w:color w:val="auto"/>
              </w:rPr>
              <w:t>Balance at ending of year</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7,228</w:t>
            </w:r>
          </w:p>
        </w:tc>
        <w:tc>
          <w:tcPr>
            <w:tcW w:w="140" w:type="dxa"/>
            <w:vAlign w:val="bottom"/>
          </w:tcPr>
          <w:p>
            <w:pPr>
              <w:spacing w:after="0"/>
              <w:rPr>
                <w:sz w:val="22"/>
                <w:szCs w:val="22"/>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6,775</w:t>
            </w:r>
          </w:p>
        </w:tc>
        <w:tc>
          <w:tcPr>
            <w:tcW w:w="14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6,868</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38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Allowance for Unfunded Loan Commitments</w:t>
            </w:r>
          </w:p>
        </w:tc>
        <w:tc>
          <w:tcPr>
            <w:tcW w:w="16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&amp; Letters of Credit</w:t>
            </w: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2"/>
            <w:vMerge w:val="restart"/>
          </w:tcPr>
          <w:p>
            <w:pPr>
              <w:ind w:left="1160"/>
              <w:spacing w:after="0"/>
              <w:rPr>
                <w:sz w:val="20"/>
                <w:szCs w:val="20"/>
                <w:color w:val="auto"/>
              </w:rPr>
            </w:pPr>
            <w:r>
              <w:rPr>
                <w:rFonts w:ascii="Arial" w:cs="Arial" w:eastAsia="Arial" w:hAnsi="Arial"/>
                <w:sz w:val="18"/>
                <w:szCs w:val="18"/>
                <w:color w:val="auto"/>
              </w:rPr>
              <w:t>Total Allowance for Credit Losses</w:t>
            </w: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gridSpan w:val="2"/>
            <w:vMerge w:val="continue"/>
          </w:tcPr>
          <w:p>
            <w:pPr>
              <w:spacing w:after="0"/>
              <w:rPr>
                <w:sz w:val="17"/>
                <w:szCs w:val="17"/>
                <w:color w:val="auto"/>
              </w:rPr>
            </w:pPr>
          </w:p>
        </w:tc>
        <w:tc>
          <w:tcPr>
            <w:tcW w:w="18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7,707</w:t>
            </w:r>
          </w:p>
        </w:tc>
        <w:tc>
          <w:tcPr>
            <w:tcW w:w="140" w:type="dxa"/>
            <w:vAlign w:val="bottom"/>
          </w:tcPr>
          <w:p>
            <w:pPr>
              <w:spacing w:after="0"/>
              <w:rPr>
                <w:sz w:val="17"/>
                <w:szCs w:val="17"/>
                <w:color w:val="auto"/>
              </w:rPr>
            </w:pPr>
          </w:p>
        </w:tc>
        <w:tc>
          <w:tcPr>
            <w:tcW w:w="30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7,049</w:t>
            </w:r>
          </w:p>
        </w:tc>
        <w:tc>
          <w:tcPr>
            <w:tcW w:w="140" w:type="dxa"/>
            <w:vAlign w:val="bottom"/>
          </w:tcPr>
          <w:p>
            <w:pPr>
              <w:spacing w:after="0"/>
              <w:rPr>
                <w:sz w:val="17"/>
                <w:szCs w:val="17"/>
                <w:color w:val="auto"/>
              </w:rPr>
            </w:pPr>
          </w:p>
        </w:tc>
        <w:tc>
          <w:tcPr>
            <w:tcW w:w="3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7,095</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80" w:type="dxa"/>
            <w:vAlign w:val="bottom"/>
            <w:vMerge w:val="restart"/>
          </w:tcPr>
          <w:p>
            <w:pPr>
              <w:jc w:val="right"/>
              <w:ind w:right="772"/>
              <w:spacing w:after="0"/>
              <w:rPr>
                <w:sz w:val="20"/>
                <w:szCs w:val="20"/>
                <w:color w:val="auto"/>
              </w:rPr>
            </w:pPr>
            <w:r>
              <w:rPr>
                <w:rFonts w:ascii="Arial" w:cs="Arial" w:eastAsia="Arial" w:hAnsi="Arial"/>
                <w:sz w:val="18"/>
                <w:szCs w:val="18"/>
                <w:color w:val="auto"/>
              </w:rPr>
              <w:t>76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0" w:lineRule="exact"/>
        <w:rPr>
          <w:sz w:val="20"/>
          <w:szCs w:val="20"/>
          <w:color w:val="auto"/>
        </w:rPr>
      </w:pPr>
    </w:p>
    <w:p>
      <w:pPr>
        <w:spacing w:after="0" w:line="213" w:lineRule="exact"/>
        <w:rPr>
          <w:sz w:val="20"/>
          <w:szCs w:val="20"/>
          <w:color w:val="auto"/>
        </w:rPr>
      </w:pPr>
    </w:p>
    <w:p>
      <w:pPr>
        <w:ind w:left="820"/>
        <w:spacing w:after="0" w:line="324" w:lineRule="auto"/>
        <w:rPr>
          <w:sz w:val="20"/>
          <w:szCs w:val="20"/>
          <w:color w:val="auto"/>
        </w:rPr>
      </w:pPr>
      <w:r>
        <w:rPr>
          <w:rFonts w:ascii="Arial" w:cs="Arial" w:eastAsia="Arial" w:hAnsi="Arial"/>
          <w:sz w:val="16"/>
          <w:szCs w:val="16"/>
          <w:color w:val="auto"/>
        </w:rPr>
        <w:t>The Company segregates its Allowance for Loan and Lease Losses (ALLL) into two reserves: The ALLL and the Allowance for Unfunded Loan Commitments and Letters of Credit (AULC). When combined, these reserves constitute the total Allowance for Credit Losses (ACL).</w:t>
      </w:r>
    </w:p>
    <w:p>
      <w:pPr>
        <w:spacing w:after="0" w:line="30"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on the consolidated balance sheet. The ACL presented above represents the full amount of reserves available to absorb possible credit losses.</w:t>
      </w:r>
    </w:p>
    <w:p>
      <w:pPr>
        <w:spacing w:after="0" w:line="75"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The following table breaks down the activity within ALLL for each loan portfolio segment and shows the contribution provided by both the recoveries and the provision along with the reduction of the allowance caused by charge-offs.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85725</wp:posOffset>
            </wp:positionV>
            <wp:extent cx="6731635" cy="755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635" cy="7556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Additional analysis related to the allowance for credit losses as of December 31, 2019 and 2018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9"/>
              </w:rPr>
              <w:t>(In Thousands)</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52"/>
              <w:spacing w:after="0" w:line="205" w:lineRule="exact"/>
              <w:rPr>
                <w:sz w:val="20"/>
                <w:szCs w:val="20"/>
                <w:color w:val="auto"/>
              </w:rPr>
            </w:pPr>
            <w:r>
              <w:rPr>
                <w:rFonts w:ascii="Arial" w:cs="Arial" w:eastAsia="Arial" w:hAnsi="Arial"/>
                <w:sz w:val="18"/>
                <w:szCs w:val="18"/>
                <w:color w:val="auto"/>
                <w:w w:val="89"/>
              </w:rPr>
              <w:t>Unfunded</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Arial" w:cs="Arial" w:eastAsia="Arial" w:hAnsi="Arial"/>
                <w:sz w:val="18"/>
                <w:szCs w:val="18"/>
                <w:color w:val="auto"/>
                <w:w w:val="89"/>
              </w:rPr>
              <w:t>Loan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color w:val="auto"/>
                <w:w w:val="90"/>
              </w:rPr>
              <w:t>Commitment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Consumer</w:t>
            </w:r>
          </w:p>
        </w:tc>
        <w:tc>
          <w:tcPr>
            <w:tcW w:w="1160" w:type="dxa"/>
            <w:vAlign w:val="bottom"/>
            <w:gridSpan w:val="4"/>
          </w:tcPr>
          <w:p>
            <w:pPr>
              <w:ind w:left="140"/>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Arial" w:cs="Arial" w:eastAsia="Arial" w:hAnsi="Arial"/>
                <w:sz w:val="18"/>
                <w:szCs w:val="18"/>
                <w:color w:val="auto"/>
                <w:w w:val="89"/>
              </w:rPr>
              <w:t>Commercial</w:t>
            </w:r>
          </w:p>
        </w:tc>
        <w:tc>
          <w:tcPr>
            <w:tcW w:w="16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&amp; Letters of</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00" w:type="dxa"/>
            <w:vAlign w:val="bottom"/>
            <w:vMerge w:val="continue"/>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9"/>
                <w:szCs w:val="19"/>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color w:val="auto"/>
              </w:rPr>
              <w:t>Real Estate</w:t>
            </w:r>
          </w:p>
        </w:tc>
        <w:tc>
          <w:tcPr>
            <w:tcW w:w="1000" w:type="dxa"/>
            <w:vAlign w:val="bottom"/>
            <w:gridSpan w:val="3"/>
          </w:tcPr>
          <w:p>
            <w:pPr>
              <w:spacing w:after="0"/>
              <w:rPr>
                <w:sz w:val="20"/>
                <w:szCs w:val="20"/>
                <w:color w:val="auto"/>
              </w:rPr>
            </w:pPr>
            <w:r>
              <w:rPr>
                <w:rFonts w:ascii="Arial" w:cs="Arial" w:eastAsia="Arial" w:hAnsi="Arial"/>
                <w:sz w:val="18"/>
                <w:szCs w:val="18"/>
                <w:color w:val="auto"/>
              </w:rPr>
              <w:t>Agricultural</w:t>
            </w:r>
          </w:p>
        </w:tc>
        <w:tc>
          <w:tcPr>
            <w:tcW w:w="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300" w:type="dxa"/>
            <w:vAlign w:val="bottom"/>
            <w:gridSpan w:val="4"/>
          </w:tcPr>
          <w:p>
            <w:pPr>
              <w:ind w:left="160"/>
              <w:spacing w:after="0"/>
              <w:rPr>
                <w:sz w:val="20"/>
                <w:szCs w:val="20"/>
                <w:color w:val="auto"/>
              </w:rPr>
            </w:pPr>
            <w:r>
              <w:rPr>
                <w:rFonts w:ascii="Arial" w:cs="Arial" w:eastAsia="Arial" w:hAnsi="Arial"/>
                <w:sz w:val="18"/>
                <w:szCs w:val="18"/>
                <w:color w:val="auto"/>
              </w:rPr>
              <w:t>and Industrial</w:t>
            </w:r>
          </w:p>
        </w:tc>
        <w:tc>
          <w:tcPr>
            <w:tcW w:w="840" w:type="dxa"/>
            <w:vAlign w:val="bottom"/>
            <w:gridSpan w:val="3"/>
          </w:tcPr>
          <w:p>
            <w:pPr>
              <w:spacing w:after="0"/>
              <w:rPr>
                <w:sz w:val="20"/>
                <w:szCs w:val="20"/>
                <w:color w:val="auto"/>
              </w:rPr>
            </w:pPr>
            <w:r>
              <w:rPr>
                <w:rFonts w:ascii="Arial" w:cs="Arial" w:eastAsia="Arial" w:hAnsi="Arial"/>
                <w:sz w:val="18"/>
                <w:szCs w:val="18"/>
                <w:color w:val="auto"/>
                <w:w w:val="98"/>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ind w:right="32"/>
              <w:spacing w:after="0"/>
              <w:rPr>
                <w:sz w:val="20"/>
                <w:szCs w:val="20"/>
                <w:color w:val="auto"/>
              </w:rPr>
            </w:pPr>
            <w:r>
              <w:rPr>
                <w:rFonts w:ascii="Arial" w:cs="Arial" w:eastAsia="Arial" w:hAnsi="Arial"/>
                <w:sz w:val="18"/>
                <w:szCs w:val="18"/>
                <w:color w:val="auto"/>
                <w:w w:val="91"/>
              </w:rPr>
              <w:t>Credit</w:t>
            </w:r>
          </w:p>
        </w:tc>
        <w:tc>
          <w:tcPr>
            <w:tcW w:w="1280" w:type="dxa"/>
            <w:vAlign w:val="bottom"/>
            <w:gridSpan w:val="4"/>
          </w:tcPr>
          <w:p>
            <w:pPr>
              <w:ind w:left="300"/>
              <w:spacing w:after="0"/>
              <w:rPr>
                <w:sz w:val="20"/>
                <w:szCs w:val="20"/>
                <w:color w:val="auto"/>
              </w:rPr>
            </w:pPr>
            <w:r>
              <w:rPr>
                <w:rFonts w:ascii="Arial" w:cs="Arial" w:eastAsia="Arial" w:hAnsi="Arial"/>
                <w:sz w:val="18"/>
                <w:szCs w:val="18"/>
                <w:color w:val="auto"/>
              </w:rPr>
              <w:t>Unallocated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900" w:type="dxa"/>
            <w:vAlign w:val="bottom"/>
            <w:tcBorders>
              <w:top w:val="single" w:sz="8" w:color="CFF0FC"/>
            </w:tcBorders>
            <w:shd w:val="clear" w:color="auto" w:fill="CFF0FC"/>
          </w:tcPr>
          <w:p>
            <w:pPr>
              <w:spacing w:after="0" w:line="199" w:lineRule="exact"/>
              <w:rPr>
                <w:sz w:val="20"/>
                <w:szCs w:val="20"/>
                <w:color w:val="auto"/>
              </w:rPr>
            </w:pPr>
            <w:r>
              <w:rPr>
                <w:rFonts w:ascii="Arial" w:cs="Arial" w:eastAsia="Arial" w:hAnsi="Arial"/>
                <w:sz w:val="18"/>
                <w:szCs w:val="18"/>
                <w:b w:val="1"/>
                <w:bCs w:val="1"/>
                <w:color w:val="auto"/>
              </w:rPr>
              <w:t>ALLOWANCE FOR</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900" w:type="dxa"/>
            <w:vAlign w:val="bottom"/>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9"/>
                <w:szCs w:val="19"/>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19"/>
                <w:szCs w:val="19"/>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3,217</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1,305</w:t>
            </w: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274</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 Offs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90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(Credit)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00" w:type="dxa"/>
            <w:vAlign w:val="bottom"/>
          </w:tcPr>
          <w:p>
            <w:pPr>
              <w:ind w:left="240"/>
              <w:spacing w:after="0"/>
              <w:rPr>
                <w:sz w:val="20"/>
                <w:szCs w:val="20"/>
                <w:color w:val="auto"/>
              </w:rPr>
            </w:pPr>
            <w:r>
              <w:rPr>
                <w:rFonts w:ascii="Arial" w:cs="Arial" w:eastAsia="Arial" w:hAnsi="Arial"/>
                <w:sz w:val="18"/>
                <w:szCs w:val="18"/>
                <w:color w:val="auto"/>
              </w:rPr>
              <w:t>Other Non-interest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00" w:type="dxa"/>
            <w:vAlign w:val="bottom"/>
          </w:tcPr>
          <w:p>
            <w:pPr>
              <w:ind w:left="240"/>
              <w:spacing w:after="0"/>
              <w:rPr>
                <w:sz w:val="20"/>
                <w:szCs w:val="20"/>
                <w:color w:val="auto"/>
              </w:rPr>
            </w:pPr>
            <w:r>
              <w:rPr>
                <w:rFonts w:ascii="Arial" w:cs="Arial" w:eastAsia="Arial" w:hAnsi="Arial"/>
                <w:sz w:val="18"/>
                <w:szCs w:val="18"/>
                <w:color w:val="auto"/>
              </w:rPr>
              <w:t>expense related to</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6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20"/>
                <w:szCs w:val="20"/>
                <w:color w:val="auto"/>
              </w:rPr>
            </w:pPr>
            <w:r>
              <w:rPr>
                <w:rFonts w:ascii="Arial" w:cs="Arial" w:eastAsia="Arial" w:hAnsi="Arial"/>
                <w:sz w:val="18"/>
                <w:szCs w:val="18"/>
                <w:color w:val="auto"/>
                <w:w w:val="95"/>
              </w:rPr>
              <w:t>individually evaluated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90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2"/>
                <w:szCs w:val="22"/>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9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w w:val="95"/>
              </w:rPr>
              <w:t>collectively evaluated for</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6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20"/>
                <w:szCs w:val="20"/>
                <w:color w:val="auto"/>
              </w:rPr>
            </w:pPr>
            <w:r>
              <w:rPr>
                <w:rFonts w:ascii="Arial" w:cs="Arial" w:eastAsia="Arial" w:hAnsi="Arial"/>
                <w:sz w:val="18"/>
                <w:szCs w:val="18"/>
                <w:color w:val="auto"/>
                <w:w w:val="90"/>
              </w:rPr>
              <w:t>acquired with deteriorated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900" w:type="dxa"/>
            <w:vAlign w:val="bottom"/>
          </w:tcPr>
          <w:p>
            <w:pPr>
              <w:ind w:left="140"/>
              <w:spacing w:after="0"/>
              <w:rPr>
                <w:sz w:val="20"/>
                <w:szCs w:val="20"/>
                <w:color w:val="auto"/>
              </w:rPr>
            </w:pPr>
            <w:r>
              <w:rPr>
                <w:rFonts w:ascii="Arial" w:cs="Arial" w:eastAsia="Arial" w:hAnsi="Arial"/>
                <w:sz w:val="18"/>
                <w:szCs w:val="18"/>
                <w:color w:val="auto"/>
              </w:rPr>
              <w:t>credit quality</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900" w:type="dxa"/>
            <w:vAlign w:val="bottom"/>
            <w:tcBorders>
              <w:top w:val="single" w:sz="8" w:color="CFF0FC"/>
            </w:tcBorders>
            <w:shd w:val="clear" w:color="auto" w:fill="CFF0FC"/>
          </w:tcPr>
          <w:p>
            <w:pPr>
              <w:spacing w:after="0" w:line="185" w:lineRule="exact"/>
              <w:rPr>
                <w:sz w:val="20"/>
                <w:szCs w:val="20"/>
                <w:color w:val="auto"/>
              </w:rPr>
            </w:pPr>
            <w:r>
              <w:rPr>
                <w:rFonts w:ascii="Arial" w:cs="Arial" w:eastAsia="Arial" w:hAnsi="Arial"/>
                <w:sz w:val="18"/>
                <w:szCs w:val="18"/>
                <w:b w:val="1"/>
                <w:bCs w:val="1"/>
                <w:color w:val="auto"/>
              </w:rPr>
              <w:t>FINANCING</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900" w:type="dxa"/>
            <w:vAlign w:val="bottom"/>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164,691</w:t>
            </w:r>
          </w:p>
        </w:tc>
        <w:tc>
          <w:tcPr>
            <w:tcW w:w="180" w:type="dxa"/>
            <w:vAlign w:val="bottom"/>
          </w:tcPr>
          <w:p>
            <w:pPr>
              <w:spacing w:after="0"/>
              <w:rPr>
                <w:sz w:val="22"/>
                <w:szCs w:val="22"/>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198,859</w:t>
            </w:r>
          </w:p>
        </w:tc>
        <w:tc>
          <w:tcPr>
            <w:tcW w:w="1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111,949</w:t>
            </w:r>
          </w:p>
        </w:tc>
        <w:tc>
          <w:tcPr>
            <w:tcW w:w="120" w:type="dxa"/>
            <w:vAlign w:val="bottom"/>
          </w:tcPr>
          <w:p>
            <w:pPr>
              <w:spacing w:after="0"/>
              <w:rPr>
                <w:sz w:val="22"/>
                <w:szCs w:val="22"/>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550,082</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144,009</w:t>
            </w:r>
          </w:p>
        </w:tc>
        <w:tc>
          <w:tcPr>
            <w:tcW w:w="1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49,409</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1,218,999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9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w w:val="95"/>
              </w:rPr>
              <w:t>individually evaluated for</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20"/>
                <w:szCs w:val="20"/>
                <w:color w:val="auto"/>
              </w:rPr>
            </w:pPr>
            <w:r>
              <w:rPr>
                <w:rFonts w:ascii="Arial" w:cs="Arial" w:eastAsia="Arial" w:hAnsi="Arial"/>
                <w:sz w:val="18"/>
                <w:szCs w:val="18"/>
                <w:color w:val="auto"/>
                <w:w w:val="95"/>
              </w:rPr>
              <w:t>collectively evaluated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90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163,816</w:t>
            </w:r>
          </w:p>
        </w:tc>
        <w:tc>
          <w:tcPr>
            <w:tcW w:w="180" w:type="dxa"/>
            <w:vAlign w:val="bottom"/>
          </w:tcPr>
          <w:p>
            <w:pPr>
              <w:spacing w:after="0"/>
              <w:rPr>
                <w:sz w:val="22"/>
                <w:szCs w:val="22"/>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198,859</w:t>
            </w:r>
          </w:p>
        </w:tc>
        <w:tc>
          <w:tcPr>
            <w:tcW w:w="16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111,258</w:t>
            </w:r>
          </w:p>
        </w:tc>
        <w:tc>
          <w:tcPr>
            <w:tcW w:w="120" w:type="dxa"/>
            <w:vAlign w:val="bottom"/>
          </w:tcPr>
          <w:p>
            <w:pPr>
              <w:spacing w:after="0"/>
              <w:rPr>
                <w:sz w:val="22"/>
                <w:szCs w:val="22"/>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549,783</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142,694</w:t>
            </w:r>
          </w:p>
        </w:tc>
        <w:tc>
          <w:tcPr>
            <w:tcW w:w="1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49,376</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1,215,786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9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 loans</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20" w:type="dxa"/>
            <w:vAlign w:val="bottom"/>
          </w:tcPr>
          <w:p>
            <w:pPr>
              <w:spacing w:after="0"/>
              <w:rPr>
                <w:sz w:val="20"/>
                <w:szCs w:val="20"/>
                <w:color w:val="auto"/>
              </w:rPr>
            </w:pPr>
            <w:r>
              <w:rPr>
                <w:rFonts w:ascii="Arial" w:cs="Arial" w:eastAsia="Arial" w:hAnsi="Arial"/>
                <w:sz w:val="18"/>
                <w:szCs w:val="18"/>
                <w:b w:val="1"/>
                <w:bCs w:val="1"/>
                <w:color w:val="auto"/>
                <w:w w:val="89"/>
              </w:rPr>
              <w:t>Note 4 – Loans (Continued)</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2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9"/>
              </w:rPr>
              <w:t>Unfunded</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Arial" w:cs="Arial" w:eastAsia="Arial" w:hAnsi="Arial"/>
                <w:sz w:val="18"/>
                <w:szCs w:val="18"/>
                <w:color w:val="auto"/>
                <w:w w:val="89"/>
              </w:rPr>
              <w:t>Loan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color w:val="auto"/>
                <w:w w:val="90"/>
              </w:rPr>
              <w:t>Commitment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20" w:type="dxa"/>
            <w:vAlign w:val="bottom"/>
            <w:vMerge w:val="restart"/>
          </w:tcPr>
          <w:p>
            <w:pPr>
              <w:spacing w:after="0"/>
              <w:rPr>
                <w:sz w:val="20"/>
                <w:szCs w:val="20"/>
                <w:color w:val="auto"/>
              </w:rPr>
            </w:pPr>
            <w:r>
              <w:rPr>
                <w:rFonts w:ascii="Arial" w:cs="Arial" w:eastAsia="Arial" w:hAnsi="Arial"/>
                <w:sz w:val="18"/>
                <w:szCs w:val="18"/>
                <w:b w:val="1"/>
                <w:bCs w:val="1"/>
                <w:color w:val="auto"/>
              </w:rPr>
              <w:t>2018</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Consumer</w:t>
            </w: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w w:val="95"/>
              </w:rPr>
              <w:t>Agricultural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Commercial</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&amp; Letters of</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vMerge w:val="continue"/>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180" w:type="dxa"/>
            <w:vAlign w:val="bottom"/>
            <w:gridSpan w:val="4"/>
          </w:tcPr>
          <w:p>
            <w:pPr>
              <w:ind w:left="160"/>
              <w:spacing w:after="0"/>
              <w:rPr>
                <w:sz w:val="20"/>
                <w:szCs w:val="20"/>
                <w:color w:val="auto"/>
              </w:rPr>
            </w:pPr>
            <w:r>
              <w:rPr>
                <w:rFonts w:ascii="Arial" w:cs="Arial" w:eastAsia="Arial" w:hAnsi="Arial"/>
                <w:sz w:val="18"/>
                <w:szCs w:val="18"/>
                <w:color w:val="auto"/>
              </w:rPr>
              <w:t>Agricultural</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Real Estate</w:t>
            </w:r>
          </w:p>
        </w:tc>
        <w:tc>
          <w:tcPr>
            <w:tcW w:w="1140" w:type="dxa"/>
            <w:vAlign w:val="bottom"/>
            <w:gridSpan w:val="3"/>
          </w:tcPr>
          <w:p>
            <w:pPr>
              <w:spacing w:after="0"/>
              <w:rPr>
                <w:sz w:val="20"/>
                <w:szCs w:val="20"/>
                <w:color w:val="auto"/>
              </w:rPr>
            </w:pPr>
            <w:r>
              <w:rPr>
                <w:rFonts w:ascii="Arial" w:cs="Arial" w:eastAsia="Arial" w:hAnsi="Arial"/>
                <w:sz w:val="18"/>
                <w:szCs w:val="18"/>
                <w:color w:val="auto"/>
              </w:rPr>
              <w:t>and Industrial</w:t>
            </w:r>
          </w:p>
        </w:tc>
        <w:tc>
          <w:tcPr>
            <w:tcW w:w="840" w:type="dxa"/>
            <w:vAlign w:val="bottom"/>
            <w:gridSpan w:val="3"/>
          </w:tcPr>
          <w:p>
            <w:pPr>
              <w:spacing w:after="0"/>
              <w:rPr>
                <w:sz w:val="20"/>
                <w:szCs w:val="20"/>
                <w:color w:val="auto"/>
              </w:rPr>
            </w:pPr>
            <w:r>
              <w:rPr>
                <w:rFonts w:ascii="Arial" w:cs="Arial" w:eastAsia="Arial" w:hAnsi="Arial"/>
                <w:sz w:val="18"/>
                <w:szCs w:val="18"/>
                <w:color w:val="auto"/>
                <w:w w:val="98"/>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ind w:right="32"/>
              <w:spacing w:after="0"/>
              <w:rPr>
                <w:sz w:val="20"/>
                <w:szCs w:val="20"/>
                <w:color w:val="auto"/>
              </w:rPr>
            </w:pPr>
            <w:r>
              <w:rPr>
                <w:rFonts w:ascii="Arial" w:cs="Arial" w:eastAsia="Arial" w:hAnsi="Arial"/>
                <w:sz w:val="18"/>
                <w:szCs w:val="18"/>
                <w:color w:val="auto"/>
                <w:w w:val="91"/>
              </w:rPr>
              <w:t>Credit</w:t>
            </w:r>
          </w:p>
        </w:tc>
        <w:tc>
          <w:tcPr>
            <w:tcW w:w="1160" w:type="dxa"/>
            <w:vAlign w:val="bottom"/>
            <w:gridSpan w:val="3"/>
          </w:tcPr>
          <w:p>
            <w:pPr>
              <w:ind w:left="320"/>
              <w:spacing w:after="0"/>
              <w:rPr>
                <w:sz w:val="20"/>
                <w:szCs w:val="20"/>
                <w:color w:val="auto"/>
              </w:rPr>
            </w:pPr>
            <w:r>
              <w:rPr>
                <w:rFonts w:ascii="Arial" w:cs="Arial" w:eastAsia="Arial" w:hAnsi="Arial"/>
                <w:sz w:val="18"/>
                <w:szCs w:val="18"/>
                <w:color w:val="auto"/>
                <w:w w:val="86"/>
              </w:rPr>
              <w:t>Unallocated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199"/>
        </w:trPr>
        <w:tc>
          <w:tcPr>
            <w:tcW w:w="2120" w:type="dxa"/>
            <w:vAlign w:val="bottom"/>
            <w:tcBorders>
              <w:top w:val="single" w:sz="8" w:color="CFF0FC"/>
            </w:tcBorders>
            <w:shd w:val="clear" w:color="auto" w:fill="CFF0FC"/>
          </w:tcPr>
          <w:p>
            <w:pPr>
              <w:spacing w:after="0" w:line="199" w:lineRule="exact"/>
              <w:rPr>
                <w:sz w:val="20"/>
                <w:szCs w:val="20"/>
                <w:color w:val="auto"/>
              </w:rPr>
            </w:pPr>
            <w:r>
              <w:rPr>
                <w:rFonts w:ascii="Arial" w:cs="Arial" w:eastAsia="Arial" w:hAnsi="Arial"/>
                <w:sz w:val="18"/>
                <w:szCs w:val="18"/>
                <w:b w:val="1"/>
                <w:bCs w:val="1"/>
                <w:color w:val="auto"/>
              </w:rPr>
              <w:t>ALLOWANCE FOR</w:t>
            </w:r>
          </w:p>
        </w:tc>
        <w:tc>
          <w:tcPr>
            <w:tcW w:w="2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Beginning balance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244</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3,149</w:t>
            </w:r>
          </w:p>
        </w:tc>
        <w:tc>
          <w:tcPr>
            <w:tcW w:w="1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1,546</w:t>
            </w:r>
          </w:p>
        </w:tc>
        <w:tc>
          <w:tcPr>
            <w:tcW w:w="1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 Offs</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4"/>
        </w:trPr>
        <w:tc>
          <w:tcPr>
            <w:tcW w:w="212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(Credit)</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120" w:type="dxa"/>
            <w:vAlign w:val="bottom"/>
          </w:tcPr>
          <w:p>
            <w:pPr>
              <w:ind w:left="240"/>
              <w:spacing w:after="0"/>
              <w:rPr>
                <w:sz w:val="20"/>
                <w:szCs w:val="20"/>
                <w:color w:val="auto"/>
              </w:rPr>
            </w:pPr>
            <w:r>
              <w:rPr>
                <w:rFonts w:ascii="Arial" w:cs="Arial" w:eastAsia="Arial" w:hAnsi="Arial"/>
                <w:sz w:val="18"/>
                <w:szCs w:val="18"/>
                <w:color w:val="auto"/>
              </w:rPr>
              <w:t>Other Non-interest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20" w:type="dxa"/>
            <w:vAlign w:val="bottom"/>
          </w:tcPr>
          <w:p>
            <w:pPr>
              <w:ind w:left="240"/>
              <w:spacing w:after="0"/>
              <w:rPr>
                <w:sz w:val="20"/>
                <w:szCs w:val="20"/>
                <w:color w:val="auto"/>
              </w:rPr>
            </w:pPr>
            <w:r>
              <w:rPr>
                <w:rFonts w:ascii="Arial" w:cs="Arial" w:eastAsia="Arial" w:hAnsi="Arial"/>
                <w:sz w:val="18"/>
                <w:szCs w:val="18"/>
                <w:color w:val="auto"/>
              </w:rPr>
              <w:t>expense related to</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20"/>
                <w:szCs w:val="20"/>
                <w:color w:val="auto"/>
              </w:rPr>
            </w:pPr>
            <w:r>
              <w:rPr>
                <w:rFonts w:ascii="Arial" w:cs="Arial" w:eastAsia="Arial" w:hAnsi="Arial"/>
                <w:sz w:val="18"/>
                <w:szCs w:val="18"/>
                <w:color w:val="auto"/>
              </w:rPr>
              <w:t>individually evaluated for</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1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2"/>
                <w:szCs w:val="22"/>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1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w w:val="94"/>
              </w:rPr>
              <w:t>Ending balance: collectively</w:t>
            </w:r>
          </w:p>
        </w:tc>
        <w:tc>
          <w:tcPr>
            <w:tcW w:w="2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evaluated for</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 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20"/>
                <w:szCs w:val="20"/>
                <w:color w:val="auto"/>
              </w:rPr>
            </w:pPr>
            <w:r>
              <w:rPr>
                <w:rFonts w:ascii="Arial" w:cs="Arial" w:eastAsia="Arial" w:hAnsi="Arial"/>
                <w:sz w:val="18"/>
                <w:szCs w:val="18"/>
                <w:color w:val="auto"/>
              </w:rPr>
              <w:t>acquired with deteriorated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120" w:type="dxa"/>
            <w:vAlign w:val="bottom"/>
          </w:tcPr>
          <w:p>
            <w:pPr>
              <w:ind w:left="140"/>
              <w:spacing w:after="0"/>
              <w:rPr>
                <w:sz w:val="20"/>
                <w:szCs w:val="20"/>
                <w:color w:val="auto"/>
              </w:rPr>
            </w:pPr>
            <w:r>
              <w:rPr>
                <w:rFonts w:ascii="Arial" w:cs="Arial" w:eastAsia="Arial" w:hAnsi="Arial"/>
                <w:sz w:val="18"/>
                <w:szCs w:val="18"/>
                <w:color w:val="auto"/>
              </w:rPr>
              <w:t>credit quality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120" w:type="dxa"/>
            <w:vAlign w:val="bottom"/>
            <w:tcBorders>
              <w:top w:val="single" w:sz="8" w:color="CFF0FC"/>
            </w:tcBorders>
            <w:shd w:val="clear" w:color="auto" w:fill="CFF0FC"/>
          </w:tcPr>
          <w:p>
            <w:pPr>
              <w:spacing w:after="0" w:line="185" w:lineRule="exact"/>
              <w:rPr>
                <w:sz w:val="20"/>
                <w:szCs w:val="20"/>
                <w:color w:val="auto"/>
              </w:rPr>
            </w:pPr>
            <w:r>
              <w:rPr>
                <w:rFonts w:ascii="Arial" w:cs="Arial" w:eastAsia="Arial" w:hAnsi="Arial"/>
                <w:sz w:val="18"/>
                <w:szCs w:val="18"/>
                <w:b w:val="1"/>
                <w:bCs w:val="1"/>
                <w:color w:val="auto"/>
              </w:rPr>
              <w:t>FINANCING</w:t>
            </w:r>
          </w:p>
        </w:tc>
        <w:tc>
          <w:tcPr>
            <w:tcW w:w="2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RECEIVABLES:</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80,232</w:t>
            </w:r>
          </w:p>
        </w:tc>
        <w:tc>
          <w:tcPr>
            <w:tcW w:w="180" w:type="dxa"/>
            <w:vAlign w:val="bottom"/>
          </w:tcPr>
          <w:p>
            <w:pPr>
              <w:spacing w:after="0"/>
              <w:rPr>
                <w:sz w:val="22"/>
                <w:szCs w:val="22"/>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68,588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108,616</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419,131</w:t>
            </w:r>
          </w:p>
        </w:tc>
        <w:tc>
          <w:tcPr>
            <w:tcW w:w="18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127,752</w:t>
            </w:r>
          </w:p>
        </w:tc>
        <w:tc>
          <w:tcPr>
            <w:tcW w:w="1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42,055</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846,374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1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4"/>
              </w:rPr>
              <w:t>Ending balance: collectively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20"/>
                <w:szCs w:val="20"/>
                <w:color w:val="auto"/>
              </w:rPr>
            </w:pPr>
            <w:r>
              <w:rPr>
                <w:rFonts w:ascii="Arial" w:cs="Arial" w:eastAsia="Arial" w:hAnsi="Arial"/>
                <w:sz w:val="18"/>
                <w:szCs w:val="18"/>
                <w:color w:val="auto"/>
              </w:rPr>
              <w:t>evaluated for</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1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79,359</w:t>
            </w:r>
          </w:p>
        </w:tc>
        <w:tc>
          <w:tcPr>
            <w:tcW w:w="180" w:type="dxa"/>
            <w:vAlign w:val="bottom"/>
          </w:tcPr>
          <w:p>
            <w:pPr>
              <w:spacing w:after="0"/>
              <w:rPr>
                <w:sz w:val="22"/>
                <w:szCs w:val="22"/>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68,588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108,616</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418,937</w:t>
            </w:r>
          </w:p>
        </w:tc>
        <w:tc>
          <w:tcPr>
            <w:tcW w:w="18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126,649</w:t>
            </w:r>
          </w:p>
        </w:tc>
        <w:tc>
          <w:tcPr>
            <w:tcW w:w="1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42,055</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844,204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1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 loans</w:t>
            </w:r>
          </w:p>
        </w:tc>
        <w:tc>
          <w:tcPr>
            <w:tcW w:w="2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acquired with</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deteriorated credit quality</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Premises and Equipment</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major categories of banking premises and equipment and accumulated depreciation at December 31 are summarized below:</w:t>
      </w: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color w:val="auto"/>
              </w:rPr>
              <w:t>(In Thousands)</w:t>
            </w:r>
          </w:p>
        </w:tc>
      </w:tr>
      <w:tr>
        <w:trPr>
          <w:trHeight w:val="217"/>
        </w:trPr>
        <w:tc>
          <w:tcPr>
            <w:tcW w:w="20" w:type="dxa"/>
            <w:vAlign w:val="bottom"/>
          </w:tcPr>
          <w:p>
            <w:pPr>
              <w:spacing w:after="0"/>
              <w:rPr>
                <w:sz w:val="18"/>
                <w:szCs w:val="18"/>
                <w:color w:val="auto"/>
              </w:rPr>
            </w:pPr>
          </w:p>
        </w:tc>
        <w:tc>
          <w:tcPr>
            <w:tcW w:w="3960" w:type="dxa"/>
            <w:vAlign w:val="bottom"/>
            <w:tcBorders>
              <w:bottom w:val="single" w:sz="8" w:color="CFF0FC"/>
            </w:tcBorders>
          </w:tcPr>
          <w:p>
            <w:pPr>
              <w:spacing w:after="0"/>
              <w:rPr>
                <w:sz w:val="18"/>
                <w:szCs w:val="18"/>
                <w:color w:val="auto"/>
              </w:rPr>
            </w:pPr>
          </w:p>
        </w:tc>
        <w:tc>
          <w:tcPr>
            <w:tcW w:w="14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70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5,917</w:t>
            </w:r>
          </w:p>
        </w:tc>
        <w:tc>
          <w:tcPr>
            <w:tcW w:w="80" w:type="dxa"/>
            <w:vAlign w:val="bottom"/>
            <w:shd w:val="clear" w:color="auto" w:fill="CFF0FC"/>
          </w:tcPr>
          <w:p>
            <w:pPr>
              <w:spacing w:after="0"/>
              <w:rPr>
                <w:sz w:val="18"/>
                <w:szCs w:val="18"/>
                <w:color w:val="auto"/>
              </w:rPr>
            </w:pPr>
          </w:p>
        </w:tc>
      </w:tr>
      <w:tr>
        <w:trPr>
          <w:trHeight w:val="224"/>
        </w:trPr>
        <w:tc>
          <w:tcPr>
            <w:tcW w:w="3980" w:type="dxa"/>
            <w:vAlign w:val="bottom"/>
            <w:gridSpan w:val="2"/>
          </w:tcPr>
          <w:p>
            <w:pPr>
              <w:spacing w:after="0"/>
              <w:rPr>
                <w:sz w:val="20"/>
                <w:szCs w:val="20"/>
                <w:color w:val="auto"/>
              </w:rPr>
            </w:pPr>
            <w:r>
              <w:rPr>
                <w:rFonts w:ascii="Arial" w:cs="Arial" w:eastAsia="Arial" w:hAnsi="Arial"/>
                <w:sz w:val="18"/>
                <w:szCs w:val="18"/>
                <w:color w:val="auto"/>
              </w:rPr>
              <w:t>Buildings (useful life 15-39 years)</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24,489</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Furnishings (useful life 3-15 years)</w:t>
            </w:r>
          </w:p>
        </w:tc>
        <w:tc>
          <w:tcPr>
            <w:tcW w:w="1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22,045</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15,203</w:t>
            </w:r>
          </w:p>
        </w:tc>
        <w:tc>
          <w:tcPr>
            <w:tcW w:w="80" w:type="dxa"/>
            <w:vAlign w:val="bottom"/>
            <w:shd w:val="clear" w:color="auto" w:fill="CFF0FC"/>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45,609</w:t>
            </w:r>
          </w:p>
        </w:tc>
        <w:tc>
          <w:tcPr>
            <w:tcW w:w="8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Less: Accumulated depreciation</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(31,558)</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(22,997)</w:t>
            </w:r>
          </w:p>
        </w:tc>
      </w:tr>
      <w:tr>
        <w:trPr>
          <w:trHeight w:val="217"/>
        </w:trPr>
        <w:tc>
          <w:tcPr>
            <w:tcW w:w="3980" w:type="dxa"/>
            <w:vAlign w:val="bottom"/>
            <w:gridSpan w:val="2"/>
          </w:tcPr>
          <w:p>
            <w:pPr>
              <w:spacing w:after="0"/>
              <w:rPr>
                <w:sz w:val="20"/>
                <w:szCs w:val="20"/>
                <w:color w:val="auto"/>
              </w:rPr>
            </w:pPr>
            <w:r>
              <w:rPr>
                <w:rFonts w:ascii="Arial" w:cs="Arial" w:eastAsia="Arial" w:hAnsi="Arial"/>
                <w:sz w:val="18"/>
                <w:szCs w:val="18"/>
                <w:color w:val="auto"/>
              </w:rPr>
              <w:t>Premises and Equipment (Net)</w:t>
            </w:r>
          </w:p>
        </w:tc>
        <w:tc>
          <w:tcPr>
            <w:tcW w:w="14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Depreciation expense for the years ended December 31, 2019, 2018 and 2017 amounted to $2.3, $1.7, and $1.6 million, respectively.</w:t>
      </w:r>
    </w:p>
    <w:p>
      <w:pPr>
        <w:spacing w:after="0" w:line="132"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Construction in progress of $68 thousand as of December 31, 2019 related to Ft. Wayne, Indiana, a new branch to be opened in 2020. Construction in progress of $3 thousand as of December 31, 2018, related to environmental and foundation study expenses incurred for this same construction project in Fort Wayne, Indiana.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Servicing</w:t>
      </w:r>
    </w:p>
    <w:p>
      <w:pPr>
        <w:spacing w:after="0" w:line="115"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Loans serviced for others are not included in the accompanying consolidated balance sheets. The unpaid principal balances of loans serviced for others were $303.9 and $289.2 million at December 31, 2019 and 2018, respectively.</w:t>
      </w:r>
    </w:p>
    <w:p>
      <w:pPr>
        <w:spacing w:after="0" w:line="75" w:lineRule="exact"/>
        <w:rPr>
          <w:sz w:val="20"/>
          <w:szCs w:val="20"/>
          <w:color w:val="auto"/>
        </w:rPr>
      </w:pPr>
    </w:p>
    <w:p>
      <w:pPr>
        <w:jc w:val="both"/>
        <w:ind w:left="820" w:right="20"/>
        <w:spacing w:after="0" w:line="324" w:lineRule="auto"/>
        <w:rPr>
          <w:sz w:val="20"/>
          <w:szCs w:val="20"/>
          <w:color w:val="auto"/>
        </w:rPr>
      </w:pPr>
      <w:r>
        <w:rPr>
          <w:rFonts w:ascii="Arial" w:cs="Arial" w:eastAsia="Arial" w:hAnsi="Arial"/>
          <w:sz w:val="16"/>
          <w:szCs w:val="16"/>
          <w:color w:val="auto"/>
        </w:rPr>
        <w:t>The balance of capitalized servicing rights included in other assets at December 31, 2019 and 2018, was $2.6 and $2.4 million, respectively. The capitalized addition of servicing rights is included in net gain on sale of loans on the consolidated statement of income.</w:t>
      </w:r>
    </w:p>
    <w:p>
      <w:pPr>
        <w:spacing w:after="0" w:line="30" w:lineRule="exact"/>
        <w:rPr>
          <w:sz w:val="20"/>
          <w:szCs w:val="20"/>
          <w:color w:val="auto"/>
        </w:rPr>
      </w:pPr>
    </w:p>
    <w:p>
      <w:pPr>
        <w:jc w:val="both"/>
        <w:ind w:left="820" w:right="20"/>
        <w:spacing w:after="0" w:line="248" w:lineRule="auto"/>
        <w:rPr>
          <w:sz w:val="20"/>
          <w:szCs w:val="20"/>
          <w:color w:val="auto"/>
        </w:rPr>
      </w:pPr>
      <w:r>
        <w:rPr>
          <w:rFonts w:ascii="Arial" w:cs="Arial" w:eastAsia="Arial" w:hAnsi="Arial"/>
          <w:sz w:val="18"/>
          <w:szCs w:val="18"/>
          <w:color w:val="auto"/>
        </w:rPr>
        <w:t>The fair market value of the capitalized servicing rights as of December 31, 2019 and 2018 was $2.9 million and $3.3 million, respectively.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of 14.1% and 8.9% were utilized for 2019 and 2018, respectively. All stratums showed positive values compared to carrying value using a discount yield of 5.42% for 2019 and 6.60% for 2018.</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summarizes mortgage servicing rights capitalized and amortized during each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85"/>
              </w:rPr>
              <w:t>(In Thousands)</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2820" w:type="dxa"/>
            <w:vAlign w:val="bottom"/>
            <w:tcBorders>
              <w:bottom w:val="single" w:sz="8" w:color="CFF0FC"/>
            </w:tcBorders>
          </w:tcPr>
          <w:p>
            <w:pPr>
              <w:spacing w:after="0"/>
              <w:rPr>
                <w:sz w:val="18"/>
                <w:szCs w:val="18"/>
                <w:color w:val="auto"/>
              </w:rPr>
            </w:pPr>
          </w:p>
        </w:tc>
        <w:tc>
          <w:tcPr>
            <w:tcW w:w="24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84"/>
              </w:rPr>
              <w:t>2018</w:t>
            </w:r>
          </w:p>
        </w:tc>
        <w:tc>
          <w:tcPr>
            <w:tcW w:w="80" w:type="dxa"/>
            <w:vAlign w:val="bottom"/>
            <w:tcBorders>
              <w:bottom w:val="single" w:sz="8" w:color="CFF0F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3200" w:type="dxa"/>
            <w:vAlign w:val="bottom"/>
            <w:gridSpan w:val="2"/>
            <w:shd w:val="clear" w:color="auto" w:fill="CFF0FC"/>
          </w:tcPr>
          <w:p>
            <w:pPr>
              <w:jc w:val="right"/>
              <w:ind w:right="6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2,385</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rPr>
              <w:t>Capitalized Additions</w:t>
            </w:r>
          </w:p>
        </w:tc>
        <w:tc>
          <w:tcPr>
            <w:tcW w:w="2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2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w:t>
            </w:r>
          </w:p>
        </w:tc>
        <w:tc>
          <w:tcPr>
            <w:tcW w:w="2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28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Valuation Allowance</w:t>
            </w:r>
          </w:p>
        </w:tc>
        <w:tc>
          <w:tcPr>
            <w:tcW w:w="24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End of Year</w:t>
            </w:r>
          </w:p>
        </w:tc>
        <w:tc>
          <w:tcPr>
            <w:tcW w:w="3200" w:type="dxa"/>
            <w:vAlign w:val="bottom"/>
            <w:gridSpan w:val="2"/>
            <w:shd w:val="clear" w:color="auto" w:fill="CFF0FC"/>
          </w:tcPr>
          <w:p>
            <w:pPr>
              <w:jc w:val="right"/>
              <w:ind w:right="6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2,629</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82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bottom w:val="single" w:sz="8" w:color="CFF0FC"/>
            </w:tcBorders>
            <w:vMerge w:val="restart"/>
          </w:tcPr>
          <w:p>
            <w:pPr>
              <w:jc w:val="right"/>
              <w:ind w:right="1092"/>
              <w:spacing w:after="0"/>
              <w:rPr>
                <w:sz w:val="20"/>
                <w:szCs w:val="20"/>
                <w:color w:val="auto"/>
              </w:rPr>
            </w:pPr>
            <w:r>
              <w:rPr>
                <w:rFonts w:ascii="Arial" w:cs="Arial" w:eastAsia="Arial" w:hAnsi="Arial"/>
                <w:sz w:val="18"/>
                <w:szCs w:val="18"/>
                <w:color w:val="auto"/>
              </w:rPr>
              <w:t>80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17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7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2019, 2018,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Deposits</w:t>
      </w:r>
    </w:p>
    <w:p>
      <w:pPr>
        <w:spacing w:after="0" w:line="76"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6000" w:type="dxa"/>
            <w:vAlign w:val="bottom"/>
            <w:gridSpan w:val="3"/>
          </w:tcPr>
          <w:p>
            <w:pPr>
              <w:spacing w:after="0"/>
              <w:rPr>
                <w:sz w:val="20"/>
                <w:szCs w:val="20"/>
                <w:color w:val="auto"/>
              </w:rPr>
            </w:pPr>
            <w:r>
              <w:rPr>
                <w:rFonts w:ascii="Arial" w:cs="Arial" w:eastAsia="Arial" w:hAnsi="Arial"/>
                <w:sz w:val="18"/>
                <w:szCs w:val="18"/>
                <w:color w:val="auto"/>
              </w:rPr>
              <w:t>Time deposits as of December 31 consist of the following:</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7"/>
          </w:tcPr>
          <w:p>
            <w:pPr>
              <w:ind w:left="4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452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312"/>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5080" w:type="dxa"/>
            <w:vAlign w:val="bottom"/>
            <w:gridSpan w:val="2"/>
            <w:shd w:val="clear" w:color="auto" w:fill="CFF0FC"/>
          </w:tcPr>
          <w:p>
            <w:pPr>
              <w:jc w:val="right"/>
              <w:ind w:right="2872"/>
              <w:spacing w:after="0"/>
              <w:rPr>
                <w:sz w:val="20"/>
                <w:szCs w:val="20"/>
                <w:color w:val="auto"/>
              </w:rPr>
            </w:pPr>
            <w:r>
              <w:rPr>
                <w:rFonts w:ascii="Arial" w:cs="Arial" w:eastAsia="Arial" w:hAnsi="Arial"/>
                <w:sz w:val="18"/>
                <w:szCs w:val="18"/>
                <w:color w:val="auto"/>
                <w:w w:val="86"/>
              </w:rPr>
              <w:t>Time deposits under $250,000</w:t>
            </w:r>
          </w:p>
        </w:tc>
        <w:tc>
          <w:tcPr>
            <w:tcW w:w="58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237,520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165,528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0" w:type="dxa"/>
            <w:vAlign w:val="bottom"/>
            <w:gridSpan w:val="3"/>
          </w:tcPr>
          <w:p>
            <w:pPr>
              <w:jc w:val="right"/>
              <w:ind w:right="2532"/>
              <w:spacing w:after="0"/>
              <w:rPr>
                <w:sz w:val="20"/>
                <w:szCs w:val="20"/>
                <w:color w:val="auto"/>
              </w:rPr>
            </w:pPr>
            <w:r>
              <w:rPr>
                <w:rFonts w:ascii="Arial" w:cs="Arial" w:eastAsia="Arial" w:hAnsi="Arial"/>
                <w:sz w:val="18"/>
                <w:szCs w:val="18"/>
                <w:color w:val="auto"/>
              </w:rPr>
              <w:t>Time deposits of $250,000 or more</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39,043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21,885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5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276,563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187,413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5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w w:val="93"/>
              </w:rPr>
              <w:t>At December 31, 2019 the scheduled maturities for time deposits are as follows:</w:t>
            </w: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0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500" w:type="dxa"/>
            <w:vAlign w:val="bottom"/>
            <w:tcBorders>
              <w:bottom w:val="single" w:sz="8" w:color="CFF0FC"/>
            </w:tcBorders>
          </w:tcPr>
          <w:p>
            <w:pPr>
              <w:spacing w:after="0"/>
              <w:rPr>
                <w:sz w:val="24"/>
                <w:szCs w:val="24"/>
                <w:color w:val="auto"/>
              </w:rPr>
            </w:pPr>
          </w:p>
        </w:tc>
        <w:tc>
          <w:tcPr>
            <w:tcW w:w="124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8"/>
                <w:szCs w:val="18"/>
                <w:color w:val="auto"/>
                <w:w w:val="89"/>
              </w:rPr>
              <w:t>(In Thousands)</w:t>
            </w:r>
          </w:p>
        </w:tc>
        <w:tc>
          <w:tcPr>
            <w:tcW w:w="5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shd w:val="clear" w:color="auto" w:fill="CFF0FC"/>
          </w:tcPr>
          <w:p>
            <w:pPr>
              <w:jc w:val="right"/>
              <w:ind w:right="3852"/>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157,249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0" w:type="dxa"/>
            <w:vAlign w:val="bottom"/>
            <w:gridSpan w:val="3"/>
          </w:tcPr>
          <w:p>
            <w:pPr>
              <w:jc w:val="right"/>
              <w:ind w:right="3852"/>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50,803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spacing w:after="0"/>
              <w:rPr>
                <w:sz w:val="19"/>
                <w:szCs w:val="19"/>
                <w:color w:val="auto"/>
              </w:rPr>
            </w:pPr>
          </w:p>
        </w:tc>
        <w:tc>
          <w:tcPr>
            <w:tcW w:w="4520" w:type="dxa"/>
            <w:vAlign w:val="bottom"/>
            <w:shd w:val="clear" w:color="auto" w:fill="CFF0FC"/>
          </w:tcPr>
          <w:p>
            <w:pPr>
              <w:jc w:val="right"/>
              <w:ind w:right="3852"/>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47,918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gridSpan w:val="3"/>
          </w:tcPr>
          <w:p>
            <w:pPr>
              <w:jc w:val="right"/>
              <w:ind w:right="3852"/>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12,680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spacing w:after="0"/>
              <w:rPr>
                <w:sz w:val="19"/>
                <w:szCs w:val="19"/>
                <w:color w:val="auto"/>
              </w:rPr>
            </w:pPr>
          </w:p>
        </w:tc>
        <w:tc>
          <w:tcPr>
            <w:tcW w:w="4520" w:type="dxa"/>
            <w:vAlign w:val="bottom"/>
            <w:shd w:val="clear" w:color="auto" w:fill="CFF0FC"/>
          </w:tcPr>
          <w:p>
            <w:pPr>
              <w:jc w:val="right"/>
              <w:ind w:right="3852"/>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6,860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5080" w:type="dxa"/>
            <w:vAlign w:val="bottom"/>
            <w:gridSpan w:val="2"/>
          </w:tcPr>
          <w:p>
            <w:pPr>
              <w:jc w:val="right"/>
              <w:ind w:right="3712"/>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1,053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276,563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w:t>
      </w:r>
    </w:p>
    <w:p>
      <w:pPr>
        <w:spacing w:after="0" w:line="115" w:lineRule="exact"/>
        <w:rPr>
          <w:sz w:val="20"/>
          <w:szCs w:val="20"/>
          <w:color w:val="auto"/>
        </w:rPr>
      </w:pPr>
    </w:p>
    <w:p>
      <w:pPr>
        <w:jc w:val="both"/>
        <w:ind w:left="820" w:right="20"/>
        <w:spacing w:after="0" w:line="250" w:lineRule="auto"/>
        <w:rPr>
          <w:sz w:val="20"/>
          <w:szCs w:val="20"/>
          <w:color w:val="auto"/>
        </w:rPr>
      </w:pPr>
      <w:r>
        <w:rPr>
          <w:rFonts w:ascii="Arial" w:cs="Arial" w:eastAsia="Arial" w:hAnsi="Arial"/>
          <w:sz w:val="18"/>
          <w:szCs w:val="18"/>
          <w:color w:val="auto"/>
        </w:rPr>
        <w:t>The Bank’s policy requires qualifying securities to be used as collateral for the underlying repurchase agreements. As of December 31, 2019 and 2018 securities with a market value of $40.2 million and $34.9 million, respectively, were pledged to secure the repurchase agreements. The table below presents the daily securities sold under agreement to repurchase and the term repurchase agreements. It does not include the Bank’s Federal Funds purchased.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0" w:type="dxa"/>
            <w:vAlign w:val="bottom"/>
            <w:gridSpan w:val="9"/>
          </w:tcPr>
          <w:p>
            <w:pPr>
              <w:jc w:val="center"/>
              <w:ind w:right="240"/>
              <w:spacing w:after="0"/>
              <w:rPr>
                <w:sz w:val="20"/>
                <w:szCs w:val="20"/>
                <w:color w:val="auto"/>
              </w:rPr>
            </w:pPr>
            <w:r>
              <w:rPr>
                <w:rFonts w:ascii="Arial" w:cs="Arial" w:eastAsia="Arial" w:hAnsi="Arial"/>
                <w:sz w:val="18"/>
                <w:szCs w:val="18"/>
                <w:color w:val="auto"/>
                <w:w w:val="88"/>
              </w:rPr>
              <w:t>Daily Securities Sold Under Agreement to Repurchase</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8"/>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Weighted</w:t>
            </w:r>
          </w:p>
        </w:tc>
        <w:tc>
          <w:tcPr>
            <w:tcW w:w="8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2"/>
              </w:rPr>
              <w:t>Maximum Amount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Approximate</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Approximate</w:t>
            </w:r>
          </w:p>
        </w:tc>
      </w:tr>
      <w:tr>
        <w:trPr>
          <w:trHeight w:val="224"/>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Outstanding</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12"/>
              <w:spacing w:after="0"/>
              <w:rPr>
                <w:sz w:val="20"/>
                <w:szCs w:val="20"/>
                <w:color w:val="auto"/>
              </w:rPr>
            </w:pPr>
            <w:r>
              <w:rPr>
                <w:rFonts w:ascii="Arial" w:cs="Arial" w:eastAsia="Arial" w:hAnsi="Arial"/>
                <w:sz w:val="18"/>
                <w:szCs w:val="18"/>
                <w:color w:val="auto"/>
                <w:w w:val="93"/>
              </w:rPr>
              <w:t>Borrowings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Average</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Weighted Average</w:t>
            </w:r>
          </w:p>
        </w:tc>
      </w:tr>
      <w:tr>
        <w:trPr>
          <w:trHeight w:val="224"/>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at End</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Rate End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88"/>
              </w:rPr>
              <w:t>Outstanding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Outstanding in</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Interest Rate</w:t>
            </w:r>
          </w:p>
        </w:tc>
      </w:tr>
      <w:tr>
        <w:trPr>
          <w:trHeight w:val="224"/>
        </w:trPr>
        <w:tc>
          <w:tcPr>
            <w:tcW w:w="28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of Period (000's)</w:t>
            </w:r>
          </w:p>
        </w:tc>
        <w:tc>
          <w:tcPr>
            <w:tcW w:w="22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of Period</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Month End (000's)</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7"/>
              </w:rPr>
              <w:t>Period (000's)</w:t>
            </w:r>
          </w:p>
        </w:tc>
        <w:tc>
          <w:tcPr>
            <w:tcW w:w="2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For the Period</w:t>
            </w:r>
          </w:p>
        </w:tc>
        <w:tc>
          <w:tcPr>
            <w:tcW w:w="160" w:type="dxa"/>
            <w:vAlign w:val="bottom"/>
            <w:tcBorders>
              <w:bottom w:val="single" w:sz="8" w:color="CFF0FC"/>
            </w:tcBorders>
          </w:tcPr>
          <w:p>
            <w:pPr>
              <w:spacing w:after="0"/>
              <w:rPr>
                <w:sz w:val="19"/>
                <w:szCs w:val="19"/>
                <w:color w:val="auto"/>
              </w:rPr>
            </w:pPr>
          </w:p>
        </w:tc>
      </w:tr>
      <w:tr>
        <w:trPr>
          <w:trHeight w:val="217"/>
        </w:trPr>
        <w:tc>
          <w:tcPr>
            <w:tcW w:w="2880" w:type="dxa"/>
            <w:vAlign w:val="bottom"/>
            <w:shd w:val="clear" w:color="auto" w:fill="CFF0FC"/>
          </w:tcPr>
          <w:p>
            <w:pPr>
              <w:jc w:val="right"/>
              <w:ind w:right="1232"/>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w:t>
            </w:r>
          </w:p>
        </w:tc>
        <w:tc>
          <w:tcPr>
            <w:tcW w:w="260" w:type="dxa"/>
            <w:vAlign w:val="bottom"/>
            <w:gridSpan w:val="2"/>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0.65%</w:t>
            </w:r>
          </w:p>
        </w:tc>
      </w:tr>
      <w:tr>
        <w:trPr>
          <w:trHeight w:val="223"/>
        </w:trPr>
        <w:tc>
          <w:tcPr>
            <w:tcW w:w="2880" w:type="dxa"/>
            <w:vAlign w:val="bottom"/>
          </w:tcPr>
          <w:p>
            <w:pPr>
              <w:jc w:val="right"/>
              <w:ind w:right="1232"/>
              <w:spacing w:after="0"/>
              <w:rPr>
                <w:sz w:val="20"/>
                <w:szCs w:val="20"/>
                <w:color w:val="auto"/>
              </w:rPr>
            </w:pPr>
            <w:r>
              <w:rPr>
                <w:rFonts w:ascii="Arial" w:cs="Arial" w:eastAsia="Arial" w:hAnsi="Arial"/>
                <w:sz w:val="18"/>
                <w:szCs w:val="18"/>
                <w:color w:val="auto"/>
              </w:rPr>
              <w:t>2018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0" w:type="dxa"/>
            <w:vAlign w:val="bottom"/>
            <w:gridSpan w:val="9"/>
          </w:tcPr>
          <w:p>
            <w:pPr>
              <w:jc w:val="center"/>
              <w:ind w:right="240"/>
              <w:spacing w:after="0"/>
              <w:rPr>
                <w:sz w:val="20"/>
                <w:szCs w:val="20"/>
                <w:color w:val="auto"/>
              </w:rPr>
            </w:pPr>
            <w:r>
              <w:rPr>
                <w:rFonts w:ascii="Arial" w:cs="Arial" w:eastAsia="Arial" w:hAnsi="Arial"/>
                <w:sz w:val="18"/>
                <w:szCs w:val="18"/>
                <w:color w:val="auto"/>
                <w:w w:val="87"/>
              </w:rPr>
              <w:t>Term CD's Sold Under Agreement to Repurchase</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8"/>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Weighted</w:t>
            </w:r>
          </w:p>
        </w:tc>
        <w:tc>
          <w:tcPr>
            <w:tcW w:w="8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2"/>
              </w:rPr>
              <w:t>Maximum Amount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Approximate</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Approximate</w:t>
            </w:r>
          </w:p>
        </w:tc>
        <w:tc>
          <w:tcPr>
            <w:tcW w:w="20" w:type="dxa"/>
            <w:vAlign w:val="bottom"/>
          </w:tcPr>
          <w:p>
            <w:pPr>
              <w:spacing w:after="0"/>
              <w:rPr>
                <w:sz w:val="24"/>
                <w:szCs w:val="24"/>
                <w:color w:val="auto"/>
              </w:rPr>
            </w:pPr>
          </w:p>
        </w:tc>
      </w:tr>
      <w:tr>
        <w:trPr>
          <w:trHeight w:val="224"/>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Outstanding</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12"/>
              <w:spacing w:after="0"/>
              <w:rPr>
                <w:sz w:val="20"/>
                <w:szCs w:val="20"/>
                <w:color w:val="auto"/>
              </w:rPr>
            </w:pPr>
            <w:r>
              <w:rPr>
                <w:rFonts w:ascii="Arial" w:cs="Arial" w:eastAsia="Arial" w:hAnsi="Arial"/>
                <w:sz w:val="18"/>
                <w:szCs w:val="18"/>
                <w:color w:val="auto"/>
                <w:w w:val="93"/>
              </w:rPr>
              <w:t>Borrowings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Average</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Weighted Average</w:t>
            </w:r>
          </w:p>
        </w:tc>
        <w:tc>
          <w:tcPr>
            <w:tcW w:w="20" w:type="dxa"/>
            <w:vAlign w:val="bottom"/>
          </w:tcPr>
          <w:p>
            <w:pPr>
              <w:spacing w:after="0"/>
              <w:rPr>
                <w:sz w:val="19"/>
                <w:szCs w:val="19"/>
                <w:color w:val="auto"/>
              </w:rPr>
            </w:pPr>
          </w:p>
        </w:tc>
      </w:tr>
      <w:tr>
        <w:trPr>
          <w:trHeight w:val="224"/>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at End</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Rate End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88"/>
              </w:rPr>
              <w:t>Outstanding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Outstanding in</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Interest Rate</w:t>
            </w:r>
          </w:p>
        </w:tc>
        <w:tc>
          <w:tcPr>
            <w:tcW w:w="20" w:type="dxa"/>
            <w:vAlign w:val="bottom"/>
          </w:tcPr>
          <w:p>
            <w:pPr>
              <w:spacing w:after="0"/>
              <w:rPr>
                <w:sz w:val="19"/>
                <w:szCs w:val="19"/>
                <w:color w:val="auto"/>
              </w:rPr>
            </w:pPr>
          </w:p>
        </w:tc>
      </w:tr>
      <w:tr>
        <w:trPr>
          <w:trHeight w:val="224"/>
        </w:trPr>
        <w:tc>
          <w:tcPr>
            <w:tcW w:w="28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of Period (000's)</w:t>
            </w:r>
          </w:p>
        </w:tc>
        <w:tc>
          <w:tcPr>
            <w:tcW w:w="22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of Period</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Month End (000's)</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7"/>
              </w:rPr>
              <w:t>Period (000's)</w:t>
            </w:r>
          </w:p>
        </w:tc>
        <w:tc>
          <w:tcPr>
            <w:tcW w:w="2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For the Period</w:t>
            </w:r>
          </w:p>
        </w:tc>
        <w:tc>
          <w:tcPr>
            <w:tcW w:w="1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2880" w:type="dxa"/>
            <w:vAlign w:val="bottom"/>
            <w:shd w:val="clear" w:color="auto" w:fill="CFF0FC"/>
          </w:tcPr>
          <w:p>
            <w:pPr>
              <w:jc w:val="right"/>
              <w:ind w:right="1232"/>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28,416</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w:t>
            </w:r>
          </w:p>
        </w:tc>
        <w:tc>
          <w:tcPr>
            <w:tcW w:w="260" w:type="dxa"/>
            <w:vAlign w:val="bottom"/>
            <w:gridSpan w:val="2"/>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26,421</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r>
      <w:tr>
        <w:trPr>
          <w:trHeight w:val="223"/>
        </w:trPr>
        <w:tc>
          <w:tcPr>
            <w:tcW w:w="2880" w:type="dxa"/>
            <w:vAlign w:val="bottom"/>
          </w:tcPr>
          <w:p>
            <w:pPr>
              <w:jc w:val="right"/>
              <w:ind w:right="1232"/>
              <w:spacing w:after="0"/>
              <w:rPr>
                <w:sz w:val="20"/>
                <w:szCs w:val="20"/>
                <w:color w:val="auto"/>
              </w:rPr>
            </w:pPr>
            <w:r>
              <w:rPr>
                <w:rFonts w:ascii="Arial" w:cs="Arial" w:eastAsia="Arial" w:hAnsi="Arial"/>
                <w:sz w:val="18"/>
                <w:szCs w:val="18"/>
                <w:color w:val="auto"/>
              </w:rPr>
              <w:t>2018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24,889</w:t>
            </w:r>
          </w:p>
        </w:tc>
        <w:tc>
          <w:tcPr>
            <w:tcW w:w="22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24,889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23,793</w:t>
            </w:r>
          </w:p>
        </w:tc>
        <w:tc>
          <w:tcPr>
            <w:tcW w:w="2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r>
      <w:tr>
        <w:trPr>
          <w:trHeight w:val="843"/>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3"/>
        </w:trPr>
        <w:tc>
          <w:tcPr>
            <w:tcW w:w="2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 (Continued)</w:t>
      </w:r>
    </w:p>
    <w:p>
      <w:pPr>
        <w:spacing w:after="0" w:line="203"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 Company had $17.8 and $6.5 million of Federal Funds Purchased as of December 31, 2019 and December 31, 2018 respectively. The $30.2 million in Securities Sold Under Agreements to Repurchase were comprised of U.S. Treasuries and government agency securities. The table below shows the remaining contractual maturity in the repurchase agreements and the collateral pledged as of December 31,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December 31, 2019</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0"/>
              </w:rPr>
              <w:t>Remaining Contractual Maturity of the Agreements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300" w:type="dxa"/>
            <w:vAlign w:val="bottom"/>
          </w:tcPr>
          <w:p>
            <w:pPr>
              <w:spacing w:after="0"/>
              <w:rPr>
                <w:sz w:val="17"/>
                <w:szCs w:val="17"/>
                <w:color w:val="auto"/>
              </w:rPr>
            </w:pPr>
          </w:p>
        </w:tc>
        <w:tc>
          <w:tcPr>
            <w:tcW w:w="102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ind w:left="40"/>
              <w:spacing w:after="0" w:line="205" w:lineRule="exact"/>
              <w:rPr>
                <w:sz w:val="20"/>
                <w:szCs w:val="20"/>
                <w:color w:val="auto"/>
              </w:rPr>
            </w:pPr>
            <w:r>
              <w:rPr>
                <w:rFonts w:ascii="Arial" w:cs="Arial" w:eastAsia="Arial" w:hAnsi="Arial"/>
                <w:sz w:val="18"/>
                <w:szCs w:val="18"/>
                <w:color w:val="auto"/>
              </w:rPr>
              <w:t>Greater Than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5"/>
              </w:rPr>
              <w:t>Continuous</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Up to 30 days</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5"/>
              </w:rPr>
              <w:t>30-90 days</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5"/>
              </w:rPr>
              <w:t>90 days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tcPr>
          <w:p>
            <w:pPr>
              <w:spacing w:after="0"/>
              <w:rPr>
                <w:sz w:val="19"/>
                <w:szCs w:val="19"/>
                <w:color w:val="auto"/>
              </w:rPr>
            </w:pPr>
          </w:p>
        </w:tc>
      </w:tr>
      <w:tr>
        <w:trPr>
          <w:trHeight w:val="21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17,843</w:t>
            </w:r>
          </w:p>
        </w:tc>
        <w:tc>
          <w:tcPr>
            <w:tcW w:w="7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17,843</w:t>
            </w:r>
          </w:p>
        </w:tc>
        <w:tc>
          <w:tcPr>
            <w:tcW w:w="100" w:type="dxa"/>
            <w:vAlign w:val="bottom"/>
            <w:shd w:val="clear" w:color="auto" w:fill="CFF0FC"/>
          </w:tcPr>
          <w:p>
            <w:pPr>
              <w:spacing w:after="0"/>
              <w:rPr>
                <w:sz w:val="18"/>
                <w:szCs w:val="18"/>
                <w:color w:val="auto"/>
              </w:rPr>
            </w:pPr>
          </w:p>
        </w:tc>
      </w:tr>
      <w:tr>
        <w:trPr>
          <w:trHeight w:val="224"/>
        </w:trPr>
        <w:tc>
          <w:tcPr>
            <w:tcW w:w="5300" w:type="dxa"/>
            <w:vAlign w:val="bottom"/>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30,230</w:t>
            </w:r>
          </w:p>
        </w:tc>
        <w:tc>
          <w:tcPr>
            <w:tcW w:w="100" w:type="dxa"/>
            <w:vAlign w:val="bottom"/>
            <w:shd w:val="clear" w:color="auto" w:fill="CFF0FC"/>
          </w:tcPr>
          <w:p>
            <w:pPr>
              <w:spacing w:after="0"/>
              <w:rPr>
                <w:sz w:val="19"/>
                <w:szCs w:val="19"/>
                <w:color w:val="auto"/>
              </w:rPr>
            </w:pP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19,657</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3,965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24,451</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48,073</w:t>
            </w:r>
          </w:p>
        </w:tc>
        <w:tc>
          <w:tcPr>
            <w:tcW w:w="10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Federal Home Loan Bank Advances</w:t>
      </w:r>
    </w:p>
    <w:p>
      <w:pPr>
        <w:spacing w:after="0" w:line="115"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Long term debit consists of various loans from the Federal Home Loan Bank. Repayment structures vary, ranging from monthly installments, annual payments or upon maturity. Interest payments are due monthly. Total borrowings were $25.5 million excluding $0.7 thousand for fair value related to the acquisition for December 31,2019 and there were no outstanding borrowings for 2018. The advances were secured by $42.1 and $14.9 million of mortgage loans as of December 31, 2019 and 2018, respectively under a blanket collateral agreement.</w:t>
      </w:r>
    </w:p>
    <w:p>
      <w:pPr>
        <w:spacing w:after="0" w:line="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advances are subject to pre-payment penalties and the provisions and conditions of the credit policy of the Federal Home Loan Bank.</w:t>
      </w:r>
    </w:p>
    <w:p>
      <w:pPr>
        <w:spacing w:after="0" w:line="237"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The Bank had access to $69 million unsecured borrowings through correspondent banks as of both December 31, 2019 and December 31, 2018. $116.3 million and $73.7 million at the end of the same time periods, respectively, were unpledged securities which could be sold or used as collateral. An additional $1.6 million at December 31, 2019, and $9.0 million at December 31, 2018, were available from the Federal Home Loan Bank based on current pledging, with up to $97.0 million and $119.0 million, respectively, available provided adequate collateral is pledged. The table below shows the maturities of the borrowings exclusive of the fair value.</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228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FF0FC"/>
            </w:tcBorders>
          </w:tcPr>
          <w:p>
            <w:pPr>
              <w:spacing w:after="0"/>
              <w:rPr>
                <w:sz w:val="19"/>
                <w:szCs w:val="19"/>
                <w:color w:val="auto"/>
              </w:rPr>
            </w:pPr>
          </w:p>
        </w:tc>
      </w:tr>
      <w:tr>
        <w:trPr>
          <w:trHeight w:val="217"/>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60" w:type="dxa"/>
            <w:vAlign w:val="bottom"/>
            <w:shd w:val="clear" w:color="auto" w:fill="CFF0FC"/>
          </w:tcPr>
          <w:p>
            <w:pPr>
              <w:spacing w:after="0"/>
              <w:rPr>
                <w:sz w:val="18"/>
                <w:szCs w:val="18"/>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2021</w:t>
            </w: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5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60" w:type="dxa"/>
            <w:vAlign w:val="bottom"/>
            <w:shd w:val="clear" w:color="auto" w:fill="CFF0FC"/>
          </w:tcPr>
          <w:p>
            <w:pPr>
              <w:spacing w:after="0"/>
              <w:rPr>
                <w:sz w:val="19"/>
                <w:szCs w:val="19"/>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2023</w:t>
            </w: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r>
      <w:tr>
        <w:trPr>
          <w:trHeight w:val="224"/>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5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60" w:type="dxa"/>
            <w:vAlign w:val="bottom"/>
            <w:shd w:val="clear" w:color="auto" w:fill="CFF0FC"/>
          </w:tcPr>
          <w:p>
            <w:pPr>
              <w:spacing w:after="0"/>
              <w:rPr>
                <w:sz w:val="19"/>
                <w:szCs w:val="19"/>
                <w:color w:val="auto"/>
              </w:rPr>
            </w:pPr>
          </w:p>
        </w:tc>
      </w:tr>
      <w:tr>
        <w:trPr>
          <w:trHeight w:val="224"/>
        </w:trPr>
        <w:tc>
          <w:tcPr>
            <w:tcW w:w="2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5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60" w:type="dxa"/>
            <w:vAlign w:val="bottom"/>
            <w:tcBorders>
              <w:bottom w:val="single" w:sz="8" w:color="CFF0FC"/>
            </w:tcBorders>
          </w:tcPr>
          <w:p>
            <w:pPr>
              <w:spacing w:after="0"/>
              <w:rPr>
                <w:sz w:val="19"/>
                <w:szCs w:val="19"/>
                <w:color w:val="auto"/>
              </w:rPr>
            </w:pPr>
          </w:p>
        </w:tc>
      </w:tr>
      <w:tr>
        <w:trPr>
          <w:trHeight w:val="217"/>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25,519</w:t>
            </w:r>
          </w:p>
        </w:tc>
        <w:tc>
          <w:tcPr>
            <w:tcW w:w="60" w:type="dxa"/>
            <w:vAlign w:val="bottom"/>
            <w:shd w:val="clear" w:color="auto" w:fill="CFF0FC"/>
          </w:tcPr>
          <w:p>
            <w:pPr>
              <w:spacing w:after="0"/>
              <w:rPr>
                <w:sz w:val="18"/>
                <w:szCs w:val="18"/>
                <w:color w:val="auto"/>
              </w:rPr>
            </w:pPr>
          </w:p>
        </w:tc>
      </w:tr>
      <w:tr>
        <w:trPr>
          <w:trHeight w:val="20"/>
        </w:trPr>
        <w:tc>
          <w:tcPr>
            <w:tcW w:w="22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Federal Income Taxes</w:t>
      </w:r>
    </w:p>
    <w:p>
      <w:pPr>
        <w:spacing w:after="0" w:line="155" w:lineRule="exact"/>
        <w:rPr>
          <w:sz w:val="20"/>
          <w:szCs w:val="20"/>
          <w:color w:val="auto"/>
        </w:rPr>
      </w:pPr>
    </w:p>
    <w:p>
      <w:pPr>
        <w:jc w:val="both"/>
        <w:ind w:left="820" w:right="20"/>
        <w:spacing w:after="0" w:line="283" w:lineRule="auto"/>
        <w:rPr>
          <w:sz w:val="20"/>
          <w:szCs w:val="20"/>
          <w:color w:val="auto"/>
        </w:rPr>
      </w:pPr>
      <w:r>
        <w:rPr>
          <w:rFonts w:ascii="Arial" w:cs="Arial" w:eastAsia="Arial" w:hAnsi="Arial"/>
          <w:sz w:val="16"/>
          <w:szCs w:val="16"/>
          <w:color w:val="auto"/>
        </w:rPr>
        <w:t>The Tax Cuts and Jobs Act was enacted on December 22, 2017. Among other things, the new law (i) establishes a new, flat corporate federal statutory income tax rate of 21%, (ii) eliminates the corporate alternative minimum tax and allows the use of any such carryforwards to offset regular tax liability for any taxable year, (iii) limits the deduction for net interest expense incurred by U.S. corporations, (iv) allows businesses to immediately expense, for tax purposes, the cost of new investments in certain qualified depreciable assets, (v) eliminates or reduces certain deductions related to meals and entertainment expenses, (vi) modifies the limitation on excessive employee remuneration to eliminate the exception for performance-based compensation and clarifies the definition of a covered employee and (vii) limits the deductibility of deposit insurance premiums. The Tax Cuts and Jobs Act also significantly changes U.S. tax law related to foreign operations, however, such changes do not currently impact us.</w:t>
      </w:r>
    </w:p>
    <w:p>
      <w:pPr>
        <w:spacing w:after="0" w:line="62" w:lineRule="exact"/>
        <w:rPr>
          <w:sz w:val="20"/>
          <w:szCs w:val="20"/>
          <w:color w:val="auto"/>
        </w:rPr>
      </w:pPr>
    </w:p>
    <w:p>
      <w:pPr>
        <w:jc w:val="both"/>
        <w:ind w:left="820" w:right="20"/>
        <w:spacing w:after="0" w:line="250" w:lineRule="auto"/>
        <w:rPr>
          <w:sz w:val="20"/>
          <w:szCs w:val="20"/>
          <w:color w:val="auto"/>
        </w:rPr>
      </w:pPr>
      <w:r>
        <w:rPr>
          <w:rFonts w:ascii="Arial" w:cs="Arial" w:eastAsia="Arial" w:hAnsi="Arial"/>
          <w:sz w:val="18"/>
          <w:szCs w:val="18"/>
          <w:color w:val="auto"/>
        </w:rPr>
        <w:t>As stated above, as a result of the enactment of the Tax Cuts and Jobs Act on December 22, 2017, we remeasured our deferred tax assets and liabilities based upon the newly enacted U.S. statutory federal income tax rate of 21%, which is the tax rate at which these assets and liabilities are expected to reverse in the future. We recognized a net tax benefit related to the remeasurement of our deferred tax assets and liabilities totaling $8 thousand in 2017.</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components of income tax expense (benefit) for the years ended December 31 are as follows:</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4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44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8"/>
                <w:szCs w:val="18"/>
                <w:color w:val="auto"/>
              </w:rPr>
            </w:pPr>
          </w:p>
        </w:tc>
      </w:tr>
      <w:tr>
        <w:trPr>
          <w:trHeight w:val="21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4"/>
        </w:trPr>
        <w:tc>
          <w:tcPr>
            <w:tcW w:w="4440" w:type="dxa"/>
            <w:vAlign w:val="bottom"/>
          </w:tcPr>
          <w:p>
            <w:pPr>
              <w:ind w:left="240"/>
              <w:spacing w:after="0"/>
              <w:rPr>
                <w:sz w:val="20"/>
                <w:szCs w:val="20"/>
                <w:color w:val="auto"/>
              </w:rPr>
            </w:pPr>
            <w:r>
              <w:rPr>
                <w:rFonts w:ascii="Arial" w:cs="Arial" w:eastAsia="Arial" w:hAnsi="Arial"/>
                <w:sz w:val="18"/>
                <w:szCs w:val="18"/>
                <w:color w:val="auto"/>
              </w:rPr>
              <w:t>Federal</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4,005</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2,755</w:t>
            </w:r>
          </w:p>
        </w:tc>
        <w:tc>
          <w:tcPr>
            <w:tcW w:w="2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19"/>
                <w:szCs w:val="19"/>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4440" w:type="dxa"/>
            <w:vAlign w:val="bottom"/>
          </w:tcPr>
          <w:p>
            <w:pPr>
              <w:ind w:left="240"/>
              <w:spacing w:after="0"/>
              <w:rPr>
                <w:sz w:val="20"/>
                <w:szCs w:val="20"/>
                <w:color w:val="auto"/>
              </w:rPr>
            </w:pPr>
            <w:r>
              <w:rPr>
                <w:rFonts w:ascii="Arial" w:cs="Arial" w:eastAsia="Arial" w:hAnsi="Arial"/>
                <w:sz w:val="18"/>
                <w:szCs w:val="18"/>
                <w:color w:val="auto"/>
              </w:rPr>
              <w:t>Federal</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24"/>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 impact of enacted changes in tax law</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0"/>
        </w:trPr>
        <w:tc>
          <w:tcPr>
            <w:tcW w:w="4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4,232</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3,227</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is a reconciliation of the statutory federal income tax rate to the effective tax rate: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08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Income tax at statutory rates</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4,753</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6,045</w:t>
            </w:r>
          </w:p>
        </w:tc>
        <w:tc>
          <w:tcPr>
            <w:tcW w:w="10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40" w:type="dxa"/>
            <w:vAlign w:val="bottom"/>
            <w:gridSpan w:val="2"/>
          </w:tcPr>
          <w:p>
            <w:pPr>
              <w:ind w:left="1160"/>
              <w:spacing w:after="0"/>
              <w:rPr>
                <w:sz w:val="20"/>
                <w:szCs w:val="20"/>
                <w:color w:val="auto"/>
              </w:rPr>
            </w:pPr>
            <w:r>
              <w:rPr>
                <w:rFonts w:ascii="Arial" w:cs="Arial" w:eastAsia="Arial" w:hAnsi="Arial"/>
                <w:sz w:val="18"/>
                <w:szCs w:val="18"/>
                <w:color w:val="auto"/>
              </w:rPr>
              <w:t>Decrease resulting from:</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exempt interest</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w w:val="95"/>
              </w:rPr>
              <w:t>Adjustment of deferred taxes for enacted changes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in tax law</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Section 831 deduction</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Change in other</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40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10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bottom w:val="single" w:sz="8" w:color="CFF0FC"/>
            </w:tcBorders>
            <w:vMerge w:val="restart"/>
          </w:tcPr>
          <w:p>
            <w:pPr>
              <w:jc w:val="right"/>
              <w:ind w:right="652"/>
              <w:spacing w:after="0"/>
              <w:rPr>
                <w:sz w:val="20"/>
                <w:szCs w:val="20"/>
                <w:color w:val="auto"/>
              </w:rPr>
            </w:pPr>
            <w:r>
              <w:rPr>
                <w:rFonts w:ascii="Arial" w:cs="Arial" w:eastAsia="Arial" w:hAnsi="Arial"/>
                <w:sz w:val="18"/>
                <w:szCs w:val="18"/>
                <w:color w:val="auto"/>
              </w:rPr>
              <w:t>83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16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Federal Income Taxes (Continued)</w:t>
      </w:r>
    </w:p>
    <w:p>
      <w:pPr>
        <w:spacing w:after="0" w:line="203"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w w:val="93"/>
              </w:rPr>
              <w:t>Deferred tax assets and liabilities at December 31 are comprised of the following:</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5"/>
        </w:trPr>
        <w:tc>
          <w:tcPr>
            <w:tcW w:w="9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6"/>
          </w:tcPr>
          <w:p>
            <w:pPr>
              <w:ind w:left="440"/>
              <w:spacing w:after="0"/>
              <w:rPr>
                <w:sz w:val="20"/>
                <w:szCs w:val="20"/>
                <w:color w:val="auto"/>
              </w:rPr>
            </w:pPr>
            <w:r>
              <w:rPr>
                <w:rFonts w:ascii="Arial" w:cs="Arial" w:eastAsia="Arial" w:hAnsi="Arial"/>
                <w:sz w:val="18"/>
                <w:szCs w:val="18"/>
                <w:color w:val="auto"/>
              </w:rPr>
              <w:t>(In Thousands)</w:t>
            </w:r>
          </w:p>
        </w:tc>
      </w:tr>
      <w:tr>
        <w:trPr>
          <w:trHeight w:val="217"/>
        </w:trPr>
        <w:tc>
          <w:tcPr>
            <w:tcW w:w="920" w:type="dxa"/>
            <w:vAlign w:val="bottom"/>
          </w:tcPr>
          <w:p>
            <w:pPr>
              <w:spacing w:after="0"/>
              <w:rPr>
                <w:sz w:val="18"/>
                <w:szCs w:val="18"/>
                <w:color w:val="auto"/>
              </w:rPr>
            </w:pPr>
          </w:p>
        </w:tc>
        <w:tc>
          <w:tcPr>
            <w:tcW w:w="514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CFF0FC"/>
            </w:tcBorders>
          </w:tcPr>
          <w:p>
            <w:pPr>
              <w:spacing w:after="0"/>
              <w:rPr>
                <w:sz w:val="18"/>
                <w:szCs w:val="18"/>
                <w:color w:val="auto"/>
              </w:rPr>
            </w:pPr>
          </w:p>
        </w:tc>
        <w:tc>
          <w:tcPr>
            <w:tcW w:w="2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4"/>
        </w:trPr>
        <w:tc>
          <w:tcPr>
            <w:tcW w:w="9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Allowance for loan losses</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1,612</w:t>
            </w:r>
          </w:p>
        </w:tc>
        <w:tc>
          <w:tcPr>
            <w:tcW w:w="18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9"/>
                <w:szCs w:val="19"/>
                <w:color w:val="auto"/>
              </w:rPr>
            </w:pPr>
          </w:p>
        </w:tc>
      </w:tr>
      <w:tr>
        <w:trPr>
          <w:trHeight w:val="224"/>
        </w:trPr>
        <w:tc>
          <w:tcPr>
            <w:tcW w:w="920" w:type="dxa"/>
            <w:vAlign w:val="bottom"/>
          </w:tcPr>
          <w:p>
            <w:pPr>
              <w:spacing w:after="0"/>
              <w:rPr>
                <w:sz w:val="19"/>
                <w:szCs w:val="19"/>
                <w:color w:val="auto"/>
              </w:rPr>
            </w:pPr>
          </w:p>
        </w:tc>
        <w:tc>
          <w:tcPr>
            <w:tcW w:w="5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FF0FC"/>
          </w:tcPr>
          <w:p>
            <w:pPr>
              <w:spacing w:after="0"/>
              <w:rPr>
                <w:sz w:val="19"/>
                <w:szCs w:val="19"/>
                <w:color w:val="auto"/>
              </w:rPr>
            </w:pPr>
          </w:p>
        </w:tc>
      </w:tr>
      <w:tr>
        <w:trPr>
          <w:trHeight w:val="224"/>
        </w:trPr>
        <w:tc>
          <w:tcPr>
            <w:tcW w:w="920" w:type="dxa"/>
            <w:vAlign w:val="bottom"/>
          </w:tcPr>
          <w:p>
            <w:pPr>
              <w:spacing w:after="0"/>
              <w:rPr>
                <w:sz w:val="19"/>
                <w:szCs w:val="19"/>
                <w:color w:val="auto"/>
              </w:rPr>
            </w:pPr>
          </w:p>
        </w:tc>
        <w:tc>
          <w:tcPr>
            <w:tcW w:w="51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Net unrealized loss on available-for-sale securities</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80" w:type="dxa"/>
            <w:vAlign w:val="bottom"/>
            <w:tcBorders>
              <w:bottom w:val="single" w:sz="8" w:color="CFF0FC"/>
            </w:tcBorders>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5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80" w:type="dxa"/>
            <w:vAlign w:val="bottom"/>
            <w:shd w:val="clear" w:color="auto" w:fill="CFF0FC"/>
          </w:tcPr>
          <w:p>
            <w:pPr>
              <w:spacing w:after="0"/>
              <w:rPr>
                <w:sz w:val="18"/>
                <w:szCs w:val="18"/>
                <w:color w:val="auto"/>
              </w:rPr>
            </w:pPr>
          </w:p>
        </w:tc>
      </w:tr>
      <w:tr>
        <w:trPr>
          <w:trHeight w:val="224"/>
        </w:trPr>
        <w:tc>
          <w:tcPr>
            <w:tcW w:w="6060" w:type="dxa"/>
            <w:vAlign w:val="bottom"/>
            <w:gridSpan w:val="2"/>
          </w:tcPr>
          <w:p>
            <w:pPr>
              <w:ind w:left="90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4"/>
        </w:trPr>
        <w:tc>
          <w:tcPr>
            <w:tcW w:w="920" w:type="dxa"/>
            <w:vAlign w:val="bottom"/>
          </w:tcPr>
          <w:p>
            <w:pPr>
              <w:spacing w:after="0"/>
              <w:rPr>
                <w:sz w:val="19"/>
                <w:szCs w:val="19"/>
                <w:color w:val="auto"/>
              </w:rPr>
            </w:pPr>
          </w:p>
        </w:tc>
        <w:tc>
          <w:tcPr>
            <w:tcW w:w="5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Accreted discounts on bonds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r>
      <w:tr>
        <w:trPr>
          <w:trHeight w:val="224"/>
        </w:trPr>
        <w:tc>
          <w:tcPr>
            <w:tcW w:w="9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FHLB stock dividends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9"/>
                <w:szCs w:val="19"/>
                <w:color w:val="auto"/>
              </w:rPr>
            </w:pPr>
          </w:p>
        </w:tc>
      </w:tr>
      <w:tr>
        <w:trPr>
          <w:trHeight w:val="224"/>
        </w:trPr>
        <w:tc>
          <w:tcPr>
            <w:tcW w:w="920" w:type="dxa"/>
            <w:vAlign w:val="bottom"/>
          </w:tcPr>
          <w:p>
            <w:pPr>
              <w:spacing w:after="0"/>
              <w:rPr>
                <w:sz w:val="19"/>
                <w:szCs w:val="19"/>
                <w:color w:val="auto"/>
              </w:rPr>
            </w:pPr>
          </w:p>
        </w:tc>
        <w:tc>
          <w:tcPr>
            <w:tcW w:w="5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Mortgage servicing rights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FF0FC"/>
          </w:tcPr>
          <w:p>
            <w:pPr>
              <w:spacing w:after="0"/>
              <w:rPr>
                <w:sz w:val="19"/>
                <w:szCs w:val="19"/>
                <w:color w:val="auto"/>
              </w:rPr>
            </w:pPr>
          </w:p>
        </w:tc>
      </w:tr>
      <w:tr>
        <w:trPr>
          <w:trHeight w:val="224"/>
        </w:trPr>
        <w:tc>
          <w:tcPr>
            <w:tcW w:w="920" w:type="dxa"/>
            <w:vAlign w:val="bottom"/>
          </w:tcPr>
          <w:p>
            <w:pPr>
              <w:spacing w:after="0"/>
              <w:rPr>
                <w:sz w:val="19"/>
                <w:szCs w:val="19"/>
                <w:color w:val="auto"/>
              </w:rPr>
            </w:pPr>
          </w:p>
        </w:tc>
        <w:tc>
          <w:tcPr>
            <w:tcW w:w="51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80" w:type="dxa"/>
            <w:vAlign w:val="bottom"/>
            <w:tcBorders>
              <w:bottom w:val="single" w:sz="8" w:color="CFF0FC"/>
            </w:tcBorders>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5140" w:type="dxa"/>
            <w:vAlign w:val="bottom"/>
            <w:shd w:val="clear" w:color="auto" w:fill="CFF0FC"/>
          </w:tcPr>
          <w:p>
            <w:pPr>
              <w:ind w:left="220"/>
              <w:spacing w:after="0" w:line="203" w:lineRule="exact"/>
              <w:rPr>
                <w:sz w:val="20"/>
                <w:szCs w:val="20"/>
                <w:color w:val="auto"/>
              </w:rPr>
            </w:pPr>
            <w:r>
              <w:rPr>
                <w:rFonts w:ascii="Arial" w:cs="Arial" w:eastAsia="Arial" w:hAnsi="Arial"/>
                <w:sz w:val="18"/>
                <w:szCs w:val="18"/>
                <w:color w:val="auto"/>
              </w:rPr>
              <w:t>Total deferred tax liabilities</w:t>
            </w:r>
          </w:p>
        </w:tc>
        <w:tc>
          <w:tcPr>
            <w:tcW w:w="3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FF0FC"/>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5140" w:type="dxa"/>
            <w:vAlign w:val="bottom"/>
          </w:tcPr>
          <w:p>
            <w:pPr>
              <w:ind w:left="460"/>
              <w:spacing w:after="0"/>
              <w:rPr>
                <w:sz w:val="20"/>
                <w:szCs w:val="20"/>
                <w:color w:val="auto"/>
              </w:rPr>
            </w:pPr>
            <w:r>
              <w:rPr>
                <w:rFonts w:ascii="Arial" w:cs="Arial" w:eastAsia="Arial" w:hAnsi="Arial"/>
                <w:sz w:val="18"/>
                <w:szCs w:val="18"/>
                <w:color w:val="auto"/>
              </w:rPr>
              <w:t>Net Deferred Tax Asset (Liability)</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(1,354)</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115" w:lineRule="exact"/>
        <w:rPr>
          <w:sz w:val="20"/>
          <w:szCs w:val="20"/>
          <w:color w:val="auto"/>
        </w:rPr>
      </w:pPr>
    </w:p>
    <w:p>
      <w:pPr>
        <w:jc w:val="both"/>
        <w:ind w:left="820"/>
        <w:spacing w:after="0" w:line="284" w:lineRule="auto"/>
        <w:rPr>
          <w:sz w:val="20"/>
          <w:szCs w:val="20"/>
          <w:color w:val="auto"/>
        </w:rPr>
      </w:pPr>
      <w:r>
        <w:rPr>
          <w:rFonts w:ascii="Arial" w:cs="Arial" w:eastAsia="Arial" w:hAnsi="Arial"/>
          <w:sz w:val="16"/>
          <w:szCs w:val="16"/>
          <w:color w:val="auto"/>
        </w:rPr>
        <w:t>The Bank has established a 401(k) profit sharing plan, which allows eligible employees to save at a minimum one percent of eligible compensation on a pre-tax basis, subject to certain Internal Revenue Service limitations. The Bank will match 50% of employee 401(k) contributions up to four percent of total eligible compensation. In addition, the Bank may make a discretionary contribution from time to time. A participant is 100% vested in the participant’s deferral contributions and employer matching contributions. A six-year vesting schedule applies to employer discretionary contributions. Contributions expensed for the 401(k) profit sharing plan for both the employer matching contribution and the discretionary contribution were $1.2 million, $1.1 million and $972 thousand for 2019, 2018 and 2017, respectively.</w:t>
      </w:r>
    </w:p>
    <w:p>
      <w:pPr>
        <w:spacing w:after="0" w:line="26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Restricted Stock Awards</w:t>
      </w:r>
    </w:p>
    <w:p>
      <w:pPr>
        <w:spacing w:after="0" w:line="115" w:lineRule="exact"/>
        <w:rPr>
          <w:sz w:val="20"/>
          <w:szCs w:val="20"/>
          <w:color w:val="auto"/>
        </w:rPr>
      </w:pPr>
    </w:p>
    <w:p>
      <w:pPr>
        <w:jc w:val="both"/>
        <w:ind w:left="820"/>
        <w:spacing w:after="0" w:line="301" w:lineRule="auto"/>
        <w:rPr>
          <w:sz w:val="20"/>
          <w:szCs w:val="20"/>
          <w:color w:val="auto"/>
        </w:rPr>
      </w:pPr>
      <w:r>
        <w:rPr>
          <w:rFonts w:ascii="Arial" w:cs="Arial" w:eastAsia="Arial" w:hAnsi="Arial"/>
          <w:sz w:val="15"/>
          <w:szCs w:val="15"/>
          <w:color w:val="auto"/>
        </w:rPr>
        <w:t>The Company has a Long-Term Stock Incentive Plan under which 38,100 shares of restricted stock were issued to 94 employees during 2019, 33,000 shares of restricted stock were issued to 80 employees during 2018 and 32,000 shares of restricted stock were issued to 74 employees during 2017. Under the plan, the shares vest 100% in three years. During the 3 year vesting period, the employees receive dividends or dividend equivalent compensation on the shares. Due to employee termination, there were 3,220, 2,620, and 1,080 shares forfeited during 2019, 2018 and 2017, respectively. During 2019, three employees retired and received 14,300 shares from the shares awarded in 2016, 2017 and 2018. During 2017, due to retirement, one employee received 640 shares from awards granted in 2014, 2015 and 2016. During 2019, 26,070 shares awarded in 2016 were 100% vested and 63 employees received the stock. During 2018, 28,790 shares awarded in 2015 were vested 100% and 56 employees received the stock. During 2017, 24,230 shares awarded in 2014 were vested 100% and 52 employees received the stock. Compensation expense applicable to the restricted stock awards totaled $1.1 million, $745 thousand and $507 thousand for the years ending December 31, 2019, 2018 and 2017,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 (Continued)</w:t>
      </w:r>
    </w:p>
    <w:p>
      <w:pPr>
        <w:spacing w:after="0" w:line="308"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The table below summarizes the details of the restricted shares issued, vested, and forfeited for the years ending December 31, 2019, 2018 and 2017.</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w w:val="86"/>
              </w:rPr>
              <w:t>Year Ended December 31,</w:t>
            </w: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4360" w:type="dxa"/>
            <w:vAlign w:val="bottom"/>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2018</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2017</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4360" w:type="dxa"/>
            <w:vAlign w:val="bottom"/>
          </w:tcPr>
          <w:p>
            <w:pPr>
              <w:spacing w:after="0"/>
              <w:rPr>
                <w:sz w:val="17"/>
                <w:szCs w:val="17"/>
                <w:color w:val="auto"/>
              </w:rPr>
            </w:pPr>
          </w:p>
        </w:tc>
        <w:tc>
          <w:tcPr>
            <w:tcW w:w="1260" w:type="dxa"/>
            <w:vAlign w:val="bottom"/>
            <w:gridSpan w:val="3"/>
          </w:tcPr>
          <w:p>
            <w:pPr>
              <w:jc w:val="center"/>
              <w:ind w:right="300"/>
              <w:spacing w:after="0" w:line="205" w:lineRule="exact"/>
              <w:rPr>
                <w:sz w:val="20"/>
                <w:szCs w:val="20"/>
                <w:color w:val="auto"/>
              </w:rPr>
            </w:pPr>
            <w:r>
              <w:rPr>
                <w:rFonts w:ascii="Arial" w:cs="Arial" w:eastAsia="Arial" w:hAnsi="Arial"/>
                <w:sz w:val="18"/>
                <w:szCs w:val="18"/>
                <w:color w:val="auto"/>
                <w:w w:val="90"/>
              </w:rPr>
              <w:t>Number of</w:t>
            </w:r>
          </w:p>
        </w:tc>
        <w:tc>
          <w:tcPr>
            <w:tcW w:w="112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c>
          <w:tcPr>
            <w:tcW w:w="1260" w:type="dxa"/>
            <w:vAlign w:val="bottom"/>
            <w:gridSpan w:val="3"/>
          </w:tcPr>
          <w:p>
            <w:pPr>
              <w:jc w:val="center"/>
              <w:ind w:right="300"/>
              <w:spacing w:after="0" w:line="205" w:lineRule="exact"/>
              <w:rPr>
                <w:sz w:val="20"/>
                <w:szCs w:val="20"/>
                <w:color w:val="auto"/>
              </w:rPr>
            </w:pPr>
            <w:r>
              <w:rPr>
                <w:rFonts w:ascii="Arial" w:cs="Arial" w:eastAsia="Arial" w:hAnsi="Arial"/>
                <w:sz w:val="18"/>
                <w:szCs w:val="18"/>
                <w:color w:val="auto"/>
                <w:w w:val="90"/>
              </w:rPr>
              <w:t>Number of</w:t>
            </w:r>
          </w:p>
        </w:tc>
        <w:tc>
          <w:tcPr>
            <w:tcW w:w="11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c>
          <w:tcPr>
            <w:tcW w:w="1300" w:type="dxa"/>
            <w:vAlign w:val="bottom"/>
            <w:gridSpan w:val="3"/>
          </w:tcPr>
          <w:p>
            <w:pPr>
              <w:jc w:val="center"/>
              <w:ind w:right="320"/>
              <w:spacing w:after="0" w:line="205" w:lineRule="exact"/>
              <w:rPr>
                <w:sz w:val="20"/>
                <w:szCs w:val="20"/>
                <w:color w:val="auto"/>
              </w:rPr>
            </w:pPr>
            <w:r>
              <w:rPr>
                <w:rFonts w:ascii="Arial" w:cs="Arial" w:eastAsia="Arial" w:hAnsi="Arial"/>
                <w:sz w:val="18"/>
                <w:szCs w:val="18"/>
                <w:color w:val="auto"/>
                <w:w w:val="92"/>
              </w:rPr>
              <w:t>Number of</w:t>
            </w:r>
          </w:p>
        </w:tc>
        <w:tc>
          <w:tcPr>
            <w:tcW w:w="102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r>
      <w:tr>
        <w:trPr>
          <w:trHeight w:val="222"/>
        </w:trPr>
        <w:tc>
          <w:tcPr>
            <w:tcW w:w="4360" w:type="dxa"/>
            <w:vAlign w:val="bottom"/>
          </w:tcPr>
          <w:p>
            <w:pPr>
              <w:spacing w:after="0"/>
              <w:rPr>
                <w:sz w:val="19"/>
                <w:szCs w:val="19"/>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color w:val="auto"/>
                <w:w w:val="80"/>
              </w:rPr>
              <w:t>Shares</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Employees</w:t>
            </w: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color w:val="auto"/>
                <w:w w:val="80"/>
              </w:rPr>
              <w:t>Shares</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Employees</w:t>
            </w:r>
          </w:p>
        </w:tc>
        <w:tc>
          <w:tcPr>
            <w:tcW w:w="1300" w:type="dxa"/>
            <w:vAlign w:val="bottom"/>
            <w:gridSpan w:val="3"/>
          </w:tcPr>
          <w:p>
            <w:pPr>
              <w:jc w:val="center"/>
              <w:ind w:right="320"/>
              <w:spacing w:after="0"/>
              <w:rPr>
                <w:sz w:val="20"/>
                <w:szCs w:val="20"/>
                <w:color w:val="auto"/>
              </w:rPr>
            </w:pPr>
            <w:r>
              <w:rPr>
                <w:rFonts w:ascii="Arial" w:cs="Arial" w:eastAsia="Arial" w:hAnsi="Arial"/>
                <w:sz w:val="18"/>
                <w:szCs w:val="18"/>
                <w:color w:val="auto"/>
                <w:w w:val="80"/>
              </w:rPr>
              <w:t>Shares</w:t>
            </w:r>
          </w:p>
        </w:tc>
        <w:tc>
          <w:tcPr>
            <w:tcW w:w="1020" w:type="dxa"/>
            <w:vAlign w:val="bottom"/>
            <w:gridSpan w:val="2"/>
          </w:tcPr>
          <w:p>
            <w:pPr>
              <w:spacing w:after="0"/>
              <w:rPr>
                <w:sz w:val="20"/>
                <w:szCs w:val="20"/>
                <w:color w:val="auto"/>
              </w:rPr>
            </w:pPr>
            <w:r>
              <w:rPr>
                <w:rFonts w:ascii="Arial" w:cs="Arial" w:eastAsia="Arial" w:hAnsi="Arial"/>
                <w:sz w:val="18"/>
                <w:szCs w:val="18"/>
                <w:color w:val="auto"/>
              </w:rPr>
              <w:t>Employees</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Restricted shares issued</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38,100</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33,000</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r>
      <w:tr>
        <w:trPr>
          <w:trHeight w:val="224"/>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Restricted shares vested</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Restricted shares awarded due to retirement</w:t>
            </w:r>
          </w:p>
        </w:tc>
        <w:tc>
          <w:tcPr>
            <w:tcW w:w="980" w:type="dxa"/>
            <w:vAlign w:val="bottom"/>
          </w:tcPr>
          <w:p>
            <w:pPr>
              <w:jc w:val="right"/>
              <w:spacing w:after="0"/>
              <w:rPr>
                <w:sz w:val="20"/>
                <w:szCs w:val="20"/>
                <w:color w:val="auto"/>
              </w:rPr>
            </w:pPr>
            <w:r>
              <w:rPr>
                <w:rFonts w:ascii="Arial" w:cs="Arial" w:eastAsia="Arial" w:hAnsi="Arial"/>
                <w:sz w:val="18"/>
                <w:szCs w:val="18"/>
                <w:color w:val="auto"/>
              </w:rPr>
              <w:t>14,300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4"/>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Restricted shares forfeited</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the activity of restricted stock awards as of December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4380" w:type="dxa"/>
            <w:vAlign w:val="bottom"/>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4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40"/>
              <w:spacing w:after="0" w:line="205" w:lineRule="exact"/>
              <w:rPr>
                <w:sz w:val="20"/>
                <w:szCs w:val="20"/>
                <w:color w:val="auto"/>
              </w:rPr>
            </w:pPr>
            <w:r>
              <w:rPr>
                <w:rFonts w:ascii="Arial" w:cs="Arial" w:eastAsia="Arial" w:hAnsi="Arial"/>
                <w:sz w:val="18"/>
                <w:szCs w:val="18"/>
                <w:color w:val="auto"/>
                <w:w w:val="89"/>
              </w:rPr>
              <w:t>Weighted</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40"/>
              <w:spacing w:after="0" w:line="205" w:lineRule="exact"/>
              <w:rPr>
                <w:sz w:val="20"/>
                <w:szCs w:val="20"/>
                <w:color w:val="auto"/>
              </w:rPr>
            </w:pPr>
            <w:r>
              <w:rPr>
                <w:rFonts w:ascii="Arial" w:cs="Arial" w:eastAsia="Arial" w:hAnsi="Arial"/>
                <w:sz w:val="18"/>
                <w:szCs w:val="18"/>
                <w:color w:val="auto"/>
                <w:w w:val="86"/>
              </w:rPr>
              <w:t>Weighted</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line="205" w:lineRule="exact"/>
              <w:rPr>
                <w:sz w:val="20"/>
                <w:szCs w:val="20"/>
                <w:color w:val="auto"/>
              </w:rPr>
            </w:pPr>
            <w:r>
              <w:rPr>
                <w:rFonts w:ascii="Arial" w:cs="Arial" w:eastAsia="Arial" w:hAnsi="Arial"/>
                <w:sz w:val="18"/>
                <w:szCs w:val="18"/>
                <w:color w:val="auto"/>
                <w:w w:val="89"/>
              </w:rPr>
              <w:t>Weighted</w:t>
            </w:r>
          </w:p>
        </w:tc>
      </w:tr>
      <w:tr>
        <w:trPr>
          <w:trHeight w:val="211"/>
        </w:trPr>
        <w:tc>
          <w:tcPr>
            <w:tcW w:w="4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2"/>
              </w:rPr>
              <w:t>average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r>
      <w:tr>
        <w:trPr>
          <w:trHeight w:val="211"/>
        </w:trPr>
        <w:tc>
          <w:tcPr>
            <w:tcW w:w="43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Number of</w:t>
            </w: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fair value</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 value</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Number of</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fair value</w:t>
            </w:r>
          </w:p>
        </w:tc>
      </w:tr>
      <w:tr>
        <w:trPr>
          <w:trHeight w:val="223"/>
        </w:trPr>
        <w:tc>
          <w:tcPr>
            <w:tcW w:w="43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per award</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per award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 award</w:t>
            </w:r>
          </w:p>
        </w:tc>
      </w:tr>
      <w:tr>
        <w:trPr>
          <w:trHeight w:val="217"/>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93,940</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2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92,350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86,300</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38,100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25.14</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19"/>
                <w:szCs w:val="19"/>
                <w:color w:val="auto"/>
              </w:rPr>
            </w:pPr>
          </w:p>
        </w:tc>
      </w:tr>
      <w:tr>
        <w:trPr>
          <w:trHeight w:val="224"/>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(40,370)</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(28,790)</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(24,870)</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FF0FC"/>
          </w:tcPr>
          <w:p>
            <w:pPr>
              <w:spacing w:after="0"/>
              <w:rPr>
                <w:sz w:val="19"/>
                <w:szCs w:val="19"/>
                <w:color w:val="auto"/>
              </w:rPr>
            </w:pP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30.12</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44.04</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9"/>
                <w:szCs w:val="19"/>
                <w:color w:val="auto"/>
              </w:rPr>
            </w:pPr>
          </w:p>
        </w:tc>
      </w:tr>
      <w:tr>
        <w:trPr>
          <w:trHeight w:val="217"/>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end of period</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31.52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93,940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92,350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As of December 31, 2019, there was $1.6 million of unrecognized compensation cost related to the nonvested portion of restricted stock awards under the plan to be recognized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55" w:lineRule="exact"/>
        <w:rPr>
          <w:sz w:val="20"/>
          <w:szCs w:val="20"/>
          <w:color w:val="auto"/>
        </w:rPr>
      </w:pPr>
    </w:p>
    <w:p>
      <w:pPr>
        <w:jc w:val="both"/>
        <w:ind w:left="820"/>
        <w:spacing w:after="0" w:line="280" w:lineRule="auto"/>
        <w:rPr>
          <w:sz w:val="20"/>
          <w:szCs w:val="20"/>
          <w:color w:val="auto"/>
        </w:rPr>
      </w:pPr>
      <w:r>
        <w:rPr>
          <w:rFonts w:ascii="Arial" w:cs="Arial" w:eastAsia="Arial" w:hAnsi="Arial"/>
          <w:sz w:val="16"/>
          <w:szCs w:val="16"/>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table below presents basic and diluted earnings per share for the years ended December 31, 2019, 2018, and 2017.</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4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6"/>
              </w:rPr>
              <w:t>Year Ended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December 31,</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4"/>
        </w:trPr>
        <w:tc>
          <w:tcPr>
            <w:tcW w:w="43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2018</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18,402</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14,949</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participating securities</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1"/>
        </w:trPr>
        <w:tc>
          <w:tcPr>
            <w:tcW w:w="4340" w:type="dxa"/>
            <w:vAlign w:val="bottom"/>
          </w:tcPr>
          <w:p>
            <w:pPr>
              <w:spacing w:after="0"/>
              <w:rPr>
                <w:sz w:val="20"/>
                <w:szCs w:val="20"/>
                <w:color w:val="auto"/>
              </w:rPr>
            </w:pPr>
            <w:r>
              <w:rPr>
                <w:rFonts w:ascii="Arial" w:cs="Arial" w:eastAsia="Arial" w:hAnsi="Arial"/>
                <w:sz w:val="18"/>
                <w:szCs w:val="18"/>
                <w:color w:val="auto"/>
              </w:rPr>
              <w:t>Less: undistributed earnings allocated to</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120"/>
              <w:spacing w:after="0"/>
              <w:rPr>
                <w:sz w:val="20"/>
                <w:szCs w:val="20"/>
                <w:color w:val="auto"/>
              </w:rPr>
            </w:pPr>
            <w:r>
              <w:rPr>
                <w:rFonts w:ascii="Arial" w:cs="Arial" w:eastAsia="Arial" w:hAnsi="Arial"/>
                <w:sz w:val="18"/>
                <w:szCs w:val="18"/>
                <w:color w:val="auto"/>
              </w:rPr>
              <w:t>participating securities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1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4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18,264</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120"/>
              <w:spacing w:after="0"/>
              <w:rPr>
                <w:sz w:val="20"/>
                <w:szCs w:val="20"/>
                <w:color w:val="auto"/>
              </w:rPr>
            </w:pPr>
            <w:r>
              <w:rPr>
                <w:rFonts w:ascii="Arial" w:cs="Arial" w:eastAsia="Arial" w:hAnsi="Arial"/>
                <w:sz w:val="18"/>
                <w:szCs w:val="18"/>
                <w:color w:val="auto"/>
              </w:rPr>
              <w:t>including participating securities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11,113,810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9,272,964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9,250,825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Less: average unvested restricted shares</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(83,369)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(93,000)</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(88,664)</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common shares outstanding</w:t>
            </w:r>
          </w:p>
        </w:tc>
        <w:tc>
          <w:tcPr>
            <w:tcW w:w="10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11,030,441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9,179,964</w:t>
            </w:r>
          </w:p>
        </w:tc>
        <w:tc>
          <w:tcPr>
            <w:tcW w:w="2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9,162,161</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Basic and diluted earnings per share</w:t>
            </w: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1.66</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15"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In the ordinary course of business, the Bank has granted loans to senior officers and directors and their affiliated companies amounting to $1.3 million and $1.5 million at December 31, 2019 and 2018, respectively. Six new loans were approved during 2019 of which no additional borrowings were utilized. During 2019, subsequent advances totaled $10.1 million and payments of $10.7 million were received. The difference in related borrowings amounted to $146 thousand, net decrease. Deposits of directors, executive officers and companies in which they have a direct or indirect ownership as of December 31, 2019 and 2018, amounted to $33.7 million and $26.1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Off Balance Sheet Activities</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Credit Related Financial Instruments</w:t>
      </w:r>
    </w:p>
    <w:p>
      <w:pPr>
        <w:spacing w:after="0" w:line="115"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Bank is a party to credit related financial instruments with off-balance-sheet risk in the normal course of business to meet the financing need of its customers. These financial instruments include commitments to extend credit, Standby Letters of Credit, and Commercial Letters of Credit. Such commitments involve, to varying degrees, elements of credit and interest rate risk in excess of the amount recognized in the consolidated balance sheets.</w:t>
      </w:r>
    </w:p>
    <w:p>
      <w:pPr>
        <w:spacing w:after="0" w:line="86"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 Bank's exposure to credit loss is represented by the contractual amount of these commitments. The Bank follows the same credit policies in making commitments as it does for on-balance-sheet instruments. The allowance for credit losses as it relates to unfunded loan commitments (AULC) is included under other liabilities. The AULC as of December 31, 2019 and 2018 was $479 thousand and $274 thousand, respectively.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Off Balance Sheet Activities (Continued)</w:t>
      </w:r>
    </w:p>
    <w:p>
      <w:pPr>
        <w:spacing w:after="0" w:line="3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 December 31, 2019 and 2018, the following financial instruments were outstanding whose contract amounts represent credit risk:</w:t>
      </w: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color w:val="auto"/>
              </w:rPr>
              <w:t>(In Thousands)</w:t>
            </w:r>
          </w:p>
        </w:tc>
      </w:tr>
      <w:tr>
        <w:trPr>
          <w:trHeight w:val="217"/>
        </w:trPr>
        <w:tc>
          <w:tcPr>
            <w:tcW w:w="20" w:type="dxa"/>
            <w:vAlign w:val="bottom"/>
          </w:tcPr>
          <w:p>
            <w:pPr>
              <w:spacing w:after="0"/>
              <w:rPr>
                <w:sz w:val="18"/>
                <w:szCs w:val="18"/>
                <w:color w:val="auto"/>
              </w:rPr>
            </w:pPr>
          </w:p>
        </w:tc>
        <w:tc>
          <w:tcPr>
            <w:tcW w:w="376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394,437</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267,166</w:t>
            </w:r>
          </w:p>
        </w:tc>
        <w:tc>
          <w:tcPr>
            <w:tcW w:w="80" w:type="dxa"/>
            <w:vAlign w:val="bottom"/>
            <w:shd w:val="clear" w:color="auto" w:fill="CFF0FC"/>
          </w:tcPr>
          <w:p>
            <w:pPr>
              <w:spacing w:after="0"/>
              <w:rPr>
                <w:sz w:val="18"/>
                <w:szCs w:val="18"/>
                <w:color w:val="auto"/>
              </w:rPr>
            </w:pP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Credit card arrangements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20,695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20,993</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Standby letters of credit</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Commitments to extend credit, credit card arrangements and Standby Letters of Credit all include exposure to some credit loss in the event of nonperformance of the customer. The Bank’s credit policies and procedures for credit commitments and financial guarantees are the same as those for extensions of credit that are recorded in the financial statements. Due to the fact that these instruments have fixed maturity dates, and because many of them expire without being drawn upon, they generally do not present any significant liquidity risk to the Bank.</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Collateral Requirements</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To reduce credit risk related to the use of credit-related financial instruments, the Bank might deem it necessary to obtain collateral. The amount and nature of the collateral obtained is based on the Bank's credit evaluation of the customer. Collateral held varies but may include cash, securities, accounts receivable, inventory, property, plant, and real estate.</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Legal Contingencies</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Various legal claims also arise from time to time in the normal course of business, which, in the opinion of management, will have no material effect on the Company’s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w:t>
      </w:r>
    </w:p>
    <w:p>
      <w:pPr>
        <w:spacing w:after="0" w:line="115"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Bank must meet specific capital guidelines that involve quantitative measures of their assets, liabilities and certain off balance-sheet items as calculated under regulatory accounting practices.</w:t>
      </w:r>
    </w:p>
    <w:p>
      <w:pPr>
        <w:spacing w:after="0" w:line="89"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The capital amounts and classification are also subject to qualitative judgments by the regulators about components, risk weightings, and other factors. Prompt corrective action provisions are not applicable to bank holding companies.</w:t>
      </w:r>
    </w:p>
    <w:p>
      <w:pPr>
        <w:spacing w:after="0" w:line="75"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The Basel III Capital Rules, a new comprehensive capital framework for U.S. banking organizations, became effective on January 1, 2015 (subject to a phase-in period for certain provisions). Quantitative measures established by the Basel III Capital Rules to ensure capital adequacy require the maintenance of minimum amounts and ratios (set forth in the table below) of Common Equity Tier 1 capital, Tier 1 capital and Total capital (as defined in the regulations) to risk-weighted assets (as defined), and of Tier 1 capital to adjusted quarterly average assets (as defined).</w:t>
      </w:r>
    </w:p>
    <w:p>
      <w:pPr>
        <w:spacing w:after="0" w:line="56"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In connection with the adoption of the Basel III Capital Rules, we elected to opt-out of the requirement to include most components of accumulated other comprehensive income in Common Equity Tier 1.</w:t>
      </w:r>
    </w:p>
    <w:p>
      <w:pPr>
        <w:spacing w:after="0" w:line="7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Common Equity Tier 1 is reduced by, goodwill and other intangible assets, net of associated deferred tax liabilities, and subject to transition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55245</wp:posOffset>
            </wp:positionV>
            <wp:extent cx="6731635" cy="133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635" cy="1339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308"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The Common Equity Tier 1, Tier 1 and Total capital ratios are calculated by dividing the respective capital amounts by risk-weighted assets. Risk-weighted assets are calculated based on regulatory requirements and include total assets, with certain exclusions, allocated by risk weight category, and certain off-balance-sheet items, among other things. The leverage ratio is calculated by dividing Tier 1 capital by adjusted quarterly average total assets, which exclude goodwill and other intangible assets, among other things.</w:t>
      </w:r>
    </w:p>
    <w:p>
      <w:pPr>
        <w:spacing w:after="0" w:line="56" w:lineRule="exact"/>
        <w:rPr>
          <w:sz w:val="20"/>
          <w:szCs w:val="20"/>
          <w:color w:val="auto"/>
        </w:rPr>
      </w:pPr>
    </w:p>
    <w:p>
      <w:pPr>
        <w:jc w:val="both"/>
        <w:ind w:left="820"/>
        <w:spacing w:after="0" w:line="282" w:lineRule="auto"/>
        <w:rPr>
          <w:sz w:val="20"/>
          <w:szCs w:val="20"/>
          <w:color w:val="auto"/>
        </w:rPr>
      </w:pPr>
      <w:r>
        <w:rPr>
          <w:rFonts w:ascii="Arial" w:cs="Arial" w:eastAsia="Arial" w:hAnsi="Arial"/>
          <w:sz w:val="16"/>
          <w:szCs w:val="16"/>
          <w:color w:val="auto"/>
        </w:rPr>
        <w:t>As fully phased in effective January 1, 2019, the Basel III Capital Rules require the Bank to maintain (i) a minimum ratio of Common Equity Tier 1 capital to risk-weighted assets of at least 4.5%, plus a 2.5% “capital conservation buffer” (which is added to the 4.5% Common Equity Tier 1 capital ratio as that buffer is phased in, effectively resulting in a minimum ratio of Common Equity Tier 1 capital to risk-weighted assets of at least 7.0% upon full implementation), (ii) a minimum ratio of Tier 1 capital to risk-weighted assets of at least 6.0%, plus the capital conservation buffer (which is added to the 6.0% Tier 1 capital ratio as that buffer is phased in, effectively resulting in a minimum Tier 1 capital ratio of 8.5% upon full implementation), (iii) a minimum ratio of Total capital (that is, Tier 1 plus Tier 2) to risk-weighted assets of at least 8.0%, plus the capital conservation buffer (which is added to the 8.0% total capital ratio as that buffer is phased in, effectively resulting in a minimum total capital ratio of 10.5% upon full implementation) and (iv) a minimum leverage ratio of 4.0%, calculated as the ratio of Tier 1 capital to average quarterly assets.</w:t>
      </w:r>
    </w:p>
    <w:p>
      <w:pPr>
        <w:spacing w:after="0" w:line="61" w:lineRule="exact"/>
        <w:rPr>
          <w:sz w:val="20"/>
          <w:szCs w:val="20"/>
          <w:color w:val="auto"/>
        </w:rPr>
      </w:pPr>
    </w:p>
    <w:p>
      <w:pPr>
        <w:jc w:val="both"/>
        <w:ind w:left="820"/>
        <w:spacing w:after="0" w:line="283" w:lineRule="auto"/>
        <w:rPr>
          <w:sz w:val="20"/>
          <w:szCs w:val="20"/>
          <w:color w:val="auto"/>
        </w:rPr>
      </w:pPr>
      <w:r>
        <w:rPr>
          <w:rFonts w:ascii="Arial" w:cs="Arial" w:eastAsia="Arial" w:hAnsi="Arial"/>
          <w:sz w:val="16"/>
          <w:szCs w:val="16"/>
          <w:color w:val="auto"/>
        </w:rPr>
        <w:t>The implementation of the capital conservation buffer began on January 1, 2016 at the 0.625% level and was phased in over a four-year period (increasing by that amount on each subsequent January 1, until it reached 2.5% on January 1, 2019). The Basel III Capital Rules also provide for a “countercyclical capital buffer” that is applicable to only certain covered institutions and does not have any current applicability to the Company or Bank. 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and, if applicable, the countercyclical capital buffer) will face constraints on dividends, equity repurchases and compensation based on the amount of the shortfall.</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Management believes, as of December 31, 2019, that the Bank meets all the capital adequacy requirements to which it is subject.</w:t>
      </w:r>
    </w:p>
    <w:p>
      <w:pPr>
        <w:spacing w:after="0" w:line="109"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As of December 31, 2019, the most recent notification from the FDIC indicated the Bank was categorized as well capitalized under the regulatory framework for prompt corrective action. To remain categorized as well capitalized, the Bank will have to maintain minimum total risk-based, Tier I risk-based, Common Tier 1 and Tier I leverage ratios as disclosed in the table to follow. There are no conditions or events since the most recent notification that management believes have changed the Bank’s prompt corrective action category.</w:t>
      </w:r>
    </w:p>
    <w:p>
      <w:pPr>
        <w:spacing w:after="0" w:line="56"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following tables present actual and required capital ratios as of December 31, 2019 and December 31, 2018 under the Basel III Capital Rules. The minimum required capital amounts presented include the minimum required capital levels as of December 31, 2019 and December 31, 2018. Capital levels required to be considered well capitalized are based upon prompt corrective action regulations, as amended to reflect the changes under the Basel III Capital Rules.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3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Bank’s actual and required capital amounts and ratios as of December 31, 2019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Required to be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Minimum Capital</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Considered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64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Actual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0"/>
              </w:rPr>
              <w:t>Required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0"/>
              </w:rPr>
              <w:t>Well-Capitalized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36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(000's)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As of December 31, 2019</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rPr>
              <w:t>Ratio</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Ratio</w:t>
            </w:r>
          </w:p>
        </w:tc>
        <w:tc>
          <w:tcPr>
            <w:tcW w:w="12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Ratio</w:t>
            </w:r>
          </w:p>
        </w:tc>
      </w:tr>
      <w:tr>
        <w:trPr>
          <w:trHeight w:val="205"/>
        </w:trPr>
        <w:tc>
          <w:tcPr>
            <w:tcW w:w="36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Common Equity Tier 1 Capital (to</w:t>
            </w: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Risk Weighted Assets)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152,855</w:t>
            </w: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ind w:left="400"/>
              <w:spacing w:after="0"/>
              <w:rPr>
                <w:sz w:val="20"/>
                <w:szCs w:val="20"/>
                <w:color w:val="auto"/>
              </w:rPr>
            </w:pPr>
            <w:r>
              <w:rPr>
                <w:rFonts w:ascii="Arial" w:cs="Arial" w:eastAsia="Arial" w:hAnsi="Arial"/>
                <w:sz w:val="18"/>
                <w:szCs w:val="18"/>
                <w:color w:val="auto"/>
                <w:w w:val="98"/>
              </w:rPr>
              <w:t>11.71%  $</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58,725</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84,825</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6.50%</w:t>
            </w:r>
          </w:p>
        </w:tc>
      </w:tr>
      <w:tr>
        <w:trPr>
          <w:trHeight w:val="211"/>
        </w:trPr>
        <w:tc>
          <w:tcPr>
            <w:tcW w:w="3640" w:type="dxa"/>
            <w:vAlign w:val="bottom"/>
          </w:tcPr>
          <w:p>
            <w:pPr>
              <w:spacing w:after="0"/>
              <w:rPr>
                <w:sz w:val="20"/>
                <w:szCs w:val="20"/>
                <w:color w:val="auto"/>
              </w:rPr>
            </w:pPr>
            <w:r>
              <w:rPr>
                <w:rFonts w:ascii="Arial" w:cs="Arial" w:eastAsia="Arial" w:hAnsi="Arial"/>
                <w:sz w:val="18"/>
                <w:szCs w:val="18"/>
                <w:color w:val="auto"/>
              </w:rPr>
              <w:t>Total Risk-Based Capital (to Risk</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160,562</w:t>
            </w:r>
          </w:p>
        </w:tc>
        <w:tc>
          <w:tcPr>
            <w:tcW w:w="24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104,400</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130,500</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2"/>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 (to Risk Weighted</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152,855</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78,300</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104,400</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8.00%</w:t>
            </w:r>
          </w:p>
        </w:tc>
      </w:tr>
      <w:tr>
        <w:trPr>
          <w:trHeight w:val="211"/>
        </w:trPr>
        <w:tc>
          <w:tcPr>
            <w:tcW w:w="3640" w:type="dxa"/>
            <w:vAlign w:val="bottom"/>
          </w:tcPr>
          <w:p>
            <w:pPr>
              <w:spacing w:after="0"/>
              <w:rPr>
                <w:sz w:val="20"/>
                <w:szCs w:val="20"/>
                <w:color w:val="auto"/>
              </w:rPr>
            </w:pPr>
            <w:r>
              <w:rPr>
                <w:rFonts w:ascii="Arial" w:cs="Arial" w:eastAsia="Arial" w:hAnsi="Arial"/>
                <w:sz w:val="18"/>
                <w:szCs w:val="18"/>
                <w:color w:val="auto"/>
              </w:rPr>
              <w:t>Tier 1 Leverage Capital (to</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640" w:type="dxa"/>
            <w:vAlign w:val="bottom"/>
          </w:tcPr>
          <w:p>
            <w:pPr>
              <w:ind w:left="140"/>
              <w:spacing w:after="0"/>
              <w:rPr>
                <w:sz w:val="20"/>
                <w:szCs w:val="20"/>
                <w:color w:val="auto"/>
              </w:rPr>
            </w:pPr>
            <w:r>
              <w:rPr>
                <w:rFonts w:ascii="Arial" w:cs="Arial" w:eastAsia="Arial" w:hAnsi="Arial"/>
                <w:sz w:val="18"/>
                <w:szCs w:val="18"/>
                <w:color w:val="auto"/>
              </w:rPr>
              <w:t>Adjusted Total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152,855</w:t>
            </w:r>
          </w:p>
        </w:tc>
        <w:tc>
          <w:tcPr>
            <w:tcW w:w="24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61,050</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76,312</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19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presents the Bank’s actual and required capital amounts and ratios as of December 31, 2018.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Required to be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Minimum Capital</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Considered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64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Actual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0"/>
              </w:rPr>
              <w:t>Required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0"/>
              </w:rPr>
              <w:t>Well-Capitalized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36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(000's)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As of December 31, 2018</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rPr>
              <w:t>Ratio</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Ratio</w:t>
            </w:r>
          </w:p>
        </w:tc>
        <w:tc>
          <w:tcPr>
            <w:tcW w:w="12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Ratio</w:t>
            </w:r>
          </w:p>
        </w:tc>
      </w:tr>
      <w:tr>
        <w:trPr>
          <w:trHeight w:val="205"/>
        </w:trPr>
        <w:tc>
          <w:tcPr>
            <w:tcW w:w="36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Common Equity Tier 1 Capital (to</w:t>
            </w: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Risk Weighted Assets)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114,978</w:t>
            </w: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ind w:left="400"/>
              <w:spacing w:after="0"/>
              <w:rPr>
                <w:sz w:val="20"/>
                <w:szCs w:val="20"/>
                <w:color w:val="auto"/>
              </w:rPr>
            </w:pPr>
            <w:r>
              <w:rPr>
                <w:rFonts w:ascii="Arial" w:cs="Arial" w:eastAsia="Arial" w:hAnsi="Arial"/>
                <w:sz w:val="18"/>
                <w:szCs w:val="18"/>
                <w:color w:val="auto"/>
                <w:w w:val="98"/>
              </w:rPr>
              <w:t>12.67%  $</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40,834</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58,983</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6.50%</w:t>
            </w:r>
          </w:p>
        </w:tc>
      </w:tr>
      <w:tr>
        <w:trPr>
          <w:trHeight w:val="211"/>
        </w:trPr>
        <w:tc>
          <w:tcPr>
            <w:tcW w:w="3640" w:type="dxa"/>
            <w:vAlign w:val="bottom"/>
          </w:tcPr>
          <w:p>
            <w:pPr>
              <w:spacing w:after="0"/>
              <w:rPr>
                <w:sz w:val="20"/>
                <w:szCs w:val="20"/>
                <w:color w:val="auto"/>
              </w:rPr>
            </w:pPr>
            <w:r>
              <w:rPr>
                <w:rFonts w:ascii="Arial" w:cs="Arial" w:eastAsia="Arial" w:hAnsi="Arial"/>
                <w:sz w:val="18"/>
                <w:szCs w:val="18"/>
                <w:color w:val="auto"/>
              </w:rPr>
              <w:t>Total Risk-Based Capital (to Risk</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122,027</w:t>
            </w:r>
          </w:p>
        </w:tc>
        <w:tc>
          <w:tcPr>
            <w:tcW w:w="24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72,594</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90,743</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2"/>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 (to Risk Weighted</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114,978</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12.67%</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54,446</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72,594</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8.00%</w:t>
            </w:r>
          </w:p>
        </w:tc>
      </w:tr>
      <w:tr>
        <w:trPr>
          <w:trHeight w:val="211"/>
        </w:trPr>
        <w:tc>
          <w:tcPr>
            <w:tcW w:w="3640" w:type="dxa"/>
            <w:vAlign w:val="bottom"/>
          </w:tcPr>
          <w:p>
            <w:pPr>
              <w:spacing w:after="0"/>
              <w:rPr>
                <w:sz w:val="20"/>
                <w:szCs w:val="20"/>
                <w:color w:val="auto"/>
              </w:rPr>
            </w:pPr>
            <w:r>
              <w:rPr>
                <w:rFonts w:ascii="Arial" w:cs="Arial" w:eastAsia="Arial" w:hAnsi="Arial"/>
                <w:sz w:val="18"/>
                <w:szCs w:val="18"/>
                <w:color w:val="auto"/>
              </w:rPr>
              <w:t>Tier 1 Leverage Capital (to</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640" w:type="dxa"/>
            <w:vAlign w:val="bottom"/>
          </w:tcPr>
          <w:p>
            <w:pPr>
              <w:ind w:left="140"/>
              <w:spacing w:after="0"/>
              <w:rPr>
                <w:sz w:val="20"/>
                <w:szCs w:val="20"/>
                <w:color w:val="auto"/>
              </w:rPr>
            </w:pPr>
            <w:r>
              <w:rPr>
                <w:rFonts w:ascii="Arial" w:cs="Arial" w:eastAsia="Arial" w:hAnsi="Arial"/>
                <w:sz w:val="18"/>
                <w:szCs w:val="18"/>
                <w:color w:val="auto"/>
              </w:rPr>
              <w:t>Adjusted Total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114,978</w:t>
            </w:r>
          </w:p>
        </w:tc>
        <w:tc>
          <w:tcPr>
            <w:tcW w:w="24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43,644</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54,555</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19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above tables exclude the capital conservation buffer requirements.</w:t>
      </w:r>
    </w:p>
    <w:p>
      <w:pPr>
        <w:spacing w:after="0" w:line="214"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With the enactment of the Economic Growth, Regulatory Relief and Consumer Protection Act on May 24, 2018, the Company is no longer required to file the FR Y-9C consolidated financial statements for holding companies but will file the FR Y-9SP parent company only financial statements for small holding companies. As a result, the consolidated amounts and ratios were no longer required beginning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775335</wp:posOffset>
            </wp:positionV>
            <wp:extent cx="6212840" cy="133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12840" cy="13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Restrictions of Dividends &amp; Inter-company Borrowings</w:t>
      </w:r>
    </w:p>
    <w:p>
      <w:pPr>
        <w:spacing w:after="0" w:line="115" w:lineRule="exact"/>
        <w:rPr>
          <w:sz w:val="20"/>
          <w:szCs w:val="20"/>
          <w:color w:val="auto"/>
        </w:rPr>
      </w:pPr>
    </w:p>
    <w:p>
      <w:pPr>
        <w:jc w:val="both"/>
        <w:ind w:left="820"/>
        <w:spacing w:after="0" w:line="247" w:lineRule="auto"/>
        <w:rPr>
          <w:sz w:val="20"/>
          <w:szCs w:val="20"/>
          <w:color w:val="auto"/>
        </w:rPr>
      </w:pPr>
      <w:r>
        <w:rPr>
          <w:rFonts w:ascii="Arial" w:cs="Arial" w:eastAsia="Arial" w:hAnsi="Arial"/>
          <w:sz w:val="18"/>
          <w:szCs w:val="18"/>
          <w:color w:val="auto"/>
        </w:rPr>
        <w:t>The Bank is restricted as to the amount of dividends that can be paid. Dividends declared by the Bank that exceed the net income for the current year plus retained income for the preceding two years must be approved by federal and state regulatory agencies. Under this formula dividends of $19.0 million may be paid without prior regulatory approval. Regardless of formal regulatory restrictions, the Bank may not pay dividends that would result in its capital levels being reduced below the minimum requirements shown above. Under current Federal Reserve regulations, the Bank is limited as to the amount and type of loans it may make to the Company. These loans are subject to qualifying collateral requirements on which the amount of the loan may be based.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w:t>
      </w:r>
    </w:p>
    <w:p>
      <w:pPr>
        <w:spacing w:after="0" w:line="115"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Cash and Cash Equivalents</w:t>
      </w:r>
    </w:p>
    <w:p>
      <w:pPr>
        <w:spacing w:after="0" w:line="115"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Interest Bearing Time Deposits</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ecurities – Available-for-sale</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Fair values for securities, excluding Federal Home Loan Bank stock, are based on quoted market price, where available. If quoted market prices are not available, fair values are based on quoted market prices of comparable instruments.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Other Securities</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carrying value of Federal Home Loan Bank stock approximates fair value based on the redemption provisions of the Federal Home Loan Bank.</w:t>
      </w:r>
    </w:p>
    <w:p>
      <w:pPr>
        <w:spacing w:after="0" w:line="33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Loans Held for Sale</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Loans, net</w:t>
      </w:r>
    </w:p>
    <w:p>
      <w:pPr>
        <w:spacing w:after="0" w:line="115" w:lineRule="exact"/>
        <w:rPr>
          <w:sz w:val="20"/>
          <w:szCs w:val="20"/>
          <w:color w:val="auto"/>
        </w:rPr>
      </w:pPr>
    </w:p>
    <w:p>
      <w:pPr>
        <w:ind w:left="820" w:right="60"/>
        <w:spacing w:after="0" w:line="253" w:lineRule="auto"/>
        <w:rPr>
          <w:sz w:val="20"/>
          <w:szCs w:val="20"/>
          <w:color w:val="auto"/>
        </w:rPr>
      </w:pPr>
      <w:r>
        <w:rPr>
          <w:rFonts w:ascii="Arial" w:cs="Arial" w:eastAsia="Arial" w:hAnsi="Arial"/>
          <w:sz w:val="18"/>
          <w:szCs w:val="18"/>
          <w:color w:val="auto"/>
        </w:rPr>
        <w:t>The fair values of the loans are estimated using a credit mark adjustment along with discounted cash flow analysis, using interest rates currently being offered for loans with similar terms to borrowers with similar credit quality. The credit mark adjustment was estimated using merger and acquisition analysis of nationwide bank and thrift deals.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49795" cy="133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9795" cy="13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00" w:lineRule="exact"/>
        <w:rPr>
          <w:sz w:val="20"/>
          <w:szCs w:val="20"/>
          <w:color w:val="auto"/>
        </w:rPr>
      </w:pPr>
    </w:p>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Deposits</w:t>
      </w:r>
    </w:p>
    <w:p>
      <w:pPr>
        <w:spacing w:after="0" w:line="115"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The fair values disclosed for deposits with no defined maturities are equal to their carrying amounts, which represent the amount payable on demand. The carrying amounts for variable-rate, fixed-term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Federal Funds Purchased and Securities Sold Under Agreement to Repurchase</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carrying value of Federal Funds purchased and securities sold under agreement to repurchase approximates fair values.</w:t>
      </w: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FHLB Advances</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Accrued Interest Receivable and Payable</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carrying amounts of accrued interest approximate fair values.</w:t>
      </w: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Off Balance Sheet Financial Instruments</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Fair values for off-balance-sheet, credit related financial instruments are based on fees currently charged to enter into similar agreements, taking into account the remaining terms of the agreements and the counterparties' credit 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255905</wp:posOffset>
            </wp:positionV>
            <wp:extent cx="7249795" cy="133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9795" cy="13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03"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December 31, 2019 and 2018, are reflected below. The aggregate fair values in the table below do not represent the total market value of the Bank’s assets and liabilities. The table excludes the following: Bank Premises and Equipment, Goodwill, Mortgage Servicing Rights, Other Real Estate Owned, Other Assets, Other Liabilities and Accrued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8"/>
                <w:szCs w:val="18"/>
                <w:color w:val="auto"/>
                <w:w w:val="99"/>
              </w:rPr>
              <w:t>(In Thousands)</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December 31, 2019</w:t>
            </w: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7"/>
          </w:tcPr>
          <w:p>
            <w:pPr>
              <w:jc w:val="right"/>
              <w:ind w:right="452"/>
              <w:spacing w:after="0"/>
              <w:rPr>
                <w:sz w:val="20"/>
                <w:szCs w:val="20"/>
                <w:color w:val="auto"/>
              </w:rPr>
            </w:pPr>
            <w:r>
              <w:rPr>
                <w:rFonts w:ascii="Arial" w:cs="Arial" w:eastAsia="Arial" w:hAnsi="Arial"/>
                <w:sz w:val="18"/>
                <w:szCs w:val="18"/>
                <w:color w:val="auto"/>
              </w:rPr>
              <w:t>December 31, 2018</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Fair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Fair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Amount</w:t>
            </w:r>
          </w:p>
        </w:tc>
        <w:tc>
          <w:tcPr>
            <w:tcW w:w="1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Level 1</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Level 1</w:t>
            </w:r>
          </w:p>
        </w:tc>
        <w:tc>
          <w:tcPr>
            <w:tcW w:w="2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Level 2</w:t>
            </w:r>
          </w:p>
        </w:tc>
        <w:tc>
          <w:tcPr>
            <w:tcW w:w="220" w:type="dxa"/>
            <w:vAlign w:val="bottom"/>
          </w:tcPr>
          <w:p>
            <w:pPr>
              <w:spacing w:after="0"/>
              <w:rPr>
                <w:sz w:val="19"/>
                <w:szCs w:val="19"/>
                <w:color w:val="auto"/>
              </w:rPr>
            </w:pPr>
          </w:p>
        </w:tc>
        <w:tc>
          <w:tcPr>
            <w:tcW w:w="760" w:type="dxa"/>
            <w:vAlign w:val="bottom"/>
            <w:gridSpan w:val="3"/>
          </w:tcPr>
          <w:p>
            <w:pPr>
              <w:ind w:left="80"/>
              <w:spacing w:after="0"/>
              <w:rPr>
                <w:sz w:val="20"/>
                <w:szCs w:val="20"/>
                <w:color w:val="auto"/>
              </w:rPr>
            </w:pPr>
            <w:r>
              <w:rPr>
                <w:rFonts w:ascii="Arial" w:cs="Arial" w:eastAsia="Arial" w:hAnsi="Arial"/>
                <w:sz w:val="18"/>
                <w:szCs w:val="18"/>
                <w:color w:val="auto"/>
              </w:rPr>
              <w:t>Level 3</w:t>
            </w:r>
          </w:p>
        </w:tc>
      </w:tr>
      <w:tr>
        <w:trPr>
          <w:trHeight w:val="217"/>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11"/>
        </w:trPr>
        <w:tc>
          <w:tcPr>
            <w:tcW w:w="2120" w:type="dxa"/>
            <w:vAlign w:val="bottom"/>
          </w:tcPr>
          <w:p>
            <w:pPr>
              <w:ind w:left="240"/>
              <w:spacing w:after="0"/>
              <w:rPr>
                <w:sz w:val="20"/>
                <w:szCs w:val="20"/>
                <w:color w:val="auto"/>
              </w:rPr>
            </w:pPr>
            <w:r>
              <w:rPr>
                <w:rFonts w:ascii="Arial" w:cs="Arial" w:eastAsia="Arial" w:hAnsi="Arial"/>
                <w:sz w:val="18"/>
                <w:szCs w:val="18"/>
                <w:color w:val="auto"/>
              </w:rPr>
              <w:t>Cash and cash</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120" w:type="dxa"/>
            <w:vAlign w:val="bottom"/>
          </w:tcPr>
          <w:p>
            <w:pPr>
              <w:ind w:left="240"/>
              <w:spacing w:after="0"/>
              <w:rPr>
                <w:sz w:val="20"/>
                <w:szCs w:val="20"/>
                <w:color w:val="auto"/>
              </w:rPr>
            </w:pPr>
            <w:r>
              <w:rPr>
                <w:rFonts w:ascii="Arial" w:cs="Arial" w:eastAsia="Arial" w:hAnsi="Arial"/>
                <w:sz w:val="18"/>
                <w:szCs w:val="18"/>
                <w:color w:val="auto"/>
              </w:rPr>
              <w:t>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51,296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51,296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51,296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38,365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38,365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38,365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2"/>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time</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3"/>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11"/>
        </w:trPr>
        <w:tc>
          <w:tcPr>
            <w:tcW w:w="2120" w:type="dxa"/>
            <w:vAlign w:val="bottom"/>
          </w:tcPr>
          <w:p>
            <w:pPr>
              <w:ind w:left="240"/>
              <w:spacing w:after="0"/>
              <w:rPr>
                <w:sz w:val="20"/>
                <w:szCs w:val="20"/>
                <w:color w:val="auto"/>
              </w:rPr>
            </w:pPr>
            <w:r>
              <w:rPr>
                <w:rFonts w:ascii="Arial" w:cs="Arial" w:eastAsia="Arial" w:hAnsi="Arial"/>
                <w:sz w:val="18"/>
                <w:szCs w:val="18"/>
                <w:color w:val="auto"/>
              </w:rPr>
              <w:t>Securities - available-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120" w:type="dxa"/>
            <w:vAlign w:val="bottom"/>
          </w:tcPr>
          <w:p>
            <w:pPr>
              <w:ind w:left="240"/>
              <w:spacing w:after="0"/>
              <w:rPr>
                <w:sz w:val="20"/>
                <w:szCs w:val="20"/>
                <w:color w:val="auto"/>
              </w:rPr>
            </w:pPr>
            <w:r>
              <w:rPr>
                <w:rFonts w:ascii="Arial" w:cs="Arial" w:eastAsia="Arial" w:hAnsi="Arial"/>
                <w:sz w:val="18"/>
                <w:szCs w:val="18"/>
                <w:color w:val="auto"/>
              </w:rPr>
              <w:t>for-sale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222,293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222,293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10,021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210,782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1,490</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168,447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168,447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36,935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130,085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1,427</w:t>
            </w:r>
          </w:p>
        </w:tc>
        <w:tc>
          <w:tcPr>
            <w:tcW w:w="60" w:type="dxa"/>
            <w:vAlign w:val="bottom"/>
          </w:tcPr>
          <w:p>
            <w:pPr>
              <w:spacing w:after="0"/>
              <w:rPr>
                <w:sz w:val="19"/>
                <w:szCs w:val="19"/>
                <w:color w:val="auto"/>
              </w:rPr>
            </w:pPr>
          </w:p>
        </w:tc>
      </w:tr>
      <w:tr>
        <w:trPr>
          <w:trHeight w:val="224"/>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60" w:type="dxa"/>
            <w:vAlign w:val="bottom"/>
            <w:shd w:val="clear" w:color="auto" w:fill="CFF0FC"/>
          </w:tcPr>
          <w:p>
            <w:pPr>
              <w:spacing w:after="0"/>
              <w:rPr>
                <w:sz w:val="19"/>
                <w:szCs w:val="19"/>
                <w:color w:val="auto"/>
              </w:rPr>
            </w:pPr>
          </w:p>
        </w:tc>
      </w:tr>
      <w:tr>
        <w:trPr>
          <w:trHeight w:val="224"/>
        </w:trPr>
        <w:tc>
          <w:tcPr>
            <w:tcW w:w="212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4,248</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w:t>
            </w:r>
          </w:p>
        </w:tc>
        <w:tc>
          <w:tcPr>
            <w:tcW w:w="60" w:type="dxa"/>
            <w:vAlign w:val="bottom"/>
          </w:tcPr>
          <w:p>
            <w:pPr>
              <w:spacing w:after="0"/>
              <w:rPr>
                <w:sz w:val="19"/>
                <w:szCs w:val="19"/>
                <w:color w:val="auto"/>
              </w:rPr>
            </w:pPr>
          </w:p>
        </w:tc>
      </w:tr>
      <w:tr>
        <w:trPr>
          <w:trHeight w:val="224"/>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1,211,771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1,188,014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1,188,014</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839,599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823,914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823,914</w:t>
            </w:r>
          </w:p>
        </w:tc>
        <w:tc>
          <w:tcPr>
            <w:tcW w:w="60" w:type="dxa"/>
            <w:vAlign w:val="bottom"/>
            <w:shd w:val="clear" w:color="auto" w:fill="CFF0FC"/>
          </w:tcPr>
          <w:p>
            <w:pPr>
              <w:spacing w:after="0"/>
              <w:rPr>
                <w:sz w:val="19"/>
                <w:szCs w:val="19"/>
                <w:color w:val="auto"/>
              </w:rPr>
            </w:pPr>
          </w:p>
        </w:tc>
      </w:tr>
      <w:tr>
        <w:trPr>
          <w:trHeight w:val="224"/>
        </w:trPr>
        <w:tc>
          <w:tcPr>
            <w:tcW w:w="2120" w:type="dxa"/>
            <w:vAlign w:val="bottom"/>
          </w:tcPr>
          <w:p>
            <w:pPr>
              <w:ind w:left="240"/>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6,769</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4,542</w:t>
            </w:r>
          </w:p>
        </w:tc>
        <w:tc>
          <w:tcPr>
            <w:tcW w:w="60" w:type="dxa"/>
            <w:vAlign w:val="bottom"/>
          </w:tcPr>
          <w:p>
            <w:pPr>
              <w:spacing w:after="0"/>
              <w:rPr>
                <w:sz w:val="19"/>
                <w:szCs w:val="19"/>
                <w:color w:val="auto"/>
              </w:rPr>
            </w:pPr>
          </w:p>
        </w:tc>
      </w:tr>
      <w:tr>
        <w:trPr>
          <w:trHeight w:val="224"/>
        </w:trPr>
        <w:tc>
          <w:tcPr>
            <w:tcW w:w="2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Financial Liabilities: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Interest bearing deposits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746,628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746,628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746,628</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525,955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525,955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525,955</w:t>
            </w:r>
          </w:p>
        </w:tc>
        <w:tc>
          <w:tcPr>
            <w:tcW w:w="60" w:type="dxa"/>
            <w:vAlign w:val="bottom"/>
            <w:shd w:val="clear" w:color="auto" w:fill="CFF0FC"/>
          </w:tcPr>
          <w:p>
            <w:pPr>
              <w:spacing w:after="0"/>
              <w:rPr>
                <w:sz w:val="19"/>
                <w:szCs w:val="19"/>
                <w:color w:val="auto"/>
              </w:rPr>
            </w:pPr>
          </w:p>
        </w:tc>
      </w:tr>
      <w:tr>
        <w:trPr>
          <w:trHeight w:val="211"/>
        </w:trPr>
        <w:tc>
          <w:tcPr>
            <w:tcW w:w="2120" w:type="dxa"/>
            <w:vAlign w:val="bottom"/>
          </w:tcPr>
          <w:p>
            <w:pPr>
              <w:ind w:left="240"/>
              <w:spacing w:after="0"/>
              <w:rPr>
                <w:sz w:val="20"/>
                <w:szCs w:val="20"/>
                <w:color w:val="auto"/>
              </w:rPr>
            </w:pPr>
            <w:r>
              <w:rPr>
                <w:rFonts w:ascii="Arial" w:cs="Arial" w:eastAsia="Arial" w:hAnsi="Arial"/>
                <w:sz w:val="18"/>
                <w:szCs w:val="18"/>
                <w:color w:val="auto"/>
              </w:rPr>
              <w:t>Noninterest bearing</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120" w:type="dxa"/>
            <w:vAlign w:val="bottom"/>
          </w:tcPr>
          <w:p>
            <w:pPr>
              <w:ind w:left="24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265,156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265,156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265,156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215,422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215,422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215,422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276,563</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277,008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277,008</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187,413</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187,545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187,545</w:t>
            </w:r>
          </w:p>
        </w:tc>
        <w:tc>
          <w:tcPr>
            <w:tcW w:w="60" w:type="dxa"/>
            <w:vAlign w:val="bottom"/>
            <w:shd w:val="clear" w:color="auto" w:fill="CFF0FC"/>
          </w:tcPr>
          <w:p>
            <w:pPr>
              <w:spacing w:after="0"/>
              <w:rPr>
                <w:sz w:val="19"/>
                <w:szCs w:val="19"/>
                <w:color w:val="auto"/>
              </w:rPr>
            </w:pPr>
          </w:p>
        </w:tc>
      </w:tr>
      <w:tr>
        <w:trPr>
          <w:trHeight w:val="217"/>
        </w:trPr>
        <w:tc>
          <w:tcPr>
            <w:tcW w:w="2120" w:type="dxa"/>
            <w:vAlign w:val="bottom"/>
          </w:tcPr>
          <w:p>
            <w:pPr>
              <w:spacing w:after="0"/>
              <w:rPr>
                <w:sz w:val="20"/>
                <w:szCs w:val="20"/>
                <w:color w:val="auto"/>
              </w:rPr>
            </w:pPr>
            <w:r>
              <w:rPr>
                <w:rFonts w:ascii="Arial" w:cs="Arial" w:eastAsia="Arial" w:hAnsi="Arial"/>
                <w:sz w:val="18"/>
                <w:szCs w:val="18"/>
                <w:color w:val="auto"/>
              </w:rPr>
              <w:t>Total Deposits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1,288,347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1,288,792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265,156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1,023,636</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928,790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928,922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215,422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713,500</w:t>
            </w:r>
          </w:p>
        </w:tc>
        <w:tc>
          <w:tcPr>
            <w:tcW w:w="60" w:type="dxa"/>
            <w:vAlign w:val="bottom"/>
          </w:tcPr>
          <w:p>
            <w:pPr>
              <w:spacing w:after="0"/>
              <w:rPr>
                <w:sz w:val="18"/>
                <w:szCs w:val="18"/>
                <w:color w:val="auto"/>
              </w:rPr>
            </w:pPr>
          </w:p>
        </w:tc>
      </w:tr>
      <w:tr>
        <w:trPr>
          <w:trHeight w:val="212"/>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Fed funds purchased and</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1"/>
        </w:trPr>
        <w:tc>
          <w:tcPr>
            <w:tcW w:w="2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 sold under</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1"/>
        </w:trPr>
        <w:tc>
          <w:tcPr>
            <w:tcW w:w="2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agreement to</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3"/>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48,073</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32,181</w:t>
            </w:r>
          </w:p>
        </w:tc>
        <w:tc>
          <w:tcPr>
            <w:tcW w:w="60" w:type="dxa"/>
            <w:vAlign w:val="bottom"/>
            <w:shd w:val="clear" w:color="auto" w:fill="CFF0FC"/>
          </w:tcPr>
          <w:p>
            <w:pPr>
              <w:spacing w:after="0"/>
              <w:rPr>
                <w:sz w:val="19"/>
                <w:szCs w:val="19"/>
                <w:color w:val="auto"/>
              </w:rPr>
            </w:pPr>
          </w:p>
        </w:tc>
      </w:tr>
      <w:tr>
        <w:trPr>
          <w:trHeight w:val="211"/>
        </w:trPr>
        <w:tc>
          <w:tcPr>
            <w:tcW w:w="2120" w:type="dxa"/>
            <w:vAlign w:val="bottom"/>
          </w:tcPr>
          <w:p>
            <w:pPr>
              <w:ind w:left="240"/>
              <w:spacing w:after="0"/>
              <w:rPr>
                <w:sz w:val="20"/>
                <w:szCs w:val="20"/>
                <w:color w:val="auto"/>
              </w:rPr>
            </w:pPr>
            <w:r>
              <w:rPr>
                <w:rFonts w:ascii="Arial" w:cs="Arial" w:eastAsia="Arial" w:hAnsi="Arial"/>
                <w:sz w:val="18"/>
                <w:szCs w:val="18"/>
                <w:color w:val="auto"/>
              </w:rPr>
              <w:t>Federal Home Loan</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2120" w:type="dxa"/>
            <w:vAlign w:val="bottom"/>
          </w:tcPr>
          <w:p>
            <w:pPr>
              <w:ind w:left="240"/>
              <w:spacing w:after="0"/>
              <w:rPr>
                <w:sz w:val="20"/>
                <w:szCs w:val="20"/>
                <w:color w:val="auto"/>
              </w:rPr>
            </w:pPr>
            <w:r>
              <w:rPr>
                <w:rFonts w:ascii="Arial" w:cs="Arial" w:eastAsia="Arial" w:hAnsi="Arial"/>
                <w:sz w:val="18"/>
                <w:szCs w:val="18"/>
                <w:color w:val="auto"/>
              </w:rPr>
              <w:t>Bank</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120" w:type="dxa"/>
            <w:vAlign w:val="bottom"/>
          </w:tcPr>
          <w:p>
            <w:pPr>
              <w:ind w:left="240"/>
              <w:spacing w:after="0"/>
              <w:rPr>
                <w:sz w:val="20"/>
                <w:szCs w:val="20"/>
                <w:color w:val="auto"/>
              </w:rPr>
            </w:pPr>
            <w:r>
              <w:rPr>
                <w:rFonts w:ascii="Arial" w:cs="Arial" w:eastAsia="Arial" w:hAnsi="Arial"/>
                <w:sz w:val="18"/>
                <w:szCs w:val="18"/>
                <w:color w:val="auto"/>
              </w:rPr>
              <w:t>advances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24,811</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payable</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60" w:type="dxa"/>
            <w:vAlign w:val="bottom"/>
            <w:shd w:val="clear" w:color="auto" w:fill="CFF0FC"/>
          </w:tcPr>
          <w:p>
            <w:pPr>
              <w:spacing w:after="0"/>
              <w:rPr>
                <w:sz w:val="19"/>
                <w:szCs w:val="19"/>
                <w:color w:val="auto"/>
              </w:rPr>
            </w:pPr>
          </w:p>
        </w:tc>
      </w:tr>
      <w:tr>
        <w:trPr>
          <w:trHeight w:val="421"/>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2120" w:type="dxa"/>
            <w:vAlign w:val="bottom"/>
            <w:shd w:val="clear" w:color="auto" w:fill="E5B8B7"/>
          </w:tcPr>
          <w:p>
            <w:pPr>
              <w:spacing w:after="0"/>
              <w:rPr>
                <w:sz w:val="18"/>
                <w:szCs w:val="18"/>
                <w:color w:val="auto"/>
              </w:rPr>
            </w:pPr>
          </w:p>
        </w:tc>
        <w:tc>
          <w:tcPr>
            <w:tcW w:w="80" w:type="dxa"/>
            <w:vAlign w:val="bottom"/>
            <w:shd w:val="clear" w:color="auto" w:fill="E5B8B7"/>
          </w:tcPr>
          <w:p>
            <w:pPr>
              <w:spacing w:after="0"/>
              <w:rPr>
                <w:sz w:val="18"/>
                <w:szCs w:val="18"/>
                <w:color w:val="auto"/>
              </w:rPr>
            </w:pPr>
          </w:p>
        </w:tc>
        <w:tc>
          <w:tcPr>
            <w:tcW w:w="740" w:type="dxa"/>
            <w:vAlign w:val="bottom"/>
            <w:shd w:val="clear" w:color="auto" w:fill="E5B8B7"/>
          </w:tcPr>
          <w:p>
            <w:pPr>
              <w:spacing w:after="0"/>
              <w:rPr>
                <w:sz w:val="18"/>
                <w:szCs w:val="18"/>
                <w:color w:val="auto"/>
              </w:rPr>
            </w:pPr>
          </w:p>
        </w:tc>
        <w:tc>
          <w:tcPr>
            <w:tcW w:w="180" w:type="dxa"/>
            <w:vAlign w:val="bottom"/>
            <w:shd w:val="clear" w:color="auto" w:fill="E5B8B7"/>
          </w:tcPr>
          <w:p>
            <w:pPr>
              <w:spacing w:after="0"/>
              <w:rPr>
                <w:sz w:val="18"/>
                <w:szCs w:val="18"/>
                <w:color w:val="auto"/>
              </w:rPr>
            </w:pPr>
          </w:p>
        </w:tc>
        <w:tc>
          <w:tcPr>
            <w:tcW w:w="100" w:type="dxa"/>
            <w:vAlign w:val="bottom"/>
            <w:shd w:val="clear" w:color="auto" w:fill="E5B8B7"/>
          </w:tcPr>
          <w:p>
            <w:pPr>
              <w:spacing w:after="0"/>
              <w:rPr>
                <w:sz w:val="18"/>
                <w:szCs w:val="18"/>
                <w:color w:val="auto"/>
              </w:rPr>
            </w:pPr>
          </w:p>
        </w:tc>
        <w:tc>
          <w:tcPr>
            <w:tcW w:w="740" w:type="dxa"/>
            <w:vAlign w:val="bottom"/>
            <w:shd w:val="clear" w:color="auto" w:fill="E5B8B7"/>
          </w:tcPr>
          <w:p>
            <w:pPr>
              <w:spacing w:after="0"/>
              <w:rPr>
                <w:sz w:val="18"/>
                <w:szCs w:val="18"/>
                <w:color w:val="auto"/>
              </w:rPr>
            </w:pPr>
          </w:p>
        </w:tc>
        <w:tc>
          <w:tcPr>
            <w:tcW w:w="200" w:type="dxa"/>
            <w:vAlign w:val="bottom"/>
            <w:shd w:val="clear" w:color="auto" w:fill="E5B8B7"/>
          </w:tcPr>
          <w:p>
            <w:pPr>
              <w:spacing w:after="0"/>
              <w:rPr>
                <w:sz w:val="18"/>
                <w:szCs w:val="18"/>
                <w:color w:val="auto"/>
              </w:rPr>
            </w:pPr>
          </w:p>
        </w:tc>
        <w:tc>
          <w:tcPr>
            <w:tcW w:w="120" w:type="dxa"/>
            <w:vAlign w:val="bottom"/>
            <w:shd w:val="clear" w:color="auto" w:fill="E5B8B7"/>
          </w:tcPr>
          <w:p>
            <w:pPr>
              <w:spacing w:after="0"/>
              <w:rPr>
                <w:sz w:val="18"/>
                <w:szCs w:val="18"/>
                <w:color w:val="auto"/>
              </w:rPr>
            </w:pPr>
          </w:p>
        </w:tc>
        <w:tc>
          <w:tcPr>
            <w:tcW w:w="540" w:type="dxa"/>
            <w:vAlign w:val="bottom"/>
            <w:shd w:val="clear" w:color="auto" w:fill="E5B8B7"/>
          </w:tcPr>
          <w:p>
            <w:pPr>
              <w:spacing w:after="0"/>
              <w:rPr>
                <w:sz w:val="18"/>
                <w:szCs w:val="18"/>
                <w:color w:val="auto"/>
              </w:rPr>
            </w:pPr>
          </w:p>
        </w:tc>
        <w:tc>
          <w:tcPr>
            <w:tcW w:w="200" w:type="dxa"/>
            <w:vAlign w:val="bottom"/>
            <w:shd w:val="clear" w:color="auto" w:fill="E5B8B7"/>
          </w:tcPr>
          <w:p>
            <w:pPr>
              <w:spacing w:after="0"/>
              <w:rPr>
                <w:sz w:val="18"/>
                <w:szCs w:val="18"/>
                <w:color w:val="auto"/>
              </w:rPr>
            </w:pPr>
          </w:p>
        </w:tc>
        <w:tc>
          <w:tcPr>
            <w:tcW w:w="100" w:type="dxa"/>
            <w:vAlign w:val="bottom"/>
            <w:shd w:val="clear" w:color="auto" w:fill="E5B8B7"/>
          </w:tcPr>
          <w:p>
            <w:pPr>
              <w:spacing w:after="0"/>
              <w:rPr>
                <w:sz w:val="18"/>
                <w:szCs w:val="18"/>
                <w:color w:val="auto"/>
              </w:rPr>
            </w:pPr>
          </w:p>
        </w:tc>
        <w:tc>
          <w:tcPr>
            <w:tcW w:w="600" w:type="dxa"/>
            <w:vAlign w:val="bottom"/>
            <w:shd w:val="clear" w:color="auto" w:fill="E5B8B7"/>
          </w:tcPr>
          <w:p>
            <w:pPr>
              <w:spacing w:after="0"/>
              <w:rPr>
                <w:sz w:val="18"/>
                <w:szCs w:val="18"/>
                <w:color w:val="auto"/>
              </w:rPr>
            </w:pPr>
          </w:p>
        </w:tc>
        <w:tc>
          <w:tcPr>
            <w:tcW w:w="220" w:type="dxa"/>
            <w:vAlign w:val="bottom"/>
            <w:shd w:val="clear" w:color="auto" w:fill="E5B8B7"/>
          </w:tcPr>
          <w:p>
            <w:pPr>
              <w:spacing w:after="0"/>
              <w:rPr>
                <w:sz w:val="18"/>
                <w:szCs w:val="18"/>
                <w:color w:val="auto"/>
              </w:rPr>
            </w:pPr>
          </w:p>
        </w:tc>
        <w:tc>
          <w:tcPr>
            <w:tcW w:w="100" w:type="dxa"/>
            <w:vAlign w:val="bottom"/>
            <w:shd w:val="clear" w:color="auto" w:fill="E5B8B7"/>
          </w:tcPr>
          <w:p>
            <w:pPr>
              <w:spacing w:after="0"/>
              <w:rPr>
                <w:sz w:val="18"/>
                <w:szCs w:val="18"/>
                <w:color w:val="auto"/>
              </w:rPr>
            </w:pPr>
          </w:p>
        </w:tc>
        <w:tc>
          <w:tcPr>
            <w:tcW w:w="720" w:type="dxa"/>
            <w:vAlign w:val="bottom"/>
            <w:shd w:val="clear" w:color="auto" w:fill="E5B8B7"/>
          </w:tcPr>
          <w:p>
            <w:pPr>
              <w:spacing w:after="0"/>
              <w:rPr>
                <w:sz w:val="18"/>
                <w:szCs w:val="18"/>
                <w:color w:val="auto"/>
              </w:rPr>
            </w:pPr>
          </w:p>
        </w:tc>
        <w:tc>
          <w:tcPr>
            <w:tcW w:w="240" w:type="dxa"/>
            <w:vAlign w:val="bottom"/>
            <w:tcBorders>
              <w:right w:val="single" w:sz="8" w:color="E5B8B7"/>
            </w:tcBorders>
            <w:shd w:val="clear" w:color="auto" w:fill="E5B8B7"/>
          </w:tcPr>
          <w:p>
            <w:pPr>
              <w:spacing w:after="0"/>
              <w:rPr>
                <w:sz w:val="18"/>
                <w:szCs w:val="18"/>
                <w:color w:val="auto"/>
              </w:rPr>
            </w:pPr>
          </w:p>
        </w:tc>
        <w:tc>
          <w:tcPr>
            <w:tcW w:w="80" w:type="dxa"/>
            <w:vAlign w:val="bottom"/>
            <w:shd w:val="clear" w:color="auto" w:fill="E5B8B7"/>
          </w:tcPr>
          <w:p>
            <w:pPr>
              <w:spacing w:after="0"/>
              <w:rPr>
                <w:sz w:val="18"/>
                <w:szCs w:val="18"/>
                <w:color w:val="auto"/>
              </w:rPr>
            </w:pPr>
          </w:p>
        </w:tc>
        <w:tc>
          <w:tcPr>
            <w:tcW w:w="100" w:type="dxa"/>
            <w:vAlign w:val="bottom"/>
            <w:shd w:val="clear" w:color="auto" w:fill="E5B8B7"/>
          </w:tcPr>
          <w:p>
            <w:pPr>
              <w:spacing w:after="0"/>
              <w:rPr>
                <w:sz w:val="18"/>
                <w:szCs w:val="18"/>
                <w:color w:val="auto"/>
              </w:rPr>
            </w:pPr>
          </w:p>
        </w:tc>
        <w:tc>
          <w:tcPr>
            <w:tcW w:w="600" w:type="dxa"/>
            <w:vAlign w:val="bottom"/>
            <w:shd w:val="clear" w:color="auto" w:fill="E5B8B7"/>
          </w:tcPr>
          <w:p>
            <w:pPr>
              <w:spacing w:after="0"/>
              <w:rPr>
                <w:sz w:val="18"/>
                <w:szCs w:val="18"/>
                <w:color w:val="auto"/>
              </w:rPr>
            </w:pPr>
          </w:p>
        </w:tc>
        <w:tc>
          <w:tcPr>
            <w:tcW w:w="200" w:type="dxa"/>
            <w:vAlign w:val="bottom"/>
            <w:shd w:val="clear" w:color="auto" w:fill="E5B8B7"/>
          </w:tcPr>
          <w:p>
            <w:pPr>
              <w:spacing w:after="0"/>
              <w:rPr>
                <w:sz w:val="18"/>
                <w:szCs w:val="18"/>
                <w:color w:val="auto"/>
              </w:rPr>
            </w:pPr>
          </w:p>
        </w:tc>
        <w:tc>
          <w:tcPr>
            <w:tcW w:w="100" w:type="dxa"/>
            <w:vAlign w:val="bottom"/>
            <w:shd w:val="clear" w:color="auto" w:fill="E5B8B7"/>
          </w:tcPr>
          <w:p>
            <w:pPr>
              <w:spacing w:after="0"/>
              <w:rPr>
                <w:sz w:val="18"/>
                <w:szCs w:val="18"/>
                <w:color w:val="auto"/>
              </w:rPr>
            </w:pPr>
          </w:p>
        </w:tc>
        <w:tc>
          <w:tcPr>
            <w:tcW w:w="600" w:type="dxa"/>
            <w:vAlign w:val="bottom"/>
            <w:shd w:val="clear" w:color="auto" w:fill="E5B8B7"/>
          </w:tcPr>
          <w:p>
            <w:pPr>
              <w:spacing w:after="0"/>
              <w:rPr>
                <w:sz w:val="18"/>
                <w:szCs w:val="18"/>
                <w:color w:val="auto"/>
              </w:rPr>
            </w:pPr>
          </w:p>
        </w:tc>
        <w:tc>
          <w:tcPr>
            <w:tcW w:w="220" w:type="dxa"/>
            <w:vAlign w:val="bottom"/>
            <w:shd w:val="clear" w:color="auto" w:fill="E5B8B7"/>
          </w:tcPr>
          <w:p>
            <w:pPr>
              <w:spacing w:after="0"/>
              <w:rPr>
                <w:sz w:val="18"/>
                <w:szCs w:val="18"/>
                <w:color w:val="auto"/>
              </w:rPr>
            </w:pPr>
          </w:p>
        </w:tc>
        <w:tc>
          <w:tcPr>
            <w:tcW w:w="120" w:type="dxa"/>
            <w:vAlign w:val="bottom"/>
            <w:shd w:val="clear" w:color="auto" w:fill="E5B8B7"/>
          </w:tcPr>
          <w:p>
            <w:pPr>
              <w:spacing w:after="0"/>
              <w:rPr>
                <w:sz w:val="18"/>
                <w:szCs w:val="18"/>
                <w:color w:val="auto"/>
              </w:rPr>
            </w:pPr>
          </w:p>
        </w:tc>
        <w:tc>
          <w:tcPr>
            <w:tcW w:w="520" w:type="dxa"/>
            <w:vAlign w:val="bottom"/>
            <w:shd w:val="clear" w:color="auto" w:fill="E5B8B7"/>
          </w:tcPr>
          <w:p>
            <w:pPr>
              <w:spacing w:after="0"/>
              <w:rPr>
                <w:sz w:val="18"/>
                <w:szCs w:val="18"/>
                <w:color w:val="auto"/>
              </w:rPr>
            </w:pPr>
          </w:p>
        </w:tc>
        <w:tc>
          <w:tcPr>
            <w:tcW w:w="220" w:type="dxa"/>
            <w:vAlign w:val="bottom"/>
            <w:shd w:val="clear" w:color="auto" w:fill="E5B8B7"/>
          </w:tcPr>
          <w:p>
            <w:pPr>
              <w:spacing w:after="0"/>
              <w:rPr>
                <w:sz w:val="18"/>
                <w:szCs w:val="18"/>
                <w:color w:val="auto"/>
              </w:rPr>
            </w:pPr>
          </w:p>
        </w:tc>
        <w:tc>
          <w:tcPr>
            <w:tcW w:w="100" w:type="dxa"/>
            <w:vAlign w:val="bottom"/>
            <w:shd w:val="clear" w:color="auto" w:fill="E5B8B7"/>
          </w:tcPr>
          <w:p>
            <w:pPr>
              <w:spacing w:after="0"/>
              <w:rPr>
                <w:sz w:val="18"/>
                <w:szCs w:val="18"/>
                <w:color w:val="auto"/>
              </w:rPr>
            </w:pPr>
          </w:p>
        </w:tc>
        <w:tc>
          <w:tcPr>
            <w:tcW w:w="580" w:type="dxa"/>
            <w:vAlign w:val="bottom"/>
            <w:shd w:val="clear" w:color="auto" w:fill="E5B8B7"/>
          </w:tcPr>
          <w:p>
            <w:pPr>
              <w:spacing w:after="0"/>
              <w:rPr>
                <w:sz w:val="18"/>
                <w:szCs w:val="18"/>
                <w:color w:val="auto"/>
              </w:rPr>
            </w:pPr>
          </w:p>
        </w:tc>
        <w:tc>
          <w:tcPr>
            <w:tcW w:w="220" w:type="dxa"/>
            <w:vAlign w:val="bottom"/>
            <w:shd w:val="clear" w:color="auto" w:fill="E5B8B7"/>
          </w:tcPr>
          <w:p>
            <w:pPr>
              <w:spacing w:after="0"/>
              <w:rPr>
                <w:sz w:val="18"/>
                <w:szCs w:val="18"/>
                <w:color w:val="auto"/>
              </w:rPr>
            </w:pPr>
          </w:p>
        </w:tc>
        <w:tc>
          <w:tcPr>
            <w:tcW w:w="100" w:type="dxa"/>
            <w:vAlign w:val="bottom"/>
            <w:shd w:val="clear" w:color="auto" w:fill="E5B8B7"/>
          </w:tcPr>
          <w:p>
            <w:pPr>
              <w:spacing w:after="0"/>
              <w:rPr>
                <w:sz w:val="18"/>
                <w:szCs w:val="18"/>
                <w:color w:val="auto"/>
              </w:rPr>
            </w:pPr>
          </w:p>
        </w:tc>
        <w:tc>
          <w:tcPr>
            <w:tcW w:w="600" w:type="dxa"/>
            <w:vAlign w:val="bottom"/>
            <w:shd w:val="clear" w:color="auto" w:fill="E5B8B7"/>
          </w:tcPr>
          <w:p>
            <w:pPr>
              <w:spacing w:after="0"/>
              <w:rPr>
                <w:sz w:val="18"/>
                <w:szCs w:val="18"/>
                <w:color w:val="auto"/>
              </w:rPr>
            </w:pPr>
          </w:p>
        </w:tc>
        <w:tc>
          <w:tcPr>
            <w:tcW w:w="60" w:type="dxa"/>
            <w:vAlign w:val="bottom"/>
            <w:shd w:val="clear" w:color="auto" w:fill="E5B8B7"/>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Fair Value Measurements</w:t>
      </w:r>
    </w:p>
    <w:p>
      <w:pPr>
        <w:spacing w:after="0" w:line="115"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The following table presents information about the Company’s assets and liabilities measured at fair value on a recurring basis at December 31, 2019 and 2018, and the valuation techniques used by the Company to determine those fair values. There were no changes to valuation techniques during 2019.</w:t>
      </w:r>
    </w:p>
    <w:p>
      <w:pPr>
        <w:spacing w:after="0" w:line="83"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75"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Available-for-sale securities - When quoted prices are available in an active market, securities are valued using the quoted price and are classified as Level 1. The quoted prices are not adjusted.</w:t>
      </w:r>
    </w:p>
    <w:p>
      <w:pPr>
        <w:spacing w:after="0" w:line="75"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83" w:lineRule="exact"/>
        <w:rPr>
          <w:sz w:val="20"/>
          <w:szCs w:val="20"/>
          <w:color w:val="auto"/>
        </w:rPr>
      </w:pPr>
    </w:p>
    <w:p>
      <w:pPr>
        <w:jc w:val="both"/>
        <w:ind w:left="820" w:right="20"/>
        <w:spacing w:after="0" w:line="316" w:lineRule="auto"/>
        <w:rPr>
          <w:sz w:val="20"/>
          <w:szCs w:val="20"/>
          <w:color w:val="auto"/>
        </w:rPr>
      </w:pPr>
      <w:r>
        <w:rPr>
          <w:rFonts w:ascii="Arial" w:cs="Arial" w:eastAsia="Arial" w:hAnsi="Arial"/>
          <w:sz w:val="15"/>
          <w:szCs w:val="15"/>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40"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two local municipals that the Bank evaluates based on the credit strength of the underlying project. The fair value is determined by valuing similar credit payment streams at similar rates.</w:t>
      </w:r>
    </w:p>
    <w:p>
      <w:pPr>
        <w:spacing w:after="0" w:line="83" w:lineRule="exact"/>
        <w:rPr>
          <w:sz w:val="20"/>
          <w:szCs w:val="20"/>
          <w:color w:val="auto"/>
        </w:rPr>
      </w:pPr>
    </w:p>
    <w:p>
      <w:pPr>
        <w:jc w:val="both"/>
        <w:ind w:left="820" w:right="20"/>
        <w:spacing w:after="0" w:line="299" w:lineRule="auto"/>
        <w:rPr>
          <w:sz w:val="20"/>
          <w:szCs w:val="20"/>
          <w:color w:val="auto"/>
        </w:rPr>
      </w:pPr>
      <w:r>
        <w:rPr>
          <w:rFonts w:ascii="Arial" w:cs="Arial" w:eastAsia="Arial" w:hAnsi="Arial"/>
          <w:sz w:val="16"/>
          <w:szCs w:val="16"/>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50"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The following table summarizes financial assets measured at fair value on a recurring basis as of December 31, 2019 and December 31, 2018 segregated by level or the valuation inputs within the fair value hierarchy utilized to measure fair value.</w:t>
      </w:r>
    </w:p>
    <w:p>
      <w:pPr>
        <w:spacing w:after="0" w:line="193" w:lineRule="exact"/>
        <w:rPr>
          <w:sz w:val="20"/>
          <w:szCs w:val="20"/>
          <w:color w:val="auto"/>
        </w:rPr>
      </w:pPr>
    </w:p>
    <w:p>
      <w:pPr>
        <w:jc w:val="center"/>
        <w:ind w:right="120"/>
        <w:spacing w:after="0"/>
        <w:rPr>
          <w:sz w:val="20"/>
          <w:szCs w:val="20"/>
          <w:color w:val="auto"/>
        </w:rPr>
      </w:pPr>
      <w:r>
        <w:rPr>
          <w:rFonts w:ascii="Arial" w:cs="Arial" w:eastAsia="Arial" w:hAnsi="Arial"/>
          <w:sz w:val="18"/>
          <w:szCs w:val="18"/>
          <w:u w:val="single" w:color="auto"/>
          <w:color w:val="auto"/>
        </w:rPr>
        <w:t>Assets and Liabilities Measured at Fair Value on a Recurring Basis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Quoted Prices in</w:t>
            </w:r>
          </w:p>
        </w:tc>
        <w:tc>
          <w:tcPr>
            <w:tcW w:w="1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Significant</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Active Markets</w:t>
            </w:r>
          </w:p>
        </w:tc>
        <w:tc>
          <w:tcPr>
            <w:tcW w:w="1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Observable</w:t>
            </w: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Observable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for Identical</w:t>
            </w:r>
          </w:p>
        </w:tc>
        <w:tc>
          <w:tcPr>
            <w:tcW w:w="1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Inputs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760" w:type="dxa"/>
            <w:vAlign w:val="bottom"/>
          </w:tcPr>
          <w:p>
            <w:pPr>
              <w:ind w:left="1700"/>
              <w:spacing w:after="0"/>
              <w:rPr>
                <w:sz w:val="20"/>
                <w:szCs w:val="20"/>
                <w:color w:val="auto"/>
              </w:rPr>
            </w:pPr>
            <w:r>
              <w:rPr>
                <w:rFonts w:ascii="Arial" w:cs="Arial" w:eastAsia="Arial" w:hAnsi="Arial"/>
                <w:sz w:val="18"/>
                <w:szCs w:val="18"/>
                <w:color w:val="auto"/>
              </w:rPr>
              <w:t>December 31, 2019</w:t>
            </w:r>
          </w:p>
        </w:tc>
        <w:tc>
          <w:tcPr>
            <w:tcW w:w="1120" w:type="dxa"/>
            <w:vAlign w:val="bottom"/>
          </w:tcPr>
          <w:p>
            <w:pPr>
              <w:spacing w:after="0"/>
              <w:rPr>
                <w:sz w:val="19"/>
                <w:szCs w:val="19"/>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Assets (Level 1)</w:t>
            </w:r>
          </w:p>
        </w:tc>
        <w:tc>
          <w:tcPr>
            <w:tcW w:w="1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(Level 2)</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Assets-(Securities Available-for-Sale)</w:t>
            </w:r>
          </w:p>
        </w:tc>
        <w:tc>
          <w:tcPr>
            <w:tcW w:w="1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20" w:type="dxa"/>
            <w:vAlign w:val="bottom"/>
            <w:gridSpan w:val="2"/>
          </w:tcPr>
          <w:p>
            <w:pPr>
              <w:ind w:left="1160"/>
              <w:spacing w:after="0"/>
              <w:rPr>
                <w:sz w:val="20"/>
                <w:szCs w:val="20"/>
                <w:color w:val="auto"/>
              </w:rPr>
            </w:pPr>
            <w:r>
              <w:rPr>
                <w:rFonts w:ascii="Arial" w:cs="Arial" w:eastAsia="Arial" w:hAnsi="Arial"/>
                <w:sz w:val="18"/>
                <w:szCs w:val="18"/>
                <w:color w:val="auto"/>
              </w:rPr>
              <w:t>U.S. Treasury</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10,021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20" w:type="dxa"/>
            <w:vAlign w:val="bottom"/>
            <w:gridSpan w:val="2"/>
          </w:tcPr>
          <w:p>
            <w:pPr>
              <w:ind w:left="1160"/>
              <w:spacing w:after="0"/>
              <w:rPr>
                <w:sz w:val="20"/>
                <w:szCs w:val="20"/>
                <w:color w:val="auto"/>
              </w:rPr>
            </w:pPr>
            <w:r>
              <w:rPr>
                <w:rFonts w:ascii="Arial" w:cs="Arial" w:eastAsia="Arial" w:hAnsi="Arial"/>
                <w:sz w:val="18"/>
                <w:szCs w:val="18"/>
                <w:color w:val="auto"/>
              </w:rPr>
              <w:t>Mortgage-backed securities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95,197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53,140</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10,021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210,782</w:t>
            </w:r>
          </w:p>
        </w:tc>
        <w:tc>
          <w:tcPr>
            <w:tcW w:w="1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20" w:type="dxa"/>
            <w:vAlign w:val="bottom"/>
            <w:vMerge w:val="restart"/>
          </w:tcPr>
          <w:p>
            <w:pPr>
              <w:jc w:val="right"/>
              <w:ind w:right="152"/>
              <w:spacing w:after="0"/>
              <w:rPr>
                <w:sz w:val="20"/>
                <w:szCs w:val="20"/>
                <w:color w:val="auto"/>
              </w:rPr>
            </w:pPr>
            <w:r>
              <w:rPr>
                <w:rFonts w:ascii="Arial" w:cs="Arial" w:eastAsia="Arial" w:hAnsi="Arial"/>
                <w:sz w:val="18"/>
                <w:szCs w:val="18"/>
                <w:color w:val="auto"/>
              </w:rPr>
              <w:t>93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Note 17 – Fair Value of Financial Instruments (Continued)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1"/>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Quoted Prices in</w:t>
            </w:r>
          </w:p>
        </w:tc>
        <w:tc>
          <w:tcPr>
            <w:tcW w:w="1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Significant</w:t>
            </w: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Active Markets</w:t>
            </w: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Observable</w:t>
            </w: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Observable</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for Identical</w:t>
            </w: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Inputs</w:t>
            </w: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r>
      <w:tr>
        <w:trPr>
          <w:trHeight w:val="224"/>
        </w:trPr>
        <w:tc>
          <w:tcPr>
            <w:tcW w:w="1160" w:type="dxa"/>
            <w:vAlign w:val="bottom"/>
          </w:tcPr>
          <w:p>
            <w:pPr>
              <w:spacing w:after="0"/>
              <w:rPr>
                <w:sz w:val="19"/>
                <w:szCs w:val="19"/>
                <w:color w:val="auto"/>
              </w:rPr>
            </w:pPr>
          </w:p>
        </w:tc>
        <w:tc>
          <w:tcPr>
            <w:tcW w:w="4060" w:type="dxa"/>
            <w:vAlign w:val="bottom"/>
          </w:tcPr>
          <w:p>
            <w:pPr>
              <w:ind w:left="1700"/>
              <w:spacing w:after="0"/>
              <w:rPr>
                <w:sz w:val="20"/>
                <w:szCs w:val="20"/>
                <w:color w:val="auto"/>
              </w:rPr>
            </w:pPr>
            <w:r>
              <w:rPr>
                <w:rFonts w:ascii="Arial" w:cs="Arial" w:eastAsia="Arial" w:hAnsi="Arial"/>
                <w:sz w:val="18"/>
                <w:szCs w:val="18"/>
                <w:color w:val="auto"/>
              </w:rPr>
              <w:t>December 31, 2018</w:t>
            </w:r>
          </w:p>
        </w:tc>
        <w:tc>
          <w:tcPr>
            <w:tcW w:w="820" w:type="dxa"/>
            <w:vAlign w:val="bottom"/>
          </w:tcPr>
          <w:p>
            <w:pPr>
              <w:spacing w:after="0"/>
              <w:rPr>
                <w:sz w:val="19"/>
                <w:szCs w:val="19"/>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Assets (Level 1)</w:t>
            </w: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(Level 2)</w:t>
            </w: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r>
      <w:tr>
        <w:trPr>
          <w:trHeight w:val="217"/>
        </w:trPr>
        <w:tc>
          <w:tcPr>
            <w:tcW w:w="1160" w:type="dxa"/>
            <w:vAlign w:val="bottom"/>
          </w:tcPr>
          <w:p>
            <w:pPr>
              <w:spacing w:after="0"/>
              <w:rPr>
                <w:sz w:val="18"/>
                <w:szCs w:val="18"/>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Assets-(Securities Available-for-Sale)</w:t>
            </w:r>
          </w:p>
        </w:tc>
        <w:tc>
          <w:tcPr>
            <w:tcW w:w="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U.S. Treasury</w:t>
            </w:r>
          </w:p>
        </w:tc>
        <w:tc>
          <w:tcPr>
            <w:tcW w:w="820" w:type="dxa"/>
            <w:vAlign w:val="bottom"/>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82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Mortgage-backed securities</w:t>
            </w:r>
          </w:p>
        </w:tc>
        <w:tc>
          <w:tcPr>
            <w:tcW w:w="82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820" w:type="dxa"/>
            <w:vAlign w:val="bottom"/>
            <w:shd w:val="clear" w:color="auto" w:fill="CFF0FC"/>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38,601</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36,935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130,085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5"/>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(In Thousands)</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8"/>
          </w:tcPr>
          <w:p>
            <w:pPr>
              <w:jc w:val="center"/>
              <w:ind w:right="220"/>
              <w:spacing w:after="0"/>
              <w:rPr>
                <w:sz w:val="20"/>
                <w:szCs w:val="20"/>
                <w:color w:val="auto"/>
              </w:rPr>
            </w:pPr>
            <w:r>
              <w:rPr>
                <w:rFonts w:ascii="Arial" w:cs="Arial" w:eastAsia="Arial" w:hAnsi="Arial"/>
                <w:sz w:val="18"/>
                <w:szCs w:val="18"/>
                <w:color w:val="auto"/>
                <w:w w:val="88"/>
              </w:rPr>
              <w:t>Fair Value Measurements Using Significant</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7"/>
          </w:tcPr>
          <w:p>
            <w:pPr>
              <w:jc w:val="center"/>
              <w:ind w:right="32"/>
              <w:spacing w:after="0"/>
              <w:rPr>
                <w:sz w:val="20"/>
                <w:szCs w:val="20"/>
                <w:color w:val="auto"/>
              </w:rPr>
            </w:pPr>
            <w:r>
              <w:rPr>
                <w:rFonts w:ascii="Arial" w:cs="Arial" w:eastAsia="Arial" w:hAnsi="Arial"/>
                <w:sz w:val="18"/>
                <w:szCs w:val="18"/>
                <w:color w:val="auto"/>
                <w:w w:val="89"/>
              </w:rPr>
              <w:t>Unobservable Inputs (Level 3)</w:t>
            </w:r>
          </w:p>
        </w:tc>
        <w:tc>
          <w:tcPr>
            <w:tcW w:w="100" w:type="dxa"/>
            <w:vAlign w:val="bottom"/>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State and Local</w:t>
            </w: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State and Local</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State and Local</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Governments</w:t>
            </w:r>
          </w:p>
        </w:tc>
        <w:tc>
          <w:tcPr>
            <w:tcW w:w="1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Governments</w:t>
            </w: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Governments</w:t>
            </w:r>
          </w:p>
        </w:tc>
      </w:tr>
      <w:tr>
        <w:trPr>
          <w:trHeight w:val="224"/>
        </w:trPr>
        <w:tc>
          <w:tcPr>
            <w:tcW w:w="1160" w:type="dxa"/>
            <w:vAlign w:val="bottom"/>
          </w:tcPr>
          <w:p>
            <w:pPr>
              <w:spacing w:after="0"/>
              <w:rPr>
                <w:sz w:val="19"/>
                <w:szCs w:val="19"/>
                <w:color w:val="auto"/>
              </w:rPr>
            </w:pPr>
          </w:p>
        </w:tc>
        <w:tc>
          <w:tcPr>
            <w:tcW w:w="40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Tax-Exempt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Taxable</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Total</w:t>
            </w:r>
          </w:p>
        </w:tc>
        <w:tc>
          <w:tcPr>
            <w:tcW w:w="100" w:type="dxa"/>
            <w:vAlign w:val="bottom"/>
            <w:tcBorders>
              <w:bottom w:val="single" w:sz="8" w:color="CFF0FC"/>
            </w:tcBorders>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FF0FC"/>
          </w:tcPr>
          <w:p>
            <w:pPr>
              <w:spacing w:after="0"/>
              <w:rPr>
                <w:sz w:val="18"/>
                <w:szCs w:val="18"/>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Change in Market Value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Sales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8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17"/>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Balance at December 31, 2019</w:t>
            </w:r>
          </w:p>
        </w:tc>
        <w:tc>
          <w:tcPr>
            <w:tcW w:w="8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5"/>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(In Thousands)</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8"/>
          </w:tcPr>
          <w:p>
            <w:pPr>
              <w:jc w:val="center"/>
              <w:ind w:right="220"/>
              <w:spacing w:after="0"/>
              <w:rPr>
                <w:sz w:val="20"/>
                <w:szCs w:val="20"/>
                <w:color w:val="auto"/>
              </w:rPr>
            </w:pPr>
            <w:r>
              <w:rPr>
                <w:rFonts w:ascii="Arial" w:cs="Arial" w:eastAsia="Arial" w:hAnsi="Arial"/>
                <w:sz w:val="18"/>
                <w:szCs w:val="18"/>
                <w:color w:val="auto"/>
                <w:w w:val="88"/>
              </w:rPr>
              <w:t>Fair Value Measurements Using Significant</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7"/>
          </w:tcPr>
          <w:p>
            <w:pPr>
              <w:jc w:val="center"/>
              <w:ind w:right="32"/>
              <w:spacing w:after="0"/>
              <w:rPr>
                <w:sz w:val="20"/>
                <w:szCs w:val="20"/>
                <w:color w:val="auto"/>
              </w:rPr>
            </w:pPr>
            <w:r>
              <w:rPr>
                <w:rFonts w:ascii="Arial" w:cs="Arial" w:eastAsia="Arial" w:hAnsi="Arial"/>
                <w:sz w:val="18"/>
                <w:szCs w:val="18"/>
                <w:color w:val="auto"/>
                <w:w w:val="89"/>
              </w:rPr>
              <w:t>Unobservable Inputs (Level 3)</w:t>
            </w:r>
          </w:p>
        </w:tc>
        <w:tc>
          <w:tcPr>
            <w:tcW w:w="100" w:type="dxa"/>
            <w:vAlign w:val="bottom"/>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State and Local</w:t>
            </w: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State and Local</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State and Local</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Governments</w:t>
            </w:r>
          </w:p>
        </w:tc>
        <w:tc>
          <w:tcPr>
            <w:tcW w:w="1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Governments</w:t>
            </w: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Governments</w:t>
            </w:r>
          </w:p>
        </w:tc>
      </w:tr>
      <w:tr>
        <w:trPr>
          <w:trHeight w:val="224"/>
        </w:trPr>
        <w:tc>
          <w:tcPr>
            <w:tcW w:w="1160" w:type="dxa"/>
            <w:vAlign w:val="bottom"/>
          </w:tcPr>
          <w:p>
            <w:pPr>
              <w:spacing w:after="0"/>
              <w:rPr>
                <w:sz w:val="19"/>
                <w:szCs w:val="19"/>
                <w:color w:val="auto"/>
              </w:rPr>
            </w:pPr>
          </w:p>
        </w:tc>
        <w:tc>
          <w:tcPr>
            <w:tcW w:w="40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Tax-Exempt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Taxable</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Total</w:t>
            </w:r>
          </w:p>
        </w:tc>
        <w:tc>
          <w:tcPr>
            <w:tcW w:w="100" w:type="dxa"/>
            <w:vAlign w:val="bottom"/>
            <w:tcBorders>
              <w:bottom w:val="single" w:sz="8" w:color="CFF0FC"/>
            </w:tcBorders>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FF0FC"/>
          </w:tcPr>
          <w:p>
            <w:pPr>
              <w:spacing w:after="0"/>
              <w:rPr>
                <w:sz w:val="18"/>
                <w:szCs w:val="18"/>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Change in Market Value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Sales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8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17"/>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Balance at December 31, 2018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Most of the Company’s available for sale securities, including any bonds issued by local municipalities, have CUSIP numbers or have similar characteristics of those in the municipal markets, making them marketable and comparable as Level 2.</w:t>
      </w:r>
    </w:p>
    <w:p>
      <w:pPr>
        <w:spacing w:after="0" w:line="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There have been no transfers into or out of Level 3 during 2019 and 2018.</w:t>
      </w:r>
    </w:p>
    <w:p>
      <w:pPr>
        <w:spacing w:after="0" w:line="109"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December 31, 2019 and 2018,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352"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At December 31, 2019 and 2018, collateral dependent impaired loans categorized as Level 3 were $444 and $215 thousand, respectively. The specific allocation for collateral dependent impaired loans was $197 thousand as of December 31, 2019 and $31 thousand as of December 31, 2018, respectively, which are accounted for in the allowance for loan losses (see Note 4).</w:t>
      </w:r>
    </w:p>
    <w:p>
      <w:pPr>
        <w:spacing w:after="0" w:line="83" w:lineRule="exact"/>
        <w:rPr>
          <w:sz w:val="20"/>
          <w:szCs w:val="20"/>
          <w:color w:val="auto"/>
        </w:rPr>
      </w:pPr>
    </w:p>
    <w:p>
      <w:pPr>
        <w:jc w:val="both"/>
        <w:ind w:left="820" w:right="20"/>
        <w:spacing w:after="0" w:line="248" w:lineRule="auto"/>
        <w:rPr>
          <w:sz w:val="20"/>
          <w:szCs w:val="20"/>
          <w:color w:val="auto"/>
        </w:rPr>
      </w:pPr>
      <w:r>
        <w:rPr>
          <w:rFonts w:ascii="Arial" w:cs="Arial" w:eastAsia="Arial" w:hAnsi="Arial"/>
          <w:sz w:val="18"/>
          <w:szCs w:val="18"/>
          <w:color w:val="auto"/>
        </w:rPr>
        <w:t>Other real estate is reported at the lower of either the fair value of the real estate, minus the estimated costs to sell the asset, or the cost of the asset. The determination of the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presents collateral dependent impaired loans and other real estate owned as recorded at fair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center"/>
              <w:ind w:right="112"/>
              <w:spacing w:after="0"/>
              <w:rPr>
                <w:sz w:val="20"/>
                <w:szCs w:val="20"/>
                <w:color w:val="auto"/>
              </w:rPr>
            </w:pPr>
            <w:r>
              <w:rPr>
                <w:rFonts w:ascii="Arial" w:cs="Arial" w:eastAsia="Arial" w:hAnsi="Arial"/>
                <w:sz w:val="18"/>
                <w:szCs w:val="18"/>
                <w:color w:val="auto"/>
                <w:w w:val="87"/>
              </w:rPr>
              <w:t>($ in Thousands)</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7"/>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20" w:type="dxa"/>
            <w:vAlign w:val="bottom"/>
            <w:tcBorders>
              <w:bottom w:val="single" w:sz="8" w:color="auto"/>
            </w:tcBorders>
            <w:gridSpan w:val="15"/>
          </w:tcPr>
          <w:p>
            <w:pPr>
              <w:jc w:val="center"/>
              <w:ind w:left="52"/>
              <w:spacing w:after="0"/>
              <w:rPr>
                <w:sz w:val="20"/>
                <w:szCs w:val="20"/>
                <w:color w:val="auto"/>
              </w:rPr>
            </w:pPr>
            <w:r>
              <w:rPr>
                <w:rFonts w:ascii="Arial" w:cs="Arial" w:eastAsia="Arial" w:hAnsi="Arial"/>
                <w:sz w:val="18"/>
                <w:szCs w:val="18"/>
                <w:color w:val="auto"/>
                <w:w w:val="87"/>
              </w:rPr>
              <w:t>Assets Measured at Fair Value on a Nonrecurring Basis at December 31, 2019</w:t>
            </w: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left="72"/>
              <w:spacing w:after="0"/>
              <w:rPr>
                <w:sz w:val="20"/>
                <w:szCs w:val="20"/>
                <w:color w:val="auto"/>
              </w:rPr>
            </w:pPr>
            <w:r>
              <w:rPr>
                <w:rFonts w:ascii="Arial" w:cs="Arial" w:eastAsia="Arial" w:hAnsi="Arial"/>
                <w:sz w:val="18"/>
                <w:szCs w:val="18"/>
                <w:color w:val="auto"/>
                <w:w w:val="88"/>
              </w:rPr>
              <w:t>Quoted Prices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left="72"/>
              <w:spacing w:after="0"/>
              <w:rPr>
                <w:sz w:val="20"/>
                <w:szCs w:val="20"/>
                <w:color w:val="auto"/>
              </w:rPr>
            </w:pPr>
            <w:r>
              <w:rPr>
                <w:rFonts w:ascii="Arial" w:cs="Arial" w:eastAsia="Arial" w:hAnsi="Arial"/>
                <w:sz w:val="18"/>
                <w:szCs w:val="18"/>
                <w:color w:val="auto"/>
                <w:w w:val="91"/>
              </w:rPr>
              <w:t>Markets for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left="72"/>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center"/>
              <w:ind w:left="232"/>
              <w:spacing w:after="0"/>
              <w:rPr>
                <w:sz w:val="20"/>
                <w:szCs w:val="20"/>
                <w:color w:val="auto"/>
              </w:rPr>
            </w:pPr>
            <w:r>
              <w:rPr>
                <w:rFonts w:ascii="Arial" w:cs="Arial" w:eastAsia="Arial" w:hAnsi="Arial"/>
                <w:sz w:val="18"/>
                <w:szCs w:val="18"/>
                <w:color w:val="auto"/>
                <w:w w:val="91"/>
              </w:rPr>
              <w:t>Significant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Balance at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left="72"/>
              <w:spacing w:after="0"/>
              <w:rPr>
                <w:sz w:val="20"/>
                <w:szCs w:val="20"/>
                <w:color w:val="auto"/>
              </w:rPr>
            </w:pPr>
            <w:r>
              <w:rPr>
                <w:rFonts w:ascii="Arial" w:cs="Arial" w:eastAsia="Arial" w:hAnsi="Arial"/>
                <w:sz w:val="18"/>
                <w:szCs w:val="18"/>
                <w:color w:val="auto"/>
                <w:w w:val="92"/>
              </w:rPr>
              <w:t>Identical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Observable Inputs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color w:val="auto"/>
                <w:w w:val="87"/>
              </w:rPr>
              <w:t>Unobservable Inputs</w:t>
            </w:r>
          </w:p>
        </w:tc>
        <w:tc>
          <w:tcPr>
            <w:tcW w:w="58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8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89"/>
              </w:rPr>
              <w:t>December 31, 2019</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88"/>
              </w:rPr>
              <w:t>Assets (Level 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4"/>
              </w:rPr>
              <w:t>(Level 2)</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1"/>
              </w:rPr>
              <w:t>(Level 3)</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258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Collateral dependent impaired</w:t>
            </w: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loans</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w:t>
            </w:r>
          </w:p>
        </w:tc>
        <w:tc>
          <w:tcPr>
            <w:tcW w:w="1540" w:type="dxa"/>
            <w:vAlign w:val="bottom"/>
            <w:gridSpan w:val="3"/>
            <w:shd w:val="clear" w:color="auto" w:fill="CFF0FC"/>
          </w:tcPr>
          <w:p>
            <w:pPr>
              <w:jc w:val="right"/>
              <w:ind w:right="1172"/>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FF0FC"/>
          </w:tcPr>
          <w:p>
            <w:pPr>
              <w:jc w:val="right"/>
              <w:ind w:right="1132"/>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FF0FC"/>
          </w:tcPr>
          <w:p>
            <w:pPr>
              <w:jc w:val="right"/>
              <w:ind w:right="9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444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11"/>
        </w:trPr>
        <w:tc>
          <w:tcPr>
            <w:tcW w:w="3160" w:type="dxa"/>
            <w:vAlign w:val="bottom"/>
            <w:gridSpan w:val="2"/>
          </w:tcPr>
          <w:p>
            <w:pPr>
              <w:ind w:left="580"/>
              <w:spacing w:after="0"/>
              <w:rPr>
                <w:sz w:val="20"/>
                <w:szCs w:val="20"/>
                <w:color w:val="auto"/>
              </w:rPr>
            </w:pPr>
            <w:r>
              <w:rPr>
                <w:rFonts w:ascii="Arial" w:cs="Arial" w:eastAsia="Arial" w:hAnsi="Arial"/>
                <w:sz w:val="18"/>
                <w:szCs w:val="18"/>
                <w:color w:val="auto"/>
              </w:rPr>
              <w:t>Other real estate owned -</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5"/>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right="352"/>
              <w:spacing w:after="0"/>
              <w:rPr>
                <w:sz w:val="20"/>
                <w:szCs w:val="20"/>
                <w:color w:val="auto"/>
              </w:rPr>
            </w:pPr>
            <w:r>
              <w:rPr>
                <w:rFonts w:ascii="Arial" w:cs="Arial" w:eastAsia="Arial" w:hAnsi="Arial"/>
                <w:sz w:val="18"/>
                <w:szCs w:val="18"/>
                <w:color w:val="auto"/>
                <w:w w:val="87"/>
              </w:rPr>
              <w:t>($ in Thousands)</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20" w:type="dxa"/>
            <w:vAlign w:val="bottom"/>
            <w:tcBorders>
              <w:bottom w:val="single" w:sz="8" w:color="auto"/>
            </w:tcBorders>
            <w:gridSpan w:val="15"/>
          </w:tcPr>
          <w:p>
            <w:pPr>
              <w:jc w:val="center"/>
              <w:spacing w:after="0"/>
              <w:rPr>
                <w:sz w:val="20"/>
                <w:szCs w:val="20"/>
                <w:color w:val="auto"/>
              </w:rPr>
            </w:pPr>
            <w:r>
              <w:rPr>
                <w:rFonts w:ascii="Arial" w:cs="Arial" w:eastAsia="Arial" w:hAnsi="Arial"/>
                <w:sz w:val="18"/>
                <w:szCs w:val="18"/>
                <w:color w:val="auto"/>
                <w:w w:val="87"/>
              </w:rPr>
              <w:t>Assets Measured at Fair Value on a Nonrecurring Basis at December 31, 2018</w:t>
            </w:r>
          </w:p>
        </w:tc>
        <w:tc>
          <w:tcPr>
            <w:tcW w:w="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12"/>
              <w:spacing w:after="0"/>
              <w:rPr>
                <w:sz w:val="20"/>
                <w:szCs w:val="20"/>
                <w:color w:val="auto"/>
              </w:rPr>
            </w:pPr>
            <w:r>
              <w:rPr>
                <w:rFonts w:ascii="Arial" w:cs="Arial" w:eastAsia="Arial" w:hAnsi="Arial"/>
                <w:sz w:val="18"/>
                <w:szCs w:val="18"/>
                <w:color w:val="auto"/>
                <w:w w:val="87"/>
              </w:rPr>
              <w:t>Quoted Prices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32"/>
              <w:spacing w:after="0"/>
              <w:rPr>
                <w:sz w:val="20"/>
                <w:szCs w:val="20"/>
                <w:color w:val="auto"/>
              </w:rPr>
            </w:pPr>
            <w:r>
              <w:rPr>
                <w:rFonts w:ascii="Arial" w:cs="Arial" w:eastAsia="Arial" w:hAnsi="Arial"/>
                <w:sz w:val="18"/>
                <w:szCs w:val="18"/>
                <w:color w:val="auto"/>
                <w:w w:val="91"/>
              </w:rPr>
              <w:t>Markets for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Significant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center"/>
              <w:ind w:left="152"/>
              <w:spacing w:after="0"/>
              <w:rPr>
                <w:sz w:val="20"/>
                <w:szCs w:val="20"/>
                <w:color w:val="auto"/>
              </w:rPr>
            </w:pPr>
            <w:r>
              <w:rPr>
                <w:rFonts w:ascii="Arial" w:cs="Arial" w:eastAsia="Arial" w:hAnsi="Arial"/>
                <w:sz w:val="18"/>
                <w:szCs w:val="18"/>
                <w:color w:val="auto"/>
                <w:w w:val="91"/>
              </w:rPr>
              <w:t>Significant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Balance at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12"/>
              <w:spacing w:after="0"/>
              <w:rPr>
                <w:sz w:val="20"/>
                <w:szCs w:val="20"/>
                <w:color w:val="auto"/>
              </w:rPr>
            </w:pPr>
            <w:r>
              <w:rPr>
                <w:rFonts w:ascii="Arial" w:cs="Arial" w:eastAsia="Arial" w:hAnsi="Arial"/>
                <w:sz w:val="18"/>
                <w:szCs w:val="18"/>
                <w:color w:val="auto"/>
                <w:w w:val="89"/>
              </w:rPr>
              <w:t>Identical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Observable Inputs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8"/>
                <w:szCs w:val="18"/>
                <w:color w:val="auto"/>
                <w:w w:val="87"/>
              </w:rPr>
              <w:t>Unobservable Inputs</w:t>
            </w:r>
          </w:p>
        </w:tc>
        <w:tc>
          <w:tcPr>
            <w:tcW w:w="58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8"/>
                <w:szCs w:val="18"/>
                <w:color w:val="auto"/>
                <w:w w:val="87"/>
              </w:rPr>
              <w:t>December 31, 2018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12"/>
              <w:spacing w:after="0"/>
              <w:rPr>
                <w:sz w:val="20"/>
                <w:szCs w:val="20"/>
                <w:color w:val="auto"/>
              </w:rPr>
            </w:pPr>
            <w:r>
              <w:rPr>
                <w:rFonts w:ascii="Arial" w:cs="Arial" w:eastAsia="Arial" w:hAnsi="Arial"/>
                <w:sz w:val="18"/>
                <w:szCs w:val="18"/>
                <w:color w:val="auto"/>
                <w:w w:val="89"/>
              </w:rPr>
              <w:t>Assets (Level 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(Level 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center"/>
              <w:ind w:left="152"/>
              <w:spacing w:after="0"/>
              <w:rPr>
                <w:sz w:val="20"/>
                <w:szCs w:val="20"/>
                <w:color w:val="auto"/>
              </w:rPr>
            </w:pPr>
            <w:r>
              <w:rPr>
                <w:rFonts w:ascii="Arial" w:cs="Arial" w:eastAsia="Arial" w:hAnsi="Arial"/>
                <w:sz w:val="18"/>
                <w:szCs w:val="18"/>
                <w:color w:val="auto"/>
                <w:w w:val="91"/>
              </w:rPr>
              <w:t>(Level 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25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Collateral dependent impaired</w:t>
            </w:r>
          </w:p>
        </w:tc>
        <w:tc>
          <w:tcPr>
            <w:tcW w:w="4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58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loans</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0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11"/>
        </w:trPr>
        <w:tc>
          <w:tcPr>
            <w:tcW w:w="3160" w:type="dxa"/>
            <w:vAlign w:val="bottom"/>
            <w:gridSpan w:val="2"/>
          </w:tcPr>
          <w:p>
            <w:pPr>
              <w:ind w:left="580"/>
              <w:spacing w:after="0"/>
              <w:rPr>
                <w:sz w:val="20"/>
                <w:szCs w:val="20"/>
                <w:color w:val="auto"/>
              </w:rPr>
            </w:pPr>
            <w:r>
              <w:rPr>
                <w:rFonts w:ascii="Arial" w:cs="Arial" w:eastAsia="Arial" w:hAnsi="Arial"/>
                <w:sz w:val="18"/>
                <w:szCs w:val="18"/>
                <w:color w:val="auto"/>
              </w:rPr>
              <w:t>Other real estate owned -</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1"/>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4"/>
          </w:tcPr>
          <w:p>
            <w:pPr>
              <w:jc w:val="right"/>
              <w:ind w:right="100"/>
              <w:spacing w:after="0"/>
              <w:rPr>
                <w:sz w:val="20"/>
                <w:szCs w:val="20"/>
                <w:color w:val="auto"/>
              </w:rPr>
            </w:pPr>
            <w:r>
              <w:rPr>
                <w:rFonts w:ascii="Arial" w:cs="Arial" w:eastAsia="Arial" w:hAnsi="Arial"/>
                <w:sz w:val="18"/>
                <w:szCs w:val="18"/>
                <w:color w:val="auto"/>
              </w:rPr>
              <w:t>95</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00" w:lineRule="exact"/>
        <w:rPr>
          <w:sz w:val="20"/>
          <w:szCs w:val="20"/>
          <w:color w:val="auto"/>
        </w:rPr>
      </w:pPr>
    </w:p>
    <w:p>
      <w:pPr>
        <w:spacing w:after="0" w:line="25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quantitative information about unobservable inputs used in recurring and nonrecurring Level 3 fair value measurements: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(In Thousands)</w:t>
            </w: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5"/>
        </w:trPr>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32"/>
              <w:spacing w:after="0" w:line="205" w:lineRule="exact"/>
              <w:rPr>
                <w:sz w:val="20"/>
                <w:szCs w:val="20"/>
                <w:color w:val="auto"/>
              </w:rPr>
            </w:pPr>
            <w:r>
              <w:rPr>
                <w:rFonts w:ascii="Arial" w:cs="Arial" w:eastAsia="Arial" w:hAnsi="Arial"/>
                <w:sz w:val="18"/>
                <w:szCs w:val="18"/>
                <w:color w:val="auto"/>
                <w:w w:val="88"/>
              </w:rPr>
              <w:t>Fair Value at</w:t>
            </w: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1"/>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color w:val="auto"/>
                <w:w w:val="86"/>
              </w:rPr>
              <w:t>December 31,</w:t>
            </w: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3"/>
        </w:trPr>
        <w:tc>
          <w:tcPr>
            <w:tcW w:w="204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2019</w:t>
            </w:r>
          </w:p>
        </w:tc>
        <w:tc>
          <w:tcPr>
            <w:tcW w:w="240" w:type="dxa"/>
            <w:vAlign w:val="bottom"/>
            <w:tcBorders>
              <w:bottom w:val="single" w:sz="8" w:color="CFF0FC"/>
            </w:tcBorders>
          </w:tcPr>
          <w:p>
            <w:pPr>
              <w:spacing w:after="0"/>
              <w:rPr>
                <w:sz w:val="19"/>
                <w:szCs w:val="19"/>
                <w:color w:val="auto"/>
              </w:rPr>
            </w:pPr>
          </w:p>
        </w:tc>
        <w:tc>
          <w:tcPr>
            <w:tcW w:w="2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Valuation Technique</w:t>
            </w:r>
          </w:p>
        </w:tc>
        <w:tc>
          <w:tcPr>
            <w:tcW w:w="140" w:type="dxa"/>
            <w:vAlign w:val="bottom"/>
            <w:tcBorders>
              <w:bottom w:val="single" w:sz="8" w:color="CFF0FC"/>
            </w:tcBorders>
          </w:tcPr>
          <w:p>
            <w:pPr>
              <w:spacing w:after="0"/>
              <w:rPr>
                <w:sz w:val="19"/>
                <w:szCs w:val="19"/>
                <w:color w:val="auto"/>
              </w:rPr>
            </w:pPr>
          </w:p>
        </w:tc>
        <w:tc>
          <w:tcPr>
            <w:tcW w:w="32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Unobservable Inputs</w:t>
            </w:r>
          </w:p>
        </w:tc>
        <w:tc>
          <w:tcPr>
            <w:tcW w:w="12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(Weighted Average)</w:t>
            </w:r>
          </w:p>
        </w:tc>
      </w:tr>
      <w:tr>
        <w:trPr>
          <w:trHeight w:val="205"/>
        </w:trPr>
        <w:tc>
          <w:tcPr>
            <w:tcW w:w="204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State and local</w:t>
            </w: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color w:val="auto"/>
                <w:w w:val="95"/>
              </w:rPr>
              <w:t>Credit strength of underlying project or entity</w:t>
            </w:r>
          </w:p>
        </w:tc>
        <w:tc>
          <w:tcPr>
            <w:tcW w:w="1620" w:type="dxa"/>
            <w:vAlign w:val="bottom"/>
            <w:shd w:val="clear" w:color="auto" w:fill="CFF0FC"/>
          </w:tcPr>
          <w:p>
            <w:pPr>
              <w:jc w:val="center"/>
              <w:spacing w:after="0" w:line="205" w:lineRule="exact"/>
              <w:rPr>
                <w:sz w:val="20"/>
                <w:szCs w:val="20"/>
                <w:color w:val="auto"/>
              </w:rPr>
            </w:pPr>
            <w:r>
              <w:rPr>
                <w:rFonts w:ascii="Arial" w:cs="Arial" w:eastAsia="Arial" w:hAnsi="Arial"/>
                <w:sz w:val="18"/>
                <w:szCs w:val="18"/>
                <w:color w:val="auto"/>
                <w:w w:val="90"/>
              </w:rPr>
              <w:t>0-5%</w:t>
            </w:r>
          </w:p>
        </w:tc>
      </w:tr>
      <w:tr>
        <w:trPr>
          <w:trHeight w:val="223"/>
        </w:trPr>
        <w:tc>
          <w:tcPr>
            <w:tcW w:w="2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5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Discount rate</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(2.52%)</w:t>
            </w:r>
          </w:p>
        </w:tc>
      </w:tr>
      <w:tr>
        <w:trPr>
          <w:trHeight w:val="211"/>
        </w:trPr>
        <w:tc>
          <w:tcPr>
            <w:tcW w:w="2040" w:type="dxa"/>
            <w:vAlign w:val="bottom"/>
          </w:tcPr>
          <w:p>
            <w:pPr>
              <w:spacing w:after="0"/>
              <w:rPr>
                <w:sz w:val="20"/>
                <w:szCs w:val="20"/>
                <w:color w:val="auto"/>
              </w:rPr>
            </w:pPr>
            <w:r>
              <w:rPr>
                <w:rFonts w:ascii="Arial" w:cs="Arial" w:eastAsia="Arial" w:hAnsi="Arial"/>
                <w:sz w:val="18"/>
                <w:szCs w:val="18"/>
                <w:color w:val="auto"/>
              </w:rPr>
              <w:t>Collateral dependent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Collateral based</w:t>
            </w:r>
          </w:p>
        </w:tc>
        <w:tc>
          <w:tcPr>
            <w:tcW w:w="3400" w:type="dxa"/>
            <w:vAlign w:val="bottom"/>
            <w:gridSpan w:val="2"/>
          </w:tcPr>
          <w:p>
            <w:pPr>
              <w:spacing w:after="0"/>
              <w:rPr>
                <w:sz w:val="20"/>
                <w:szCs w:val="20"/>
                <w:color w:val="auto"/>
              </w:rPr>
            </w:pPr>
            <w:r>
              <w:rPr>
                <w:rFonts w:ascii="Arial" w:cs="Arial" w:eastAsia="Arial" w:hAnsi="Arial"/>
                <w:sz w:val="18"/>
                <w:szCs w:val="18"/>
                <w:color w:val="auto"/>
                <w:w w:val="96"/>
              </w:rPr>
              <w:t>Discount to reflect current market conditions</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0-50%</w:t>
            </w:r>
          </w:p>
        </w:tc>
      </w:tr>
      <w:tr>
        <w:trPr>
          <w:trHeight w:val="223"/>
        </w:trPr>
        <w:tc>
          <w:tcPr>
            <w:tcW w:w="2040" w:type="dxa"/>
            <w:vAlign w:val="bottom"/>
          </w:tcPr>
          <w:p>
            <w:pPr>
              <w:ind w:left="140"/>
              <w:spacing w:after="0"/>
              <w:rPr>
                <w:sz w:val="20"/>
                <w:szCs w:val="20"/>
                <w:color w:val="auto"/>
              </w:rPr>
            </w:pPr>
            <w:r>
              <w:rPr>
                <w:rFonts w:ascii="Arial" w:cs="Arial" w:eastAsia="Arial" w:hAnsi="Arial"/>
                <w:sz w:val="18"/>
                <w:szCs w:val="18"/>
                <w:color w:val="auto"/>
              </w:rPr>
              <w:t>impaired loans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444</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measurements</w:t>
            </w:r>
          </w:p>
        </w:tc>
        <w:tc>
          <w:tcPr>
            <w:tcW w:w="3400" w:type="dxa"/>
            <w:vAlign w:val="bottom"/>
            <w:gridSpan w:val="2"/>
          </w:tcPr>
          <w:p>
            <w:pPr>
              <w:spacing w:after="0"/>
              <w:rPr>
                <w:sz w:val="20"/>
                <w:szCs w:val="20"/>
                <w:color w:val="auto"/>
              </w:rPr>
            </w:pPr>
            <w:r>
              <w:rPr>
                <w:rFonts w:ascii="Arial" w:cs="Arial" w:eastAsia="Arial" w:hAnsi="Arial"/>
                <w:sz w:val="18"/>
                <w:szCs w:val="18"/>
                <w:color w:val="auto"/>
              </w:rPr>
              <w:t>and ultimate collectability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(30.73%)</w:t>
            </w:r>
          </w:p>
        </w:tc>
      </w:tr>
      <w:tr>
        <w:trPr>
          <w:trHeight w:val="212"/>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0-20 %</w:t>
            </w:r>
          </w:p>
        </w:tc>
      </w:tr>
      <w:tr>
        <w:trPr>
          <w:trHeight w:val="223"/>
        </w:trPr>
        <w:tc>
          <w:tcPr>
            <w:tcW w:w="2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commercial</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5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( 23.31%)</w:t>
            </w:r>
          </w:p>
        </w:tc>
      </w:tr>
      <w:tr>
        <w:trPr>
          <w:trHeight w:val="434"/>
        </w:trPr>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(In Thousands)</w:t>
            </w: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5"/>
        </w:trPr>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32"/>
              <w:spacing w:after="0" w:line="205" w:lineRule="exact"/>
              <w:rPr>
                <w:sz w:val="20"/>
                <w:szCs w:val="20"/>
                <w:color w:val="auto"/>
              </w:rPr>
            </w:pPr>
            <w:r>
              <w:rPr>
                <w:rFonts w:ascii="Arial" w:cs="Arial" w:eastAsia="Arial" w:hAnsi="Arial"/>
                <w:sz w:val="18"/>
                <w:szCs w:val="18"/>
                <w:color w:val="auto"/>
                <w:w w:val="88"/>
              </w:rPr>
              <w:t>Fair Value at</w:t>
            </w: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1"/>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color w:val="auto"/>
                <w:w w:val="86"/>
              </w:rPr>
              <w:t>December 31,</w:t>
            </w: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3"/>
        </w:trPr>
        <w:tc>
          <w:tcPr>
            <w:tcW w:w="204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2018</w:t>
            </w:r>
          </w:p>
        </w:tc>
        <w:tc>
          <w:tcPr>
            <w:tcW w:w="240" w:type="dxa"/>
            <w:vAlign w:val="bottom"/>
            <w:tcBorders>
              <w:bottom w:val="single" w:sz="8" w:color="CFF0FC"/>
            </w:tcBorders>
          </w:tcPr>
          <w:p>
            <w:pPr>
              <w:spacing w:after="0"/>
              <w:rPr>
                <w:sz w:val="19"/>
                <w:szCs w:val="19"/>
                <w:color w:val="auto"/>
              </w:rPr>
            </w:pPr>
          </w:p>
        </w:tc>
        <w:tc>
          <w:tcPr>
            <w:tcW w:w="2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Valuation Technique</w:t>
            </w:r>
          </w:p>
        </w:tc>
        <w:tc>
          <w:tcPr>
            <w:tcW w:w="140" w:type="dxa"/>
            <w:vAlign w:val="bottom"/>
            <w:tcBorders>
              <w:bottom w:val="single" w:sz="8" w:color="CFF0FC"/>
            </w:tcBorders>
          </w:tcPr>
          <w:p>
            <w:pPr>
              <w:spacing w:after="0"/>
              <w:rPr>
                <w:sz w:val="19"/>
                <w:szCs w:val="19"/>
                <w:color w:val="auto"/>
              </w:rPr>
            </w:pPr>
          </w:p>
        </w:tc>
        <w:tc>
          <w:tcPr>
            <w:tcW w:w="32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Unobservable Inputs</w:t>
            </w:r>
          </w:p>
        </w:tc>
        <w:tc>
          <w:tcPr>
            <w:tcW w:w="12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(Weighted Average)</w:t>
            </w:r>
          </w:p>
        </w:tc>
      </w:tr>
      <w:tr>
        <w:trPr>
          <w:trHeight w:val="205"/>
        </w:trPr>
        <w:tc>
          <w:tcPr>
            <w:tcW w:w="204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State and local</w:t>
            </w: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color w:val="auto"/>
                <w:w w:val="95"/>
              </w:rPr>
              <w:t>Credit strength of underlying project or entity</w:t>
            </w:r>
          </w:p>
        </w:tc>
        <w:tc>
          <w:tcPr>
            <w:tcW w:w="1620" w:type="dxa"/>
            <w:vAlign w:val="bottom"/>
            <w:shd w:val="clear" w:color="auto" w:fill="CFF0FC"/>
          </w:tcPr>
          <w:p>
            <w:pPr>
              <w:jc w:val="center"/>
              <w:spacing w:after="0" w:line="205" w:lineRule="exact"/>
              <w:rPr>
                <w:sz w:val="20"/>
                <w:szCs w:val="20"/>
                <w:color w:val="auto"/>
              </w:rPr>
            </w:pPr>
            <w:r>
              <w:rPr>
                <w:rFonts w:ascii="Arial" w:cs="Arial" w:eastAsia="Arial" w:hAnsi="Arial"/>
                <w:sz w:val="18"/>
                <w:szCs w:val="18"/>
                <w:color w:val="auto"/>
                <w:w w:val="90"/>
              </w:rPr>
              <w:t>0-5%</w:t>
            </w:r>
          </w:p>
        </w:tc>
      </w:tr>
      <w:tr>
        <w:trPr>
          <w:trHeight w:val="223"/>
        </w:trPr>
        <w:tc>
          <w:tcPr>
            <w:tcW w:w="2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5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Discount rate</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(3.51%)</w:t>
            </w:r>
          </w:p>
        </w:tc>
      </w:tr>
      <w:tr>
        <w:trPr>
          <w:trHeight w:val="211"/>
        </w:trPr>
        <w:tc>
          <w:tcPr>
            <w:tcW w:w="2040" w:type="dxa"/>
            <w:vAlign w:val="bottom"/>
          </w:tcPr>
          <w:p>
            <w:pPr>
              <w:spacing w:after="0"/>
              <w:rPr>
                <w:sz w:val="20"/>
                <w:szCs w:val="20"/>
                <w:color w:val="auto"/>
              </w:rPr>
            </w:pPr>
            <w:r>
              <w:rPr>
                <w:rFonts w:ascii="Arial" w:cs="Arial" w:eastAsia="Arial" w:hAnsi="Arial"/>
                <w:sz w:val="18"/>
                <w:szCs w:val="18"/>
                <w:color w:val="auto"/>
              </w:rPr>
              <w:t>Collateral dependent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Collateral based</w:t>
            </w:r>
          </w:p>
        </w:tc>
        <w:tc>
          <w:tcPr>
            <w:tcW w:w="3400" w:type="dxa"/>
            <w:vAlign w:val="bottom"/>
            <w:gridSpan w:val="2"/>
          </w:tcPr>
          <w:p>
            <w:pPr>
              <w:spacing w:after="0"/>
              <w:rPr>
                <w:sz w:val="20"/>
                <w:szCs w:val="20"/>
                <w:color w:val="auto"/>
              </w:rPr>
            </w:pPr>
            <w:r>
              <w:rPr>
                <w:rFonts w:ascii="Arial" w:cs="Arial" w:eastAsia="Arial" w:hAnsi="Arial"/>
                <w:sz w:val="18"/>
                <w:szCs w:val="18"/>
                <w:color w:val="auto"/>
                <w:w w:val="96"/>
              </w:rPr>
              <w:t>Discount to reflect current market conditions</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0-50%</w:t>
            </w:r>
          </w:p>
        </w:tc>
      </w:tr>
      <w:tr>
        <w:trPr>
          <w:trHeight w:val="223"/>
        </w:trPr>
        <w:tc>
          <w:tcPr>
            <w:tcW w:w="2040" w:type="dxa"/>
            <w:vAlign w:val="bottom"/>
          </w:tcPr>
          <w:p>
            <w:pPr>
              <w:ind w:left="140"/>
              <w:spacing w:after="0"/>
              <w:rPr>
                <w:sz w:val="20"/>
                <w:szCs w:val="20"/>
                <w:color w:val="auto"/>
              </w:rPr>
            </w:pPr>
            <w:r>
              <w:rPr>
                <w:rFonts w:ascii="Arial" w:cs="Arial" w:eastAsia="Arial" w:hAnsi="Arial"/>
                <w:sz w:val="18"/>
                <w:szCs w:val="18"/>
                <w:color w:val="auto"/>
              </w:rPr>
              <w:t>impaired loans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measurements</w:t>
            </w:r>
          </w:p>
        </w:tc>
        <w:tc>
          <w:tcPr>
            <w:tcW w:w="3400" w:type="dxa"/>
            <w:vAlign w:val="bottom"/>
            <w:gridSpan w:val="2"/>
          </w:tcPr>
          <w:p>
            <w:pPr>
              <w:spacing w:after="0"/>
              <w:rPr>
                <w:sz w:val="20"/>
                <w:szCs w:val="20"/>
                <w:color w:val="auto"/>
              </w:rPr>
            </w:pPr>
            <w:r>
              <w:rPr>
                <w:rFonts w:ascii="Arial" w:cs="Arial" w:eastAsia="Arial" w:hAnsi="Arial"/>
                <w:sz w:val="18"/>
                <w:szCs w:val="18"/>
                <w:color w:val="auto"/>
              </w:rPr>
              <w:t>and ultimate collectability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(12.38%)</w:t>
            </w:r>
          </w:p>
        </w:tc>
      </w:tr>
      <w:tr>
        <w:trPr>
          <w:trHeight w:val="212"/>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 %</w:t>
            </w:r>
          </w:p>
        </w:tc>
      </w:tr>
      <w:tr>
        <w:trPr>
          <w:trHeight w:val="223"/>
        </w:trPr>
        <w:tc>
          <w:tcPr>
            <w:tcW w:w="2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commercial</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 — )</w:t>
            </w:r>
          </w:p>
        </w:tc>
      </w:tr>
    </w:tbl>
    <w:p>
      <w:pPr>
        <w:spacing w:after="0" w:line="198"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The Company also has other assets, which under certain conditions, are subject to measurement at fair value. These assets include loans held for sale and mortgage servicing rights. The Company estimated the fair values of these assets utilizing Level 3 inputs, including, the discounted present value of expected future cash flows. At December 31, 2019, the Company estimates that there is no impairment of these assets and therefore, no impairment charge to other expense was required to adjust these assets to their estimated fair values.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Note 18 – Condensed Financial Statements of Parent Company</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1740" w:type="dxa"/>
            <w:vAlign w:val="bottom"/>
          </w:tcPr>
          <w:p>
            <w:pPr>
              <w:spacing w:after="0"/>
              <w:rPr>
                <w:sz w:val="24"/>
                <w:szCs w:val="24"/>
                <w:color w:val="auto"/>
              </w:rPr>
            </w:pPr>
          </w:p>
        </w:tc>
        <w:tc>
          <w:tcPr>
            <w:tcW w:w="4760" w:type="dxa"/>
            <w:vAlign w:val="bottom"/>
          </w:tcPr>
          <w:p>
            <w:pPr>
              <w:ind w:left="2100"/>
              <w:spacing w:after="0"/>
              <w:rPr>
                <w:sz w:val="20"/>
                <w:szCs w:val="20"/>
                <w:color w:val="auto"/>
              </w:rPr>
            </w:pPr>
            <w:r>
              <w:rPr>
                <w:rFonts w:ascii="Arial" w:cs="Arial" w:eastAsia="Arial" w:hAnsi="Arial"/>
                <w:sz w:val="18"/>
                <w:szCs w:val="18"/>
                <w:b w:val="1"/>
                <w:bCs w:val="1"/>
                <w:color w:val="auto"/>
              </w:rPr>
              <w:t>Balance Sheets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ind w:left="4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476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Cash</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Related party receivables: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60" w:type="dxa"/>
            <w:vAlign w:val="bottom"/>
          </w:tcPr>
          <w:p>
            <w:pPr>
              <w:ind w:left="460"/>
              <w:spacing w:after="0"/>
              <w:rPr>
                <w:sz w:val="20"/>
                <w:szCs w:val="20"/>
                <w:color w:val="auto"/>
              </w:rPr>
            </w:pPr>
            <w:r>
              <w:rPr>
                <w:rFonts w:ascii="Arial" w:cs="Arial" w:eastAsia="Arial" w:hAnsi="Arial"/>
                <w:sz w:val="18"/>
                <w:szCs w:val="18"/>
                <w:color w:val="auto"/>
              </w:rPr>
              <w:t>Dividends and accounts receivable from subsidiary</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interest receivable - municipals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Securities - municipals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17,196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Certificate of deposits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Investment in subsidiaries</w:t>
            </w: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206,553</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232,159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76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Liabilities</w:t>
            </w: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expenses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Dividends payable</w:t>
            </w: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gridSpan w:val="2"/>
          </w:tcPr>
          <w:p>
            <w:pPr>
              <w:ind w:left="1720"/>
              <w:spacing w:after="0"/>
              <w:rPr>
                <w:sz w:val="20"/>
                <w:szCs w:val="20"/>
                <w:color w:val="auto"/>
              </w:rPr>
            </w:pPr>
            <w:r>
              <w:rPr>
                <w:rFonts w:ascii="Arial" w:cs="Arial" w:eastAsia="Arial" w:hAnsi="Arial"/>
                <w:sz w:val="18"/>
                <w:szCs w:val="18"/>
                <w:b w:val="1"/>
                <w:bCs w:val="1"/>
                <w:color w:val="auto"/>
              </w:rPr>
              <w:t>Stockholders' Equity</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230,258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40" w:type="dxa"/>
            <w:vAlign w:val="bottom"/>
          </w:tcPr>
          <w:p>
            <w:pPr>
              <w:spacing w:after="0"/>
              <w:rPr>
                <w:sz w:val="18"/>
                <w:szCs w:val="18"/>
                <w:color w:val="auto"/>
              </w:rPr>
            </w:pPr>
          </w:p>
        </w:tc>
        <w:tc>
          <w:tcPr>
            <w:tcW w:w="4760" w:type="dxa"/>
            <w:vAlign w:val="bottom"/>
            <w:vMerge w:val="continue"/>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232,159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7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4940" w:type="dxa"/>
            <w:vAlign w:val="bottom"/>
          </w:tcPr>
          <w:p>
            <w:pPr>
              <w:ind w:left="740"/>
              <w:spacing w:after="0"/>
              <w:rPr>
                <w:sz w:val="20"/>
                <w:szCs w:val="20"/>
                <w:color w:val="auto"/>
              </w:rPr>
            </w:pPr>
            <w:r>
              <w:rPr>
                <w:rFonts w:ascii="Arial" w:cs="Arial" w:eastAsia="Arial" w:hAnsi="Arial"/>
                <w:sz w:val="18"/>
                <w:szCs w:val="18"/>
                <w:b w:val="1"/>
                <w:bCs w:val="1"/>
                <w:color w:val="auto"/>
                <w:w w:val="96"/>
              </w:rPr>
              <w:t>Statements of Income and Comprehensive Income</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40" w:type="dxa"/>
            <w:vAlign w:val="bottom"/>
            <w:tcBorders>
              <w:bottom w:val="single" w:sz="8" w:color="CFF0FC"/>
            </w:tcBorders>
          </w:tcPr>
          <w:p>
            <w:pPr>
              <w:spacing w:after="0"/>
              <w:rPr>
                <w:sz w:val="18"/>
                <w:szCs w:val="18"/>
                <w:color w:val="auto"/>
              </w:rPr>
            </w:pPr>
          </w:p>
        </w:tc>
        <w:tc>
          <w:tcPr>
            <w:tcW w:w="4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Dividends from subsidiaries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13,137</w:t>
            </w:r>
          </w:p>
        </w:tc>
        <w:tc>
          <w:tcPr>
            <w:tcW w:w="12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8,350</w:t>
            </w:r>
          </w:p>
        </w:tc>
        <w:tc>
          <w:tcPr>
            <w:tcW w:w="2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 municipals / certificates of deposit</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Gain (loss) on sales of available-for-sale securities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income</w:t>
            </w:r>
          </w:p>
        </w:tc>
        <w:tc>
          <w:tcPr>
            <w:tcW w:w="4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13,511</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8,720</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7,163</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vMerge w:val="restart"/>
          </w:tcPr>
          <w:p>
            <w:pPr>
              <w:spacing w:after="0"/>
              <w:rPr>
                <w:sz w:val="18"/>
                <w:szCs w:val="18"/>
                <w:color w:val="auto"/>
              </w:rPr>
            </w:pPr>
          </w:p>
        </w:tc>
        <w:tc>
          <w:tcPr>
            <w:tcW w:w="4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60" w:type="dxa"/>
            <w:vAlign w:val="bottom"/>
            <w:vMerge w:val="continue"/>
          </w:tcPr>
          <w:p>
            <w:pPr>
              <w:spacing w:after="0"/>
              <w:rPr>
                <w:sz w:val="17"/>
                <w:szCs w:val="17"/>
                <w:color w:val="auto"/>
              </w:rPr>
            </w:pPr>
          </w:p>
        </w:tc>
        <w:tc>
          <w:tcPr>
            <w:tcW w:w="4940" w:type="dxa"/>
            <w:vAlign w:val="bottom"/>
          </w:tcPr>
          <w:p>
            <w:pPr>
              <w:spacing w:after="0" w:line="206" w:lineRule="exact"/>
              <w:rPr>
                <w:sz w:val="20"/>
                <w:szCs w:val="20"/>
                <w:color w:val="auto"/>
              </w:rPr>
            </w:pPr>
            <w:r>
              <w:rPr>
                <w:rFonts w:ascii="Arial" w:cs="Arial" w:eastAsia="Arial" w:hAnsi="Arial"/>
                <w:sz w:val="18"/>
                <w:szCs w:val="18"/>
                <w:b w:val="1"/>
                <w:bCs w:val="1"/>
                <w:color w:val="auto"/>
              </w:rPr>
              <w:t>Income Before Income Taxes and Equity in</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940" w:type="dxa"/>
            <w:vAlign w:val="bottom"/>
          </w:tcPr>
          <w:p>
            <w:pPr>
              <w:ind w:left="120"/>
              <w:spacing w:after="0"/>
              <w:rPr>
                <w:sz w:val="20"/>
                <w:szCs w:val="20"/>
                <w:color w:val="auto"/>
              </w:rPr>
            </w:pPr>
            <w:r>
              <w:rPr>
                <w:rFonts w:ascii="Arial" w:cs="Arial" w:eastAsia="Arial" w:hAnsi="Arial"/>
                <w:sz w:val="18"/>
                <w:szCs w:val="18"/>
                <w:b w:val="1"/>
                <w:bCs w:val="1"/>
                <w:color w:val="auto"/>
              </w:rPr>
              <w:t>Undistributed Earnings of Subsidiaries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 (Benefit)</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in undistributed earnings of subsidiaries</w:t>
            </w:r>
          </w:p>
        </w:tc>
        <w:tc>
          <w:tcPr>
            <w:tcW w:w="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6,887</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00" w:type="dxa"/>
            <w:vAlign w:val="bottom"/>
            <w:gridSpan w:val="2"/>
          </w:tcPr>
          <w:p>
            <w:pPr>
              <w:ind w:left="116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w:t>
            </w:r>
          </w:p>
        </w:tc>
        <w:tc>
          <w:tcPr>
            <w:tcW w:w="4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Unrealized gains (losses) on securities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4940" w:type="dxa"/>
            <w:vAlign w:val="bottom"/>
            <w:vMerge w:val="continue"/>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22,514</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60" w:type="dxa"/>
            <w:vAlign w:val="bottom"/>
            <w:shd w:val="clear" w:color="auto" w:fill="E5B8B7"/>
          </w:tcPr>
          <w:p>
            <w:pPr>
              <w:spacing w:after="0"/>
              <w:rPr>
                <w:sz w:val="18"/>
                <w:szCs w:val="18"/>
                <w:color w:val="auto"/>
              </w:rPr>
            </w:pPr>
          </w:p>
        </w:tc>
        <w:tc>
          <w:tcPr>
            <w:tcW w:w="4940" w:type="dxa"/>
            <w:vAlign w:val="bottom"/>
            <w:shd w:val="clear" w:color="auto" w:fill="E5B8B7"/>
          </w:tcPr>
          <w:p>
            <w:pPr>
              <w:spacing w:after="0"/>
              <w:rPr>
                <w:sz w:val="18"/>
                <w:szCs w:val="18"/>
                <w:color w:val="auto"/>
              </w:rPr>
            </w:pPr>
          </w:p>
        </w:tc>
        <w:tc>
          <w:tcPr>
            <w:tcW w:w="440" w:type="dxa"/>
            <w:vAlign w:val="bottom"/>
            <w:shd w:val="clear" w:color="auto" w:fill="E5B8B7"/>
          </w:tcPr>
          <w:p>
            <w:pPr>
              <w:spacing w:after="0"/>
              <w:rPr>
                <w:sz w:val="18"/>
                <w:szCs w:val="18"/>
                <w:color w:val="auto"/>
              </w:rPr>
            </w:pPr>
          </w:p>
        </w:tc>
        <w:tc>
          <w:tcPr>
            <w:tcW w:w="220" w:type="dxa"/>
            <w:vAlign w:val="bottom"/>
            <w:shd w:val="clear" w:color="auto" w:fill="E5B8B7"/>
          </w:tcPr>
          <w:p>
            <w:pPr>
              <w:spacing w:after="0"/>
              <w:rPr>
                <w:sz w:val="18"/>
                <w:szCs w:val="18"/>
                <w:color w:val="auto"/>
              </w:rPr>
            </w:pPr>
          </w:p>
        </w:tc>
        <w:tc>
          <w:tcPr>
            <w:tcW w:w="860" w:type="dxa"/>
            <w:vAlign w:val="bottom"/>
            <w:shd w:val="clear" w:color="auto" w:fill="E5B8B7"/>
          </w:tcPr>
          <w:p>
            <w:pPr>
              <w:spacing w:after="0"/>
              <w:rPr>
                <w:sz w:val="18"/>
                <w:szCs w:val="18"/>
                <w:color w:val="auto"/>
              </w:rPr>
            </w:pPr>
          </w:p>
        </w:tc>
        <w:tc>
          <w:tcPr>
            <w:tcW w:w="120" w:type="dxa"/>
            <w:vAlign w:val="bottom"/>
            <w:shd w:val="clear" w:color="auto" w:fill="E5B8B7"/>
          </w:tcPr>
          <w:p>
            <w:pPr>
              <w:spacing w:after="0"/>
              <w:rPr>
                <w:sz w:val="18"/>
                <w:szCs w:val="18"/>
                <w:color w:val="auto"/>
              </w:rPr>
            </w:pPr>
          </w:p>
        </w:tc>
        <w:tc>
          <w:tcPr>
            <w:tcW w:w="80" w:type="dxa"/>
            <w:vAlign w:val="bottom"/>
            <w:shd w:val="clear" w:color="auto" w:fill="E5B8B7"/>
          </w:tcPr>
          <w:p>
            <w:pPr>
              <w:spacing w:after="0"/>
              <w:rPr>
                <w:sz w:val="18"/>
                <w:szCs w:val="18"/>
                <w:color w:val="auto"/>
              </w:rPr>
            </w:pPr>
          </w:p>
        </w:tc>
        <w:tc>
          <w:tcPr>
            <w:tcW w:w="220" w:type="dxa"/>
            <w:vAlign w:val="bottom"/>
            <w:shd w:val="clear" w:color="auto" w:fill="E5B8B7"/>
          </w:tcPr>
          <w:p>
            <w:pPr>
              <w:spacing w:after="0"/>
              <w:rPr>
                <w:sz w:val="18"/>
                <w:szCs w:val="18"/>
                <w:color w:val="auto"/>
              </w:rPr>
            </w:pPr>
          </w:p>
        </w:tc>
        <w:tc>
          <w:tcPr>
            <w:tcW w:w="860" w:type="dxa"/>
            <w:vAlign w:val="bottom"/>
            <w:shd w:val="clear" w:color="auto" w:fill="E5B8B7"/>
          </w:tcPr>
          <w:p>
            <w:pPr>
              <w:spacing w:after="0"/>
              <w:rPr>
                <w:sz w:val="18"/>
                <w:szCs w:val="18"/>
                <w:color w:val="auto"/>
              </w:rPr>
            </w:pPr>
          </w:p>
        </w:tc>
        <w:tc>
          <w:tcPr>
            <w:tcW w:w="200" w:type="dxa"/>
            <w:vAlign w:val="bottom"/>
            <w:shd w:val="clear" w:color="auto" w:fill="E5B8B7"/>
          </w:tcPr>
          <w:p>
            <w:pPr>
              <w:spacing w:after="0"/>
              <w:rPr>
                <w:sz w:val="18"/>
                <w:szCs w:val="18"/>
                <w:color w:val="auto"/>
              </w:rPr>
            </w:pPr>
          </w:p>
        </w:tc>
        <w:tc>
          <w:tcPr>
            <w:tcW w:w="220" w:type="dxa"/>
            <w:vAlign w:val="bottom"/>
            <w:shd w:val="clear" w:color="auto" w:fill="E5B8B7"/>
          </w:tcPr>
          <w:p>
            <w:pPr>
              <w:spacing w:after="0"/>
              <w:rPr>
                <w:sz w:val="18"/>
                <w:szCs w:val="18"/>
                <w:color w:val="auto"/>
              </w:rPr>
            </w:pPr>
          </w:p>
        </w:tc>
        <w:tc>
          <w:tcPr>
            <w:tcW w:w="860" w:type="dxa"/>
            <w:vAlign w:val="bottom"/>
            <w:shd w:val="clear" w:color="auto" w:fill="E5B8B7"/>
          </w:tcPr>
          <w:p>
            <w:pPr>
              <w:spacing w:after="0"/>
              <w:rPr>
                <w:sz w:val="18"/>
                <w:szCs w:val="18"/>
                <w:color w:val="auto"/>
              </w:rPr>
            </w:pPr>
          </w:p>
        </w:tc>
        <w:tc>
          <w:tcPr>
            <w:tcW w:w="100" w:type="dxa"/>
            <w:vAlign w:val="bottom"/>
            <w:shd w:val="clear" w:color="auto" w:fill="E5B8B7"/>
          </w:tcPr>
          <w:p>
            <w:pPr>
              <w:spacing w:after="0"/>
              <w:rPr>
                <w:sz w:val="18"/>
                <w:szCs w:val="18"/>
                <w:color w:val="auto"/>
              </w:rPr>
            </w:pPr>
          </w:p>
        </w:tc>
        <w:tc>
          <w:tcPr>
            <w:tcW w:w="1140" w:type="dxa"/>
            <w:vAlign w:val="bottom"/>
            <w:shd w:val="clear" w:color="auto" w:fill="E5B8B7"/>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40" w:type="dxa"/>
            <w:vAlign w:val="bottom"/>
          </w:tcPr>
          <w:p>
            <w:pPr>
              <w:spacing w:after="0"/>
              <w:rPr>
                <w:sz w:val="20"/>
                <w:szCs w:val="20"/>
                <w:color w:val="auto"/>
              </w:rPr>
            </w:pPr>
            <w:r>
              <w:rPr>
                <w:rFonts w:ascii="Arial" w:cs="Arial" w:eastAsia="Arial" w:hAnsi="Arial"/>
                <w:sz w:val="18"/>
                <w:szCs w:val="18"/>
                <w:b w:val="1"/>
                <w:bCs w:val="1"/>
                <w:color w:val="auto"/>
                <w:w w:val="96"/>
              </w:rPr>
              <w:t>Note 18 – Condensed Financial Statements of Parent Company (Continued)</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6240" w:type="dxa"/>
            <w:vAlign w:val="bottom"/>
          </w:tcPr>
          <w:p>
            <w:pPr>
              <w:ind w:left="2340"/>
              <w:spacing w:after="0"/>
              <w:rPr>
                <w:sz w:val="20"/>
                <w:szCs w:val="20"/>
                <w:color w:val="auto"/>
              </w:rPr>
            </w:pPr>
            <w:r>
              <w:rPr>
                <w:rFonts w:ascii="Arial" w:cs="Arial" w:eastAsia="Arial" w:hAnsi="Arial"/>
                <w:sz w:val="18"/>
                <w:szCs w:val="18"/>
                <w:b w:val="1"/>
                <w:bCs w:val="1"/>
                <w:color w:val="auto"/>
              </w:rPr>
              <w:t>Statements of Cash Flows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87"/>
              </w:rPr>
              <w:t>(In Thousands)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40" w:type="dxa"/>
            <w:vAlign w:val="bottom"/>
            <w:tcBorders>
              <w:bottom w:val="single" w:sz="8" w:color="CFF0FC"/>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18,402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14,949</w:t>
            </w:r>
          </w:p>
        </w:tc>
        <w:tc>
          <w:tcPr>
            <w:tcW w:w="24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income to net cash</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provided by operating activities:</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40" w:type="dxa"/>
            <w:vAlign w:val="bottom"/>
          </w:tcPr>
          <w:p>
            <w:pPr>
              <w:ind w:left="240"/>
              <w:spacing w:after="0"/>
              <w:rPr>
                <w:sz w:val="20"/>
                <w:szCs w:val="20"/>
                <w:color w:val="auto"/>
              </w:rPr>
            </w:pPr>
            <w:r>
              <w:rPr>
                <w:rFonts w:ascii="Arial" w:cs="Arial" w:eastAsia="Arial" w:hAnsi="Arial"/>
                <w:sz w:val="18"/>
                <w:szCs w:val="18"/>
                <w:color w:val="auto"/>
              </w:rPr>
              <w:t>Equity in undistributed net income (distributions in</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380"/>
              <w:spacing w:after="0"/>
              <w:rPr>
                <w:sz w:val="20"/>
                <w:szCs w:val="20"/>
                <w:color w:val="auto"/>
              </w:rPr>
            </w:pPr>
            <w:r>
              <w:rPr>
                <w:rFonts w:ascii="Arial" w:cs="Arial" w:eastAsia="Arial" w:hAnsi="Arial"/>
                <w:sz w:val="18"/>
                <w:szCs w:val="18"/>
                <w:color w:val="auto"/>
              </w:rPr>
              <w:t>excess earnings) of subsidiaries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(6,887)</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24"/>
        </w:trPr>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and amortization of securities</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480"/>
              <w:spacing w:after="0"/>
              <w:rPr>
                <w:sz w:val="20"/>
                <w:szCs w:val="20"/>
                <w:color w:val="auto"/>
              </w:rPr>
            </w:pPr>
            <w:r>
              <w:rPr>
                <w:rFonts w:ascii="Arial" w:cs="Arial" w:eastAsia="Arial" w:hAnsi="Arial"/>
                <w:sz w:val="18"/>
                <w:szCs w:val="18"/>
                <w:color w:val="auto"/>
              </w:rPr>
              <w:t>Other assets and liabilities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(6,991)</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11,173</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Activity in available-for-sale securities:</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480"/>
              <w:spacing w:after="0"/>
              <w:rPr>
                <w:sz w:val="20"/>
                <w:szCs w:val="20"/>
                <w:color w:val="auto"/>
              </w:rPr>
            </w:pPr>
            <w:r>
              <w:rPr>
                <w:rFonts w:ascii="Arial" w:cs="Arial" w:eastAsia="Arial" w:hAnsi="Arial"/>
                <w:sz w:val="18"/>
                <w:szCs w:val="18"/>
                <w:color w:val="auto"/>
              </w:rPr>
              <w:t>Maturities, prepayments and calls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Sales</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480"/>
              <w:spacing w:after="0"/>
              <w:rPr>
                <w:sz w:val="20"/>
                <w:szCs w:val="20"/>
                <w:color w:val="auto"/>
              </w:rPr>
            </w:pPr>
            <w:r>
              <w:rPr>
                <w:rFonts w:ascii="Arial" w:cs="Arial" w:eastAsia="Arial" w:hAnsi="Arial"/>
                <w:sz w:val="18"/>
                <w:szCs w:val="18"/>
                <w:color w:val="auto"/>
              </w:rPr>
              <w:t>Purchases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(11,453)</w:t>
            </w:r>
          </w:p>
        </w:tc>
        <w:tc>
          <w:tcPr>
            <w:tcW w:w="1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(2,695)</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24"/>
        </w:trPr>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certificates of deposit</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5,635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24"/>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240"/>
              <w:spacing w:after="0"/>
              <w:rPr>
                <w:sz w:val="20"/>
                <w:szCs w:val="20"/>
                <w:color w:val="auto"/>
              </w:rPr>
            </w:pPr>
            <w:r>
              <w:rPr>
                <w:rFonts w:ascii="Arial" w:cs="Arial" w:eastAsia="Arial" w:hAnsi="Arial"/>
                <w:sz w:val="18"/>
                <w:szCs w:val="18"/>
                <w:color w:val="auto"/>
              </w:rPr>
              <w:t>Payment of dividends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(6,345)</w:t>
            </w:r>
          </w:p>
        </w:tc>
        <w:tc>
          <w:tcPr>
            <w:tcW w:w="1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(4,956)</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24"/>
        </w:trPr>
        <w:tc>
          <w:tcPr>
            <w:tcW w:w="6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Treasury stock</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720"/>
              <w:spacing w:after="0"/>
              <w:rPr>
                <w:sz w:val="20"/>
                <w:szCs w:val="20"/>
                <w:color w:val="auto"/>
              </w:rPr>
            </w:pPr>
            <w:r>
              <w:rPr>
                <w:rFonts w:ascii="Arial" w:cs="Arial" w:eastAsia="Arial" w:hAnsi="Arial"/>
                <w:sz w:val="18"/>
                <w:szCs w:val="18"/>
                <w:color w:val="auto"/>
              </w:rPr>
              <w:t>Net cash used in financing activities</w:t>
            </w: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(5,446)</w:t>
            </w: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0"/>
        </w:trPr>
        <w:tc>
          <w:tcPr>
            <w:tcW w:w="62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5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vMerge w:val="continue"/>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4"/>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133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9795" cy="13398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2019, 2018, 2017</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Note 19 – Quarterly Financial Data</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Quarterly Financial Data - UNAUDITED</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color w:val="auto"/>
                <w:w w:val="96"/>
              </w:rPr>
              <w:t>Quarter Ended in 2019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Mar 31</w:t>
            </w:r>
          </w:p>
        </w:tc>
        <w:tc>
          <w:tcPr>
            <w:tcW w:w="1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Sep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Dec 31</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102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15,862</w:t>
            </w:r>
          </w:p>
        </w:tc>
        <w:tc>
          <w:tcPr>
            <w:tcW w:w="2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18,283</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17,012</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2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4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102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Net interest income after provision of loan loss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(8,816)</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(6,731)</w:t>
            </w: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(7,445)</w:t>
            </w:r>
          </w:p>
        </w:tc>
        <w:tc>
          <w:tcPr>
            <w:tcW w:w="1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17"/>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Net income before income taxes</w:t>
            </w:r>
          </w:p>
        </w:tc>
        <w:tc>
          <w:tcPr>
            <w:tcW w:w="1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02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3,224</w:t>
            </w:r>
          </w:p>
        </w:tc>
        <w:tc>
          <w:tcPr>
            <w:tcW w:w="20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4,275</w:t>
            </w:r>
          </w:p>
        </w:tc>
        <w:tc>
          <w:tcPr>
            <w:tcW w:w="1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10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340" w:type="dxa"/>
            <w:vAlign w:val="bottom"/>
            <w:vMerge w:val="continue"/>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0.29</w:t>
            </w: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0.56</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0.38</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shd w:val="clear" w:color="auto" w:fill="CFF0FC"/>
          </w:tcPr>
          <w:p>
            <w:pPr>
              <w:spacing w:after="0" w:line="20" w:lineRule="exact"/>
              <w:rPr>
                <w:sz w:val="1"/>
                <w:szCs w:val="1"/>
                <w:color w:val="auto"/>
              </w:rPr>
            </w:pPr>
          </w:p>
        </w:tc>
        <w:tc>
          <w:tcPr>
            <w:tcW w:w="10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20" w:type="dxa"/>
            <w:vAlign w:val="bottom"/>
            <w:gridSpan w:val="2"/>
            <w:vMerge w:val="restart"/>
          </w:tcPr>
          <w:p>
            <w:pPr>
              <w:ind w:left="580"/>
              <w:spacing w:after="0"/>
              <w:rPr>
                <w:sz w:val="20"/>
                <w:szCs w:val="20"/>
                <w:color w:val="auto"/>
              </w:rPr>
            </w:pPr>
            <w:r>
              <w:rPr>
                <w:rFonts w:ascii="Arial" w:cs="Arial" w:eastAsia="Arial" w:hAnsi="Arial"/>
                <w:sz w:val="18"/>
                <w:szCs w:val="18"/>
                <w:color w:val="auto"/>
              </w:rPr>
              <w:t>Average common shares outstanding</w:t>
            </w: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11,089,839</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11,106,367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11,121,426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11,137,004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color w:val="auto"/>
                <w:w w:val="97"/>
              </w:rPr>
              <w:t>Quarter Ended in 2018</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Mar 31</w:t>
            </w:r>
          </w:p>
        </w:tc>
        <w:tc>
          <w:tcPr>
            <w:tcW w:w="1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Sep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102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11,136</w:t>
            </w:r>
          </w:p>
        </w:tc>
        <w:tc>
          <w:tcPr>
            <w:tcW w:w="2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11,537</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11,753</w:t>
            </w:r>
          </w:p>
        </w:tc>
        <w:tc>
          <w:tcPr>
            <w:tcW w:w="12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2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4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102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Net interest income after provision for loan loss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(5,030)</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(4,832)</w:t>
            </w: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(5,443)</w:t>
            </w:r>
          </w:p>
        </w:tc>
        <w:tc>
          <w:tcPr>
            <w:tcW w:w="1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17"/>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Net income before income taxes</w:t>
            </w:r>
          </w:p>
        </w:tc>
        <w:tc>
          <w:tcPr>
            <w:tcW w:w="1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02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3,767</w:t>
            </w:r>
          </w:p>
        </w:tc>
        <w:tc>
          <w:tcPr>
            <w:tcW w:w="20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4,114</w:t>
            </w:r>
          </w:p>
        </w:tc>
        <w:tc>
          <w:tcPr>
            <w:tcW w:w="1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10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340" w:type="dxa"/>
            <w:vAlign w:val="bottom"/>
            <w:vMerge w:val="continue"/>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0.41</w:t>
            </w: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0.44</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0.42</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shd w:val="clear" w:color="auto" w:fill="CFF0FC"/>
          </w:tcPr>
          <w:p>
            <w:pPr>
              <w:spacing w:after="0" w:line="20" w:lineRule="exact"/>
              <w:rPr>
                <w:sz w:val="1"/>
                <w:szCs w:val="1"/>
                <w:color w:val="auto"/>
              </w:rPr>
            </w:pPr>
          </w:p>
        </w:tc>
        <w:tc>
          <w:tcPr>
            <w:tcW w:w="10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20" w:type="dxa"/>
            <w:vAlign w:val="bottom"/>
            <w:gridSpan w:val="2"/>
            <w:vMerge w:val="restart"/>
          </w:tcPr>
          <w:p>
            <w:pPr>
              <w:ind w:left="580"/>
              <w:spacing w:after="0"/>
              <w:rPr>
                <w:sz w:val="20"/>
                <w:szCs w:val="20"/>
                <w:color w:val="auto"/>
              </w:rPr>
            </w:pPr>
            <w:r>
              <w:rPr>
                <w:rFonts w:ascii="Arial" w:cs="Arial" w:eastAsia="Arial" w:hAnsi="Arial"/>
                <w:sz w:val="18"/>
                <w:szCs w:val="18"/>
                <w:color w:val="auto"/>
              </w:rPr>
              <w:t>Average common shares outstanding</w:t>
            </w: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9,265,959</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9,265,898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9,274,507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9,285,261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auto"/>
        </w:rPr>
        <w:t>ITEM 9. CHANGE IN AND DISAGREEMENTS WITH ACCOUNTING AND FINANCIAL DISCLOSURE</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 disagreements exist on accounting and financial disclosures or related matter.</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 REPORT REGARDING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DISCLOSURE CONTROLS AND PROCEDURES</w:t>
      </w:r>
    </w:p>
    <w:p>
      <w:pPr>
        <w:spacing w:after="0" w:line="97"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2019, pursuant to Exchange Act 13a-15. Based upon that evaluation, the Chief Executive Officer and Chief Financial Officer concluded that the Company’s disclosure controls and procedures were effective as of December 31, 2019, in timely alerting them to material information relating to the Company (including its consolidated subsidiaries) required to be included in the Company’s periodic SEC filings.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 REPORT REGARDING INTERNAL CONTROL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WITH DESIGNATED LAWS AND REGULATIONS</w:t>
      </w:r>
    </w:p>
    <w:p>
      <w:pPr>
        <w:spacing w:after="0" w:line="97"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Management of Farmers &amp; Merchants Bancorp, Inc. and its subsidiary is responsible for preparing the Bank’s annual financial statements. Management is also responsible for establishing and maintaining internal control over financial reporting presented in conformity with both generally accepted accounting principles and regulatory reporting in conformity with the Federal Financial Institutions Examination Council Instructions for Consolidated Reports of Condition and Income (call report instructions). The Bank’s internal control contains monitoring mechanisms, and actions are taken to correct deficiencies identified.</w:t>
      </w:r>
    </w:p>
    <w:p>
      <w:pPr>
        <w:spacing w:after="0" w:line="89"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There are inherent limitations in the effectiveness of any internal control, including the possibility of human error and the circumvention or overriding of controls. Accordingly, even effective internal control can provide only reasonable assurance with respect to financial statement preparation. Further, because of changes in conditions, the effectiveness of internal control may vary over time.</w:t>
      </w:r>
    </w:p>
    <w:p>
      <w:pPr>
        <w:spacing w:after="0" w:line="50"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It is also management’s responsibility to ensure satisfactory compliance with all designated laws and regulations and in particular, those laws and regulations concerning loans to insiders. The federal laws concerning loans to insiders are codified at 12 USC 375a and 375b, and the federal regulations are set forth at 12 CFR 23.5, 31, and 215.</w:t>
      </w:r>
    </w:p>
    <w:p>
      <w:pPr>
        <w:spacing w:after="0" w:line="83" w:lineRule="exact"/>
        <w:rPr>
          <w:sz w:val="20"/>
          <w:szCs w:val="20"/>
          <w:color w:val="auto"/>
        </w:rPr>
      </w:pPr>
    </w:p>
    <w:p>
      <w:pPr>
        <w:jc w:val="both"/>
        <w:ind w:left="820"/>
        <w:spacing w:after="0" w:line="28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2019. The registered public accounting firm that audited the financial statements included in this annual report has issued an attestation report on the Company’s internal control over financial reporting which can be found under Item 8 of this form 10-K.</w:t>
      </w:r>
    </w:p>
    <w:p>
      <w:pPr>
        <w:spacing w:after="0" w:line="62"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There was no change in the company’s internal control over financial reporting that occurred during the Company’s fiscal quarter ended December 31, 2019 that has materially affected, or is reasonably likely to materially affect, the Company’s internal control over financial reporting.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8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auto"/>
        </w:rPr>
        <w:t>PART III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AND EXECUTIVE OFFICERS OF THE REGISTRANT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ind w:left="600"/>
              <w:spacing w:after="0"/>
              <w:rPr>
                <w:sz w:val="20"/>
                <w:szCs w:val="20"/>
                <w:color w:val="auto"/>
              </w:rPr>
            </w:pPr>
            <w:r>
              <w:rPr>
                <w:rFonts w:ascii="Arial" w:cs="Arial" w:eastAsia="Arial" w:hAnsi="Arial"/>
                <w:sz w:val="18"/>
                <w:szCs w:val="18"/>
                <w:b w:val="1"/>
                <w:bCs w:val="1"/>
                <w:color w:val="auto"/>
              </w:rPr>
              <w:t>BOARD OF DIRECTORS</w:t>
            </w:r>
          </w:p>
        </w:tc>
        <w:tc>
          <w:tcPr>
            <w:tcW w:w="1240" w:type="dxa"/>
            <w:vAlign w:val="bottom"/>
          </w:tcPr>
          <w:p>
            <w:pPr>
              <w:spacing w:after="0"/>
              <w:rPr>
                <w:sz w:val="19"/>
                <w:szCs w:val="19"/>
                <w:color w:val="auto"/>
              </w:rPr>
            </w:pPr>
          </w:p>
        </w:tc>
      </w:tr>
      <w:tr>
        <w:trPr>
          <w:trHeight w:val="421"/>
        </w:trPr>
        <w:tc>
          <w:tcPr>
            <w:tcW w:w="4120" w:type="dxa"/>
            <w:vAlign w:val="bottom"/>
            <w:gridSpan w:val="5"/>
          </w:tcPr>
          <w:p>
            <w:pPr>
              <w:spacing w:after="0"/>
              <w:rPr>
                <w:sz w:val="20"/>
                <w:szCs w:val="20"/>
                <w:color w:val="auto"/>
              </w:rPr>
            </w:pPr>
            <w:r>
              <w:rPr>
                <w:rFonts w:ascii="Arial" w:cs="Arial" w:eastAsia="Arial" w:hAnsi="Arial"/>
                <w:sz w:val="18"/>
                <w:szCs w:val="18"/>
                <w:color w:val="auto"/>
                <w:w w:val="98"/>
              </w:rPr>
              <w:t>The information called for herein is presented below:</w:t>
            </w:r>
          </w:p>
        </w:tc>
        <w:tc>
          <w:tcPr>
            <w:tcW w:w="2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4"/>
        </w:trPr>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Principal Occupation or</w:t>
            </w:r>
          </w:p>
        </w:tc>
        <w:tc>
          <w:tcPr>
            <w:tcW w:w="1240" w:type="dxa"/>
            <w:vAlign w:val="bottom"/>
          </w:tcPr>
          <w:p>
            <w:pPr>
              <w:spacing w:after="0"/>
              <w:rPr>
                <w:sz w:val="20"/>
                <w:szCs w:val="20"/>
                <w:color w:val="auto"/>
              </w:rPr>
            </w:pPr>
            <w:r>
              <w:rPr>
                <w:rFonts w:ascii="Arial" w:cs="Arial" w:eastAsia="Arial" w:hAnsi="Arial"/>
                <w:sz w:val="18"/>
                <w:szCs w:val="18"/>
                <w:b w:val="1"/>
                <w:bCs w:val="1"/>
                <w:color w:val="auto"/>
              </w:rPr>
              <w:t>Year First</w:t>
            </w:r>
          </w:p>
        </w:tc>
      </w:tr>
      <w:tr>
        <w:trPr>
          <w:trHeight w:val="190"/>
        </w:trPr>
        <w:tc>
          <w:tcPr>
            <w:tcW w:w="23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Name</w:t>
            </w:r>
          </w:p>
        </w:tc>
        <w:tc>
          <w:tcPr>
            <w:tcW w:w="1780" w:type="dxa"/>
            <w:vAlign w:val="bottom"/>
            <w:gridSpan w:val="3"/>
          </w:tcPr>
          <w:p>
            <w:pPr>
              <w:ind w:left="760"/>
              <w:spacing w:after="0" w:line="189" w:lineRule="exact"/>
              <w:rPr>
                <w:sz w:val="20"/>
                <w:szCs w:val="20"/>
                <w:color w:val="auto"/>
              </w:rPr>
            </w:pPr>
            <w:r>
              <w:rPr>
                <w:rFonts w:ascii="Arial" w:cs="Arial" w:eastAsia="Arial" w:hAnsi="Arial"/>
                <w:sz w:val="18"/>
                <w:szCs w:val="18"/>
                <w:b w:val="1"/>
                <w:bCs w:val="1"/>
                <w:color w:val="auto"/>
              </w:rPr>
              <w:t>Age</w:t>
            </w:r>
          </w:p>
        </w:tc>
        <w:tc>
          <w:tcPr>
            <w:tcW w:w="56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Employment for Past Five Years</w:t>
            </w:r>
          </w:p>
        </w:tc>
        <w:tc>
          <w:tcPr>
            <w:tcW w:w="1240" w:type="dxa"/>
            <w:vAlign w:val="bottom"/>
          </w:tcPr>
          <w:p>
            <w:pPr>
              <w:spacing w:after="0" w:line="189" w:lineRule="exact"/>
              <w:rPr>
                <w:sz w:val="20"/>
                <w:szCs w:val="20"/>
                <w:color w:val="auto"/>
              </w:rPr>
            </w:pPr>
            <w:r>
              <w:rPr>
                <w:rFonts w:ascii="Arial" w:cs="Arial" w:eastAsia="Arial" w:hAnsi="Arial"/>
                <w:sz w:val="18"/>
                <w:szCs w:val="18"/>
                <w:b w:val="1"/>
                <w:bCs w:val="1"/>
                <w:color w:val="auto"/>
                <w:w w:val="85"/>
              </w:rPr>
              <w:t>Became Director</w:t>
            </w:r>
          </w:p>
        </w:tc>
      </w:tr>
      <w:tr>
        <w:trPr>
          <w:trHeight w:val="20"/>
        </w:trPr>
        <w:tc>
          <w:tcPr>
            <w:tcW w:w="4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29"/>
        </w:trPr>
        <w:tc>
          <w:tcPr>
            <w:tcW w:w="2340" w:type="dxa"/>
            <w:vAlign w:val="bottom"/>
            <w:gridSpan w:val="2"/>
          </w:tcPr>
          <w:p>
            <w:pPr>
              <w:spacing w:after="0"/>
              <w:rPr>
                <w:sz w:val="20"/>
                <w:szCs w:val="20"/>
                <w:color w:val="auto"/>
              </w:rPr>
            </w:pPr>
            <w:r>
              <w:rPr>
                <w:rFonts w:ascii="Arial" w:cs="Arial" w:eastAsia="Arial" w:hAnsi="Arial"/>
                <w:sz w:val="18"/>
                <w:szCs w:val="18"/>
                <w:color w:val="auto"/>
              </w:rPr>
              <w:t>Andrew J. Briggs</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1</w:t>
            </w:r>
            <w:r>
              <w:rPr>
                <w:rFonts w:ascii="Arial" w:cs="Arial" w:eastAsia="Arial" w:hAnsi="Arial"/>
                <w:sz w:val="14"/>
                <w:szCs w:val="14"/>
                <w:color w:val="auto"/>
              </w:rPr>
              <w:t>st</w:t>
            </w:r>
            <w:r>
              <w:rPr>
                <w:rFonts w:ascii="Arial" w:cs="Arial" w:eastAsia="Arial" w:hAnsi="Arial"/>
                <w:sz w:val="18"/>
                <w:szCs w:val="18"/>
                <w:color w:val="auto"/>
              </w:rPr>
              <w:t xml:space="preserve"> Sr. Vice President of Business Development</w:t>
            </w:r>
          </w:p>
        </w:tc>
        <w:tc>
          <w:tcPr>
            <w:tcW w:w="1240" w:type="dxa"/>
            <w:vAlign w:val="bottom"/>
          </w:tcPr>
          <w:p>
            <w:pPr>
              <w:spacing w:after="0"/>
              <w:rPr>
                <w:sz w:val="20"/>
                <w:szCs w:val="20"/>
                <w:color w:val="auto"/>
              </w:rPr>
            </w:pPr>
            <w:r>
              <w:rPr>
                <w:rFonts w:ascii="Arial" w:cs="Arial" w:eastAsia="Arial" w:hAnsi="Arial"/>
                <w:sz w:val="18"/>
                <w:szCs w:val="18"/>
                <w:color w:val="auto"/>
              </w:rPr>
              <w:t>2019</w:t>
            </w:r>
          </w:p>
        </w:tc>
      </w:tr>
      <w:tr>
        <w:trPr>
          <w:trHeight w:val="222"/>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Farmers &amp; Merchants State Bank</w:t>
            </w:r>
          </w:p>
        </w:tc>
        <w:tc>
          <w:tcPr>
            <w:tcW w:w="1240" w:type="dxa"/>
            <w:vAlign w:val="bottom"/>
          </w:tcPr>
          <w:p>
            <w:pPr>
              <w:spacing w:after="0"/>
              <w:rPr>
                <w:sz w:val="19"/>
                <w:szCs w:val="19"/>
                <w:color w:val="auto"/>
              </w:rPr>
            </w:pP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Eugene N. Burkholder</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Falor Farm Center, Inc.</w:t>
            </w:r>
          </w:p>
        </w:tc>
        <w:tc>
          <w:tcPr>
            <w:tcW w:w="1240" w:type="dxa"/>
            <w:vAlign w:val="bottom"/>
          </w:tcPr>
          <w:p>
            <w:pPr>
              <w:spacing w:after="0"/>
              <w:rPr>
                <w:sz w:val="20"/>
                <w:szCs w:val="20"/>
                <w:color w:val="auto"/>
              </w:rPr>
            </w:pPr>
            <w:r>
              <w:rPr>
                <w:rFonts w:ascii="Arial" w:cs="Arial" w:eastAsia="Arial" w:hAnsi="Arial"/>
                <w:sz w:val="18"/>
                <w:szCs w:val="18"/>
                <w:color w:val="auto"/>
              </w:rPr>
              <w:t>2012</w:t>
            </w:r>
          </w:p>
        </w:tc>
      </w:tr>
      <w:tr>
        <w:trPr>
          <w:trHeight w:val="410"/>
        </w:trPr>
        <w:tc>
          <w:tcPr>
            <w:tcW w:w="2340" w:type="dxa"/>
            <w:vAlign w:val="bottom"/>
            <w:gridSpan w:val="2"/>
          </w:tcPr>
          <w:p>
            <w:pPr>
              <w:spacing w:after="0"/>
              <w:rPr>
                <w:sz w:val="20"/>
                <w:szCs w:val="20"/>
                <w:color w:val="auto"/>
              </w:rPr>
            </w:pPr>
            <w:r>
              <w:rPr>
                <w:rFonts w:ascii="Arial" w:cs="Arial" w:eastAsia="Arial" w:hAnsi="Arial"/>
                <w:sz w:val="18"/>
                <w:szCs w:val="18"/>
                <w:color w:val="auto"/>
              </w:rPr>
              <w:t>Lars B. Eller</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53</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CEO of the Company and</w:t>
            </w:r>
          </w:p>
        </w:tc>
        <w:tc>
          <w:tcPr>
            <w:tcW w:w="1240" w:type="dxa"/>
            <w:vAlign w:val="bottom"/>
          </w:tcPr>
          <w:p>
            <w:pPr>
              <w:spacing w:after="0"/>
              <w:rPr>
                <w:sz w:val="20"/>
                <w:szCs w:val="20"/>
                <w:color w:val="auto"/>
              </w:rPr>
            </w:pPr>
            <w:r>
              <w:rPr>
                <w:rFonts w:ascii="Arial" w:cs="Arial" w:eastAsia="Arial" w:hAnsi="Arial"/>
                <w:sz w:val="18"/>
                <w:szCs w:val="18"/>
                <w:color w:val="auto"/>
              </w:rPr>
              <w:t>2018</w:t>
            </w:r>
          </w:p>
        </w:tc>
      </w:tr>
      <w:tr>
        <w:trPr>
          <w:trHeight w:val="222"/>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Farmers &amp; Merchants State Bank</w:t>
            </w:r>
          </w:p>
        </w:tc>
        <w:tc>
          <w:tcPr>
            <w:tcW w:w="1240" w:type="dxa"/>
            <w:vAlign w:val="bottom"/>
          </w:tcPr>
          <w:p>
            <w:pPr>
              <w:spacing w:after="0"/>
              <w:rPr>
                <w:sz w:val="19"/>
                <w:szCs w:val="19"/>
                <w:color w:val="auto"/>
              </w:rPr>
            </w:pP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Steven A. Everhart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Self Employed</w:t>
            </w:r>
          </w:p>
        </w:tc>
        <w:tc>
          <w:tcPr>
            <w:tcW w:w="1240" w:type="dxa"/>
            <w:vAlign w:val="bottom"/>
          </w:tcPr>
          <w:p>
            <w:pPr>
              <w:spacing w:after="0"/>
              <w:rPr>
                <w:sz w:val="20"/>
                <w:szCs w:val="20"/>
                <w:color w:val="auto"/>
              </w:rPr>
            </w:pPr>
            <w:r>
              <w:rPr>
                <w:rFonts w:ascii="Arial" w:cs="Arial" w:eastAsia="Arial" w:hAnsi="Arial"/>
                <w:sz w:val="18"/>
                <w:szCs w:val="18"/>
                <w:color w:val="auto"/>
              </w:rPr>
              <w:t>2003</w:t>
            </w:r>
          </w:p>
        </w:tc>
      </w:tr>
      <w:tr>
        <w:trPr>
          <w:trHeight w:val="410"/>
        </w:trPr>
        <w:tc>
          <w:tcPr>
            <w:tcW w:w="2340" w:type="dxa"/>
            <w:vAlign w:val="bottom"/>
            <w:gridSpan w:val="2"/>
          </w:tcPr>
          <w:p>
            <w:pPr>
              <w:spacing w:after="0"/>
              <w:rPr>
                <w:sz w:val="20"/>
                <w:szCs w:val="20"/>
                <w:color w:val="auto"/>
              </w:rPr>
            </w:pPr>
            <w:r>
              <w:rPr>
                <w:rFonts w:ascii="Arial" w:cs="Arial" w:eastAsia="Arial" w:hAnsi="Arial"/>
                <w:sz w:val="18"/>
                <w:szCs w:val="18"/>
                <w:color w:val="auto"/>
              </w:rPr>
              <w:t>Jo Ellen Hornish</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66</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7"/>
              </w:rPr>
              <w:t>CEO, Hornish Bros, Inc./Fountain City Leasing, Inc./ Advantage Powder</w:t>
            </w:r>
          </w:p>
        </w:tc>
        <w:tc>
          <w:tcPr>
            <w:tcW w:w="1240" w:type="dxa"/>
            <w:vAlign w:val="bottom"/>
          </w:tcPr>
          <w:p>
            <w:pPr>
              <w:spacing w:after="0"/>
              <w:rPr>
                <w:sz w:val="20"/>
                <w:szCs w:val="20"/>
                <w:color w:val="auto"/>
              </w:rPr>
            </w:pPr>
            <w:r>
              <w:rPr>
                <w:rFonts w:ascii="Arial" w:cs="Arial" w:eastAsia="Arial" w:hAnsi="Arial"/>
                <w:sz w:val="18"/>
                <w:szCs w:val="18"/>
                <w:color w:val="auto"/>
              </w:rPr>
              <w:t>2013</w:t>
            </w:r>
          </w:p>
        </w:tc>
      </w:tr>
      <w:tr>
        <w:trPr>
          <w:trHeight w:val="222"/>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Coating, Inc.</w:t>
            </w:r>
          </w:p>
        </w:tc>
        <w:tc>
          <w:tcPr>
            <w:tcW w:w="1240" w:type="dxa"/>
            <w:vAlign w:val="bottom"/>
          </w:tcPr>
          <w:p>
            <w:pPr>
              <w:spacing w:after="0"/>
              <w:rPr>
                <w:sz w:val="19"/>
                <w:szCs w:val="19"/>
                <w:color w:val="auto"/>
              </w:rPr>
            </w:pP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Jack C. Johnson</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Hawk’s Clothing, Inc.</w:t>
            </w:r>
          </w:p>
        </w:tc>
        <w:tc>
          <w:tcPr>
            <w:tcW w:w="1240" w:type="dxa"/>
            <w:vAlign w:val="bottom"/>
          </w:tcPr>
          <w:p>
            <w:pPr>
              <w:spacing w:after="0"/>
              <w:rPr>
                <w:sz w:val="20"/>
                <w:szCs w:val="20"/>
                <w:color w:val="auto"/>
              </w:rPr>
            </w:pPr>
            <w:r>
              <w:rPr>
                <w:rFonts w:ascii="Arial" w:cs="Arial" w:eastAsia="Arial" w:hAnsi="Arial"/>
                <w:sz w:val="18"/>
                <w:szCs w:val="18"/>
                <w:color w:val="auto"/>
              </w:rPr>
              <w:t>1991</w:t>
            </w:r>
          </w:p>
        </w:tc>
      </w:tr>
      <w:tr>
        <w:trPr>
          <w:trHeight w:val="410"/>
        </w:trPr>
        <w:tc>
          <w:tcPr>
            <w:tcW w:w="2340" w:type="dxa"/>
            <w:vAlign w:val="bottom"/>
            <w:gridSpan w:val="2"/>
          </w:tcPr>
          <w:p>
            <w:pPr>
              <w:spacing w:after="0"/>
              <w:rPr>
                <w:sz w:val="20"/>
                <w:szCs w:val="20"/>
                <w:color w:val="auto"/>
              </w:rPr>
            </w:pPr>
            <w:r>
              <w:rPr>
                <w:rFonts w:ascii="Arial" w:cs="Arial" w:eastAsia="Arial" w:hAnsi="Arial"/>
                <w:sz w:val="18"/>
                <w:szCs w:val="18"/>
                <w:color w:val="auto"/>
              </w:rPr>
              <w:t>Dr. Marcia S. Latta</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58</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Vice President of University Advancement,</w:t>
            </w:r>
          </w:p>
        </w:tc>
        <w:tc>
          <w:tcPr>
            <w:tcW w:w="1240" w:type="dxa"/>
            <w:vAlign w:val="bottom"/>
          </w:tcPr>
          <w:p>
            <w:pPr>
              <w:spacing w:after="0"/>
              <w:rPr>
                <w:sz w:val="20"/>
                <w:szCs w:val="20"/>
                <w:color w:val="auto"/>
              </w:rPr>
            </w:pPr>
            <w:r>
              <w:rPr>
                <w:rFonts w:ascii="Arial" w:cs="Arial" w:eastAsia="Arial" w:hAnsi="Arial"/>
                <w:sz w:val="18"/>
                <w:szCs w:val="18"/>
                <w:color w:val="auto"/>
              </w:rPr>
              <w:t>2009</w:t>
            </w:r>
          </w:p>
        </w:tc>
      </w:tr>
      <w:tr>
        <w:trPr>
          <w:trHeight w:val="222"/>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The University of Findlay</w:t>
            </w:r>
          </w:p>
        </w:tc>
        <w:tc>
          <w:tcPr>
            <w:tcW w:w="1240" w:type="dxa"/>
            <w:vAlign w:val="bottom"/>
          </w:tcPr>
          <w:p>
            <w:pPr>
              <w:spacing w:after="0"/>
              <w:rPr>
                <w:sz w:val="19"/>
                <w:szCs w:val="19"/>
                <w:color w:val="auto"/>
              </w:rPr>
            </w:pP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Steven J. Planson</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60</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Planson Farms, Inc.</w:t>
            </w:r>
          </w:p>
        </w:tc>
        <w:tc>
          <w:tcPr>
            <w:tcW w:w="1240" w:type="dxa"/>
            <w:vAlign w:val="bottom"/>
          </w:tcPr>
          <w:p>
            <w:pPr>
              <w:spacing w:after="0"/>
              <w:rPr>
                <w:sz w:val="20"/>
                <w:szCs w:val="20"/>
                <w:color w:val="auto"/>
              </w:rPr>
            </w:pPr>
            <w:r>
              <w:rPr>
                <w:rFonts w:ascii="Arial" w:cs="Arial" w:eastAsia="Arial" w:hAnsi="Arial"/>
                <w:sz w:val="18"/>
                <w:szCs w:val="18"/>
                <w:color w:val="auto"/>
              </w:rPr>
              <w:t>2008</w:t>
            </w: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Anthony J. Rupp</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70</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Retired, Past President of Rupp Furniture Co.</w:t>
            </w:r>
          </w:p>
        </w:tc>
        <w:tc>
          <w:tcPr>
            <w:tcW w:w="1240" w:type="dxa"/>
            <w:vAlign w:val="bottom"/>
          </w:tcPr>
          <w:p>
            <w:pPr>
              <w:spacing w:after="0"/>
              <w:rPr>
                <w:sz w:val="20"/>
                <w:szCs w:val="20"/>
                <w:color w:val="auto"/>
              </w:rPr>
            </w:pPr>
            <w:r>
              <w:rPr>
                <w:rFonts w:ascii="Arial" w:cs="Arial" w:eastAsia="Arial" w:hAnsi="Arial"/>
                <w:sz w:val="18"/>
                <w:szCs w:val="18"/>
                <w:color w:val="auto"/>
              </w:rPr>
              <w:t>2000</w:t>
            </w: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Kevin J. Sauder</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59</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President/CEO, Sauder Woodworking Co.</w:t>
            </w:r>
          </w:p>
        </w:tc>
        <w:tc>
          <w:tcPr>
            <w:tcW w:w="1240" w:type="dxa"/>
            <w:vAlign w:val="bottom"/>
          </w:tcPr>
          <w:p>
            <w:pPr>
              <w:spacing w:after="0"/>
              <w:rPr>
                <w:sz w:val="20"/>
                <w:szCs w:val="20"/>
                <w:color w:val="auto"/>
              </w:rPr>
            </w:pPr>
            <w:r>
              <w:rPr>
                <w:rFonts w:ascii="Arial" w:cs="Arial" w:eastAsia="Arial" w:hAnsi="Arial"/>
                <w:sz w:val="18"/>
                <w:szCs w:val="18"/>
                <w:color w:val="auto"/>
              </w:rPr>
              <w:t>2004</w:t>
            </w:r>
          </w:p>
        </w:tc>
      </w:tr>
      <w:tr>
        <w:trPr>
          <w:trHeight w:val="410"/>
        </w:trPr>
        <w:tc>
          <w:tcPr>
            <w:tcW w:w="2340" w:type="dxa"/>
            <w:vAlign w:val="bottom"/>
            <w:gridSpan w:val="2"/>
          </w:tcPr>
          <w:p>
            <w:pPr>
              <w:spacing w:after="0"/>
              <w:rPr>
                <w:sz w:val="20"/>
                <w:szCs w:val="20"/>
                <w:color w:val="auto"/>
              </w:rPr>
            </w:pPr>
            <w:r>
              <w:rPr>
                <w:rFonts w:ascii="Arial" w:cs="Arial" w:eastAsia="Arial" w:hAnsi="Arial"/>
                <w:sz w:val="18"/>
                <w:szCs w:val="18"/>
                <w:color w:val="auto"/>
              </w:rPr>
              <w:t>Paul S. Siebenmorgen</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70</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Retired, Past President and CEO of the Company and</w:t>
            </w:r>
          </w:p>
        </w:tc>
        <w:tc>
          <w:tcPr>
            <w:tcW w:w="1240" w:type="dxa"/>
            <w:vAlign w:val="bottom"/>
          </w:tcPr>
          <w:p>
            <w:pPr>
              <w:spacing w:after="0"/>
              <w:rPr>
                <w:sz w:val="20"/>
                <w:szCs w:val="20"/>
                <w:color w:val="auto"/>
              </w:rPr>
            </w:pPr>
            <w:r>
              <w:rPr>
                <w:rFonts w:ascii="Arial" w:cs="Arial" w:eastAsia="Arial" w:hAnsi="Arial"/>
                <w:sz w:val="18"/>
                <w:szCs w:val="18"/>
                <w:color w:val="auto"/>
              </w:rPr>
              <w:t>2005</w:t>
            </w:r>
          </w:p>
        </w:tc>
      </w:tr>
      <w:tr>
        <w:trPr>
          <w:trHeight w:val="222"/>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Farmers &amp; Merchants State Bank</w:t>
            </w:r>
          </w:p>
        </w:tc>
        <w:tc>
          <w:tcPr>
            <w:tcW w:w="1240" w:type="dxa"/>
            <w:vAlign w:val="bottom"/>
          </w:tcPr>
          <w:p>
            <w:pPr>
              <w:spacing w:after="0"/>
              <w:rPr>
                <w:sz w:val="19"/>
                <w:szCs w:val="19"/>
                <w:color w:val="auto"/>
              </w:rPr>
            </w:pP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Dr. K. Brad Stamm</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Educational Consultant of</w:t>
            </w:r>
          </w:p>
        </w:tc>
        <w:tc>
          <w:tcPr>
            <w:tcW w:w="1240" w:type="dxa"/>
            <w:vAlign w:val="bottom"/>
          </w:tcPr>
          <w:p>
            <w:pPr>
              <w:spacing w:after="0"/>
              <w:rPr>
                <w:sz w:val="20"/>
                <w:szCs w:val="20"/>
                <w:color w:val="auto"/>
              </w:rPr>
            </w:pPr>
            <w:r>
              <w:rPr>
                <w:rFonts w:ascii="Arial" w:cs="Arial" w:eastAsia="Arial" w:hAnsi="Arial"/>
                <w:sz w:val="18"/>
                <w:szCs w:val="18"/>
                <w:color w:val="auto"/>
              </w:rPr>
              <w:t>2016</w:t>
            </w:r>
          </w:p>
        </w:tc>
      </w:tr>
    </w:tbl>
    <w:p>
      <w:pPr>
        <w:ind w:left="4120"/>
        <w:spacing w:after="0"/>
        <w:rPr>
          <w:sz w:val="20"/>
          <w:szCs w:val="20"/>
          <w:color w:val="auto"/>
        </w:rPr>
      </w:pPr>
      <w:r>
        <w:rPr>
          <w:rFonts w:ascii="Arial" w:cs="Arial" w:eastAsia="Arial" w:hAnsi="Arial"/>
          <w:sz w:val="18"/>
          <w:szCs w:val="18"/>
          <w:color w:val="auto"/>
        </w:rPr>
        <w:t>Stamm Management Group</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Directors are elected annually at the annual meeting of shareholders.</w:t>
      </w: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960"/>
          </w:cols>
          <w:pgMar w:left="240" w:top="503" w:right="699" w:bottom="1440" w:gutter="0" w:footer="0" w:header="0"/>
        </w:sectPr>
      </w:pPr>
    </w:p>
    <w:bookmarkStart w:id="101" w:name="page102"/>
    <w:bookmarkEnd w:id="101"/>
    <w:tbl>
      <w:tblPr>
        <w:tblLayout w:type="fixed"/>
        <w:tblInd w:w="22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340" w:type="dxa"/>
            <w:vAlign w:val="bottom"/>
            <w:gridSpan w:val="7"/>
          </w:tcPr>
          <w:p>
            <w:pPr>
              <w:spacing w:after="0"/>
              <w:rPr>
                <w:sz w:val="20"/>
                <w:szCs w:val="20"/>
                <w:color w:val="auto"/>
              </w:rPr>
            </w:pPr>
            <w:r>
              <w:rPr>
                <w:rFonts w:ascii="Arial" w:cs="Arial" w:eastAsia="Arial" w:hAnsi="Arial"/>
                <w:sz w:val="18"/>
                <w:szCs w:val="18"/>
                <w:b w:val="1"/>
                <w:bCs w:val="1"/>
                <w:color w:val="auto"/>
              </w:rPr>
              <w:t>EXECUTIVE OFFICERS</w:t>
            </w:r>
          </w:p>
        </w:tc>
      </w:tr>
      <w:tr>
        <w:trPr>
          <w:trHeight w:val="20"/>
        </w:trPr>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50"/>
        </w:trPr>
        <w:tc>
          <w:tcPr>
            <w:tcW w:w="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gridSpan w:val="4"/>
          </w:tcPr>
          <w:p>
            <w:pPr>
              <w:ind w:left="320"/>
              <w:spacing w:after="0"/>
              <w:rPr>
                <w:sz w:val="20"/>
                <w:szCs w:val="20"/>
                <w:color w:val="auto"/>
              </w:rPr>
            </w:pPr>
            <w:r>
              <w:rPr>
                <w:rFonts w:ascii="Arial" w:cs="Arial" w:eastAsia="Arial" w:hAnsi="Arial"/>
                <w:sz w:val="18"/>
                <w:szCs w:val="18"/>
                <w:color w:val="auto"/>
              </w:rPr>
              <w:t>Principal Occupation &amp; Offices Held with</w:t>
            </w:r>
          </w:p>
        </w:tc>
      </w:tr>
      <w:tr>
        <w:trPr>
          <w:trHeight w:val="184"/>
        </w:trPr>
        <w:tc>
          <w:tcPr>
            <w:tcW w:w="420" w:type="dxa"/>
            <w:vAlign w:val="bottom"/>
          </w:tcPr>
          <w:p>
            <w:pPr>
              <w:spacing w:after="0" w:line="183" w:lineRule="exact"/>
              <w:rPr>
                <w:sz w:val="20"/>
                <w:szCs w:val="20"/>
                <w:color w:val="auto"/>
              </w:rPr>
            </w:pPr>
            <w:r>
              <w:rPr>
                <w:rFonts w:ascii="Arial" w:cs="Arial" w:eastAsia="Arial" w:hAnsi="Arial"/>
                <w:sz w:val="18"/>
                <w:szCs w:val="18"/>
                <w:color w:val="auto"/>
                <w:w w:val="83"/>
              </w:rPr>
              <w:t>Name</w:t>
            </w: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line="183" w:lineRule="exact"/>
              <w:rPr>
                <w:sz w:val="20"/>
                <w:szCs w:val="20"/>
                <w:color w:val="auto"/>
              </w:rPr>
            </w:pPr>
            <w:r>
              <w:rPr>
                <w:rFonts w:ascii="Arial" w:cs="Arial" w:eastAsia="Arial" w:hAnsi="Arial"/>
                <w:sz w:val="18"/>
                <w:szCs w:val="18"/>
                <w:color w:val="auto"/>
                <w:w w:val="87"/>
              </w:rPr>
              <w:t>Age</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0" w:type="dxa"/>
            <w:vAlign w:val="bottom"/>
            <w:gridSpan w:val="3"/>
          </w:tcPr>
          <w:p>
            <w:pPr>
              <w:spacing w:after="0" w:line="183" w:lineRule="exact"/>
              <w:rPr>
                <w:sz w:val="20"/>
                <w:szCs w:val="20"/>
                <w:color w:val="auto"/>
              </w:rPr>
            </w:pPr>
            <w:r>
              <w:rPr>
                <w:rFonts w:ascii="Arial" w:cs="Arial" w:eastAsia="Arial" w:hAnsi="Arial"/>
                <w:sz w:val="18"/>
                <w:szCs w:val="18"/>
                <w:color w:val="auto"/>
              </w:rPr>
              <w:t>Corporation &amp; Bank for Past Five Years</w:t>
            </w:r>
          </w:p>
        </w:tc>
      </w:tr>
      <w:tr>
        <w:trPr>
          <w:trHeight w:val="20"/>
        </w:trPr>
        <w:tc>
          <w:tcPr>
            <w:tcW w:w="4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40"/>
        </w:trPr>
        <w:tc>
          <w:tcPr>
            <w:tcW w:w="3680" w:type="dxa"/>
            <w:vAlign w:val="bottom"/>
            <w:gridSpan w:val="2"/>
          </w:tcPr>
          <w:p>
            <w:pPr>
              <w:spacing w:after="0"/>
              <w:rPr>
                <w:sz w:val="20"/>
                <w:szCs w:val="20"/>
                <w:color w:val="auto"/>
              </w:rPr>
            </w:pPr>
            <w:r>
              <w:rPr>
                <w:rFonts w:ascii="Arial" w:cs="Arial" w:eastAsia="Arial" w:hAnsi="Arial"/>
                <w:sz w:val="18"/>
                <w:szCs w:val="18"/>
                <w:color w:val="auto"/>
              </w:rPr>
              <w:t>Jack C. Johnson</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4"/>
                <w:szCs w:val="24"/>
                <w:color w:val="auto"/>
              </w:rPr>
            </w:pPr>
          </w:p>
        </w:tc>
        <w:tc>
          <w:tcPr>
            <w:tcW w:w="4520" w:type="dxa"/>
            <w:vAlign w:val="bottom"/>
            <w:gridSpan w:val="4"/>
          </w:tcPr>
          <w:p>
            <w:pPr>
              <w:ind w:left="320"/>
              <w:spacing w:after="0"/>
              <w:rPr>
                <w:sz w:val="20"/>
                <w:szCs w:val="20"/>
                <w:color w:val="auto"/>
              </w:rPr>
            </w:pPr>
            <w:r>
              <w:rPr>
                <w:rFonts w:ascii="Arial" w:cs="Arial" w:eastAsia="Arial" w:hAnsi="Arial"/>
                <w:sz w:val="18"/>
                <w:szCs w:val="18"/>
                <w:color w:val="auto"/>
              </w:rPr>
              <w:t>Chairman</w:t>
            </w:r>
          </w:p>
        </w:tc>
      </w:tr>
      <w:tr>
        <w:trPr>
          <w:trHeight w:val="421"/>
        </w:trPr>
        <w:tc>
          <w:tcPr>
            <w:tcW w:w="3680" w:type="dxa"/>
            <w:vAlign w:val="bottom"/>
            <w:gridSpan w:val="2"/>
          </w:tcPr>
          <w:p>
            <w:pPr>
              <w:spacing w:after="0"/>
              <w:rPr>
                <w:sz w:val="20"/>
                <w:szCs w:val="20"/>
                <w:color w:val="auto"/>
              </w:rPr>
            </w:pPr>
            <w:r>
              <w:rPr>
                <w:rFonts w:ascii="Arial" w:cs="Arial" w:eastAsia="Arial" w:hAnsi="Arial"/>
                <w:sz w:val="18"/>
                <w:szCs w:val="18"/>
                <w:color w:val="auto"/>
              </w:rPr>
              <w:t>Lars B. Eller</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4"/>
                <w:szCs w:val="24"/>
                <w:color w:val="auto"/>
              </w:rPr>
            </w:pPr>
          </w:p>
        </w:tc>
        <w:tc>
          <w:tcPr>
            <w:tcW w:w="4520" w:type="dxa"/>
            <w:vAlign w:val="bottom"/>
            <w:gridSpan w:val="4"/>
          </w:tcPr>
          <w:p>
            <w:pPr>
              <w:ind w:left="320"/>
              <w:spacing w:after="0"/>
              <w:rPr>
                <w:sz w:val="20"/>
                <w:szCs w:val="20"/>
                <w:color w:val="auto"/>
              </w:rPr>
            </w:pPr>
            <w:r>
              <w:rPr>
                <w:rFonts w:ascii="Arial" w:cs="Arial" w:eastAsia="Arial" w:hAnsi="Arial"/>
                <w:sz w:val="18"/>
                <w:szCs w:val="18"/>
                <w:color w:val="auto"/>
              </w:rPr>
              <w:t>President and Chief Executive Officer</w:t>
            </w:r>
            <w:r>
              <w:rPr>
                <w:rFonts w:ascii="Arial" w:cs="Arial" w:eastAsia="Arial" w:hAnsi="Arial"/>
                <w:sz w:val="14"/>
                <w:szCs w:val="14"/>
                <w:color w:val="auto"/>
              </w:rPr>
              <w:t>(1)</w:t>
            </w:r>
          </w:p>
        </w:tc>
      </w:tr>
      <w:tr>
        <w:trPr>
          <w:trHeight w:val="409"/>
        </w:trPr>
        <w:tc>
          <w:tcPr>
            <w:tcW w:w="3680" w:type="dxa"/>
            <w:vAlign w:val="bottom"/>
            <w:gridSpan w:val="2"/>
          </w:tcPr>
          <w:p>
            <w:pPr>
              <w:spacing w:after="0"/>
              <w:rPr>
                <w:sz w:val="20"/>
                <w:szCs w:val="20"/>
                <w:color w:val="auto"/>
              </w:rPr>
            </w:pPr>
            <w:r>
              <w:rPr>
                <w:rFonts w:ascii="Arial" w:cs="Arial" w:eastAsia="Arial" w:hAnsi="Arial"/>
                <w:sz w:val="18"/>
                <w:szCs w:val="18"/>
                <w:color w:val="auto"/>
              </w:rPr>
              <w:t>Barbara J. Britenriker</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4"/>
                <w:szCs w:val="24"/>
                <w:color w:val="auto"/>
              </w:rPr>
            </w:pPr>
          </w:p>
        </w:tc>
        <w:tc>
          <w:tcPr>
            <w:tcW w:w="4520" w:type="dxa"/>
            <w:vAlign w:val="bottom"/>
            <w:gridSpan w:val="4"/>
          </w:tcPr>
          <w:p>
            <w:pPr>
              <w:ind w:left="320"/>
              <w:spacing w:after="0"/>
              <w:rPr>
                <w:sz w:val="20"/>
                <w:szCs w:val="20"/>
                <w:color w:val="auto"/>
              </w:rPr>
            </w:pPr>
            <w:r>
              <w:rPr>
                <w:rFonts w:ascii="Arial" w:cs="Arial" w:eastAsia="Arial" w:hAnsi="Arial"/>
                <w:sz w:val="18"/>
                <w:szCs w:val="18"/>
                <w:color w:val="auto"/>
              </w:rPr>
              <w:t>Executive Vice President</w:t>
            </w:r>
          </w:p>
        </w:tc>
      </w:tr>
      <w:tr>
        <w:trPr>
          <w:trHeight w:val="223"/>
        </w:trPr>
        <w:tc>
          <w:tcPr>
            <w:tcW w:w="4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20" w:type="dxa"/>
            <w:vAlign w:val="bottom"/>
            <w:gridSpan w:val="4"/>
          </w:tcPr>
          <w:p>
            <w:pPr>
              <w:ind w:left="320"/>
              <w:spacing w:after="0"/>
              <w:rPr>
                <w:sz w:val="20"/>
                <w:szCs w:val="20"/>
                <w:color w:val="auto"/>
              </w:rPr>
            </w:pPr>
            <w:r>
              <w:rPr>
                <w:rFonts w:ascii="Arial" w:cs="Arial" w:eastAsia="Arial" w:hAnsi="Arial"/>
                <w:sz w:val="18"/>
                <w:szCs w:val="18"/>
                <w:color w:val="auto"/>
                <w:w w:val="91"/>
              </w:rPr>
              <w:t>Chief Financial Officer and Chief Retail Banking Officer</w:t>
            </w:r>
            <w:r>
              <w:rPr>
                <w:rFonts w:ascii="Arial" w:cs="Arial" w:eastAsia="Arial" w:hAnsi="Arial"/>
                <w:sz w:val="14"/>
                <w:szCs w:val="14"/>
                <w:color w:val="auto"/>
                <w:w w:val="91"/>
              </w:rPr>
              <w:t>(2)</w:t>
            </w:r>
          </w:p>
        </w:tc>
      </w:tr>
      <w:tr>
        <w:trPr>
          <w:trHeight w:val="410"/>
        </w:trPr>
        <w:tc>
          <w:tcPr>
            <w:tcW w:w="3680" w:type="dxa"/>
            <w:vAlign w:val="bottom"/>
            <w:gridSpan w:val="2"/>
          </w:tcPr>
          <w:p>
            <w:pPr>
              <w:spacing w:after="0"/>
              <w:rPr>
                <w:sz w:val="20"/>
                <w:szCs w:val="20"/>
                <w:color w:val="auto"/>
              </w:rPr>
            </w:pPr>
            <w:r>
              <w:rPr>
                <w:rFonts w:ascii="Arial" w:cs="Arial" w:eastAsia="Arial" w:hAnsi="Arial"/>
                <w:sz w:val="18"/>
                <w:szCs w:val="18"/>
                <w:color w:val="auto"/>
              </w:rPr>
              <w:t>Edward A. Leininger</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4"/>
                <w:szCs w:val="24"/>
                <w:color w:val="auto"/>
              </w:rPr>
            </w:pPr>
          </w:p>
        </w:tc>
        <w:tc>
          <w:tcPr>
            <w:tcW w:w="4520" w:type="dxa"/>
            <w:vAlign w:val="bottom"/>
            <w:gridSpan w:val="4"/>
          </w:tcPr>
          <w:p>
            <w:pPr>
              <w:ind w:left="320"/>
              <w:spacing w:after="0"/>
              <w:rPr>
                <w:sz w:val="20"/>
                <w:szCs w:val="20"/>
                <w:color w:val="auto"/>
              </w:rPr>
            </w:pPr>
            <w:r>
              <w:rPr>
                <w:rFonts w:ascii="Arial" w:cs="Arial" w:eastAsia="Arial" w:hAnsi="Arial"/>
                <w:sz w:val="18"/>
                <w:szCs w:val="18"/>
                <w:color w:val="auto"/>
              </w:rPr>
              <w:t>Executive Vice President</w:t>
            </w:r>
          </w:p>
        </w:tc>
      </w:tr>
      <w:tr>
        <w:trPr>
          <w:trHeight w:val="222"/>
        </w:trPr>
        <w:tc>
          <w:tcPr>
            <w:tcW w:w="4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20" w:type="dxa"/>
            <w:vAlign w:val="bottom"/>
            <w:gridSpan w:val="4"/>
          </w:tcPr>
          <w:p>
            <w:pPr>
              <w:ind w:left="320"/>
              <w:spacing w:after="0"/>
              <w:rPr>
                <w:sz w:val="20"/>
                <w:szCs w:val="20"/>
                <w:color w:val="auto"/>
              </w:rPr>
            </w:pPr>
            <w:r>
              <w:rPr>
                <w:rFonts w:ascii="Arial" w:cs="Arial" w:eastAsia="Arial" w:hAnsi="Arial"/>
                <w:sz w:val="18"/>
                <w:szCs w:val="18"/>
                <w:color w:val="auto"/>
              </w:rPr>
              <w:t>Chief Operating Officer</w:t>
            </w:r>
          </w:p>
        </w:tc>
      </w:tr>
      <w:tr>
        <w:trPr>
          <w:trHeight w:val="409"/>
        </w:trPr>
        <w:tc>
          <w:tcPr>
            <w:tcW w:w="3680" w:type="dxa"/>
            <w:vAlign w:val="bottom"/>
            <w:gridSpan w:val="2"/>
          </w:tcPr>
          <w:p>
            <w:pPr>
              <w:spacing w:after="0"/>
              <w:rPr>
                <w:sz w:val="20"/>
                <w:szCs w:val="20"/>
                <w:color w:val="auto"/>
              </w:rPr>
            </w:pPr>
            <w:r>
              <w:rPr>
                <w:rFonts w:ascii="Arial" w:cs="Arial" w:eastAsia="Arial" w:hAnsi="Arial"/>
                <w:sz w:val="18"/>
                <w:szCs w:val="18"/>
                <w:color w:val="auto"/>
              </w:rPr>
              <w:t>Rex D. Rice</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4"/>
                <w:szCs w:val="24"/>
                <w:color w:val="auto"/>
              </w:rPr>
            </w:pPr>
          </w:p>
        </w:tc>
        <w:tc>
          <w:tcPr>
            <w:tcW w:w="4520" w:type="dxa"/>
            <w:vAlign w:val="bottom"/>
            <w:gridSpan w:val="4"/>
          </w:tcPr>
          <w:p>
            <w:pPr>
              <w:ind w:left="320"/>
              <w:spacing w:after="0"/>
              <w:rPr>
                <w:sz w:val="20"/>
                <w:szCs w:val="20"/>
                <w:color w:val="auto"/>
              </w:rPr>
            </w:pPr>
            <w:r>
              <w:rPr>
                <w:rFonts w:ascii="Arial" w:cs="Arial" w:eastAsia="Arial" w:hAnsi="Arial"/>
                <w:sz w:val="18"/>
                <w:szCs w:val="18"/>
                <w:color w:val="auto"/>
              </w:rPr>
              <w:t>Executive Vice President</w:t>
            </w:r>
          </w:p>
        </w:tc>
      </w:tr>
      <w:tr>
        <w:trPr>
          <w:trHeight w:val="223"/>
        </w:trPr>
        <w:tc>
          <w:tcPr>
            <w:tcW w:w="4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20" w:type="dxa"/>
            <w:vAlign w:val="bottom"/>
            <w:gridSpan w:val="4"/>
          </w:tcPr>
          <w:p>
            <w:pPr>
              <w:ind w:left="320"/>
              <w:spacing w:after="0"/>
              <w:rPr>
                <w:sz w:val="20"/>
                <w:szCs w:val="20"/>
                <w:color w:val="auto"/>
              </w:rPr>
            </w:pPr>
            <w:r>
              <w:rPr>
                <w:rFonts w:ascii="Arial" w:cs="Arial" w:eastAsia="Arial" w:hAnsi="Arial"/>
                <w:sz w:val="18"/>
                <w:szCs w:val="18"/>
                <w:color w:val="auto"/>
              </w:rPr>
              <w:t>and Chief Lending Officer</w:t>
            </w:r>
            <w:r>
              <w:rPr>
                <w:rFonts w:ascii="Arial" w:cs="Arial" w:eastAsia="Arial" w:hAnsi="Arial"/>
                <w:sz w:val="14"/>
                <w:szCs w:val="14"/>
                <w:color w:val="auto"/>
              </w:rPr>
              <w:t>(3)</w:t>
            </w:r>
          </w:p>
        </w:tc>
      </w:tr>
    </w:tbl>
    <w:p>
      <w:pPr>
        <w:spacing w:after="0" w:line="19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______________________________________________________________________________________________________________________________________</w:t>
      </w:r>
    </w:p>
    <w:p>
      <w:pPr>
        <w:spacing w:after="0" w:line="34" w:lineRule="exact"/>
        <w:rPr>
          <w:sz w:val="20"/>
          <w:szCs w:val="20"/>
          <w:color w:val="auto"/>
        </w:rPr>
      </w:pPr>
    </w:p>
    <w:p>
      <w:pPr>
        <w:jc w:val="both"/>
        <w:ind w:left="620" w:hanging="186"/>
        <w:spacing w:after="0" w:line="222" w:lineRule="auto"/>
        <w:tabs>
          <w:tab w:leader="none" w:pos="639"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The designation PEO means principal executive officer and PFO means principal financial officer under the rules of the SEC. From 2013-2017, Mr. Eller was Executive Vice President and Chief Retail Banking Officer of Royal Bank America in Philadelphia. From January 1, 2018, until June 30, 2018, Mr. Eller was a consultant for Cambridge Savings Bank in Massachusetts.</w:t>
      </w:r>
    </w:p>
    <w:p>
      <w:pPr>
        <w:spacing w:after="0" w:line="130" w:lineRule="exact"/>
        <w:rPr>
          <w:rFonts w:ascii="Arial" w:cs="Arial" w:eastAsia="Arial" w:hAnsi="Arial"/>
          <w:sz w:val="25"/>
          <w:szCs w:val="25"/>
          <w:color w:val="auto"/>
          <w:vertAlign w:val="superscript"/>
        </w:rPr>
      </w:pPr>
    </w:p>
    <w:p>
      <w:pPr>
        <w:ind w:left="620" w:right="100" w:hanging="186"/>
        <w:spacing w:after="0" w:line="218" w:lineRule="auto"/>
        <w:tabs>
          <w:tab w:leader="none" w:pos="630" w:val="left"/>
        </w:tabs>
        <w:numPr>
          <w:ilvl w:val="0"/>
          <w:numId w:val="19"/>
        </w:numPr>
        <w:rPr>
          <w:rFonts w:ascii="Arial" w:cs="Arial" w:eastAsia="Arial" w:hAnsi="Arial"/>
          <w:sz w:val="24"/>
          <w:szCs w:val="24"/>
          <w:color w:val="auto"/>
          <w:vertAlign w:val="superscript"/>
        </w:rPr>
      </w:pPr>
      <w:r>
        <w:rPr>
          <w:rFonts w:ascii="Arial" w:cs="Arial" w:eastAsia="Arial" w:hAnsi="Arial"/>
          <w:sz w:val="14"/>
          <w:szCs w:val="14"/>
          <w:color w:val="auto"/>
        </w:rPr>
        <w:t>Ms. Britenriker was appointed to serve as the Chief Retail Banking Officer of the Bank on January 7, 2019 and will also remain as the Chief Financial Officer of the Company.</w:t>
      </w:r>
    </w:p>
    <w:p>
      <w:pPr>
        <w:spacing w:after="0" w:line="129" w:lineRule="exact"/>
        <w:rPr>
          <w:rFonts w:ascii="Arial" w:cs="Arial" w:eastAsia="Arial" w:hAnsi="Arial"/>
          <w:sz w:val="24"/>
          <w:szCs w:val="24"/>
          <w:color w:val="auto"/>
          <w:vertAlign w:val="superscript"/>
        </w:rPr>
      </w:pPr>
    </w:p>
    <w:p>
      <w:pPr>
        <w:ind w:left="620" w:right="200" w:hanging="186"/>
        <w:spacing w:after="0" w:line="218" w:lineRule="auto"/>
        <w:tabs>
          <w:tab w:leader="none" w:pos="630" w:val="left"/>
        </w:tabs>
        <w:numPr>
          <w:ilvl w:val="0"/>
          <w:numId w:val="19"/>
        </w:numPr>
        <w:rPr>
          <w:rFonts w:ascii="Arial" w:cs="Arial" w:eastAsia="Arial" w:hAnsi="Arial"/>
          <w:sz w:val="24"/>
          <w:szCs w:val="24"/>
          <w:color w:val="auto"/>
          <w:vertAlign w:val="superscript"/>
        </w:rPr>
      </w:pPr>
      <w:r>
        <w:rPr>
          <w:rFonts w:ascii="Arial" w:cs="Arial" w:eastAsia="Arial" w:hAnsi="Arial"/>
          <w:sz w:val="14"/>
          <w:szCs w:val="14"/>
          <w:color w:val="auto"/>
        </w:rPr>
        <w:t>Mr. Rice was the Executive Vice President and Senior Commercial Banking Manager until January 31, 2020. Mr. Rice assumed the position of Chief Lending Officer of the Bank effective upon the retirement of Todd Graham as of February 1, 2020.</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Any remaining information required by Item 401 of Regulation S-K is presented in the proxy statement to be furnished in connection with the solicitation of proxies on behalf of the Board of Directors of the Registrant for use at its Annual Meeting to be held on April 16, 2020, and is incorporated herein by reference to the sections of the proxy statement captioned ‘Nominations for Members of the Board of Director” and “PROPOSAL ONE – Election of Directors and Information Concerning Directors and Officers.” The information called for under Item 405 of Regulation S-K and called for under paragraphs (d)(4) and (d)(5) of Item 407 is presented in the proxy statement to be furnished in connection with the solicitation of proxies on behalf of the Board of Directors of the Registrant for use at its Annual Meeting to be held on April 16, 2020, and is incorporated herein by reference to the sections of the proxy statement captioned “Delinquent Section 16(a) Reports,” “Audit Committee Report” and “Committees of the Board of Directors.”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Board of Directors of the Company adopted a Code of Business Conduct and Ethics (the “Code”) at its meeting on February 13, 2004. While the Sarbanes-Oxley Act of 2002 mandates the adoption of a code of ethics for the most senior executive officers of all public companies, the Code adopted by the Corporation's Board of Directors is broader in the activities covered and applies to all officers, directors and employees of the Corporation and the Bank, including the chief executive officer, chief financial officer, principal accounting officer and other senior officers performing accounting, auditing, financial management or similar functions. The administration of the Code has been delegated to the Audit Committee of the Board of Directors, a Committee comprised entirely of “independent directors.” The Code addresses topics such as compliance with laws and regulations, honest and ethical conduct, conflicts of interest, confidentiality and protection of Corporation assets, fair dealing and accurate and timely periodic reports, and also provides for enforcement mechanisms. The Board and management of the Corporation intends to continue to monitor not only the developing legal requirements in this area, but also the best practices of comparable companies, to assure that the Corporation maintains sound corporate governance practices in the future. Annual testing and review of the Code is conducted and attested to by signatures of all officers and directors of the Company.</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copy of the Corporation's Code is available on the website of the Bank (</w:t>
      </w:r>
      <w:r>
        <w:rPr>
          <w:rFonts w:ascii="Arial" w:cs="Arial" w:eastAsia="Arial" w:hAnsi="Arial"/>
          <w:sz w:val="16"/>
          <w:szCs w:val="16"/>
          <w:u w:val="single" w:color="auto"/>
          <w:color w:val="auto"/>
        </w:rPr>
        <w:t>www.fm.bank</w:t>
      </w:r>
      <w:r>
        <w:rPr>
          <w:rFonts w:ascii="Arial" w:cs="Arial" w:eastAsia="Arial" w:hAnsi="Arial"/>
          <w:sz w:val="16"/>
          <w:szCs w:val="16"/>
          <w:color w:val="auto"/>
        </w:rPr>
        <w:t>). In addition, a copy of the Code is available to any shareholder free of charge upon request. Shareholders desiring a copy of the Code should address written requests to Mr. Lars B. Eller, President, Chief Executive Officer and Treasurer of Farmers &amp; Merchants Bancorp, Inc., 307 North Defiance Street, Archbold, Ohio 43502, and are asked to mark Code of Business Conduct and Ethics on the outside of the envelope containing the request.</w:t>
      </w:r>
    </w:p>
    <w:p>
      <w:pPr>
        <w:spacing w:after="0" w:line="16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64135</wp:posOffset>
            </wp:positionV>
            <wp:extent cx="729234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600"/>
          </w:cols>
          <w:pgMar w:left="1060" w:top="170"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15"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The information called for herein by Item 402 and paragraphs (e)(4) and (e)(5) of Item 407, Regulations S-K is presented in the proxy statement to be furnished in connection with the solicitation of proxies on behalf of the Board of Directors of the Registrant for use at its Annual Meeting to be held on April 16, 2020, and is incorporated herein by reference to the sections of the proxy statement captioned “Compensation Discussion and Analysis,” “Compensation Committee Report on Executive Compensation,” and “Related Party Transactions.”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12. SECURITY OWNERSHIP OF CERTAIN BENEFICIAL OWNERS AND MANAGEMENT AND RELATED STOCKHOLDER MATTERS</w:t>
      </w:r>
    </w:p>
    <w:p>
      <w:pPr>
        <w:spacing w:after="0" w:line="138"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information called for by Item 403 of Regulation S-K is presented in the proxy statement to be furnished in connection with the solicitation of proxies on behalf of the Board of Directors of the Registrant for use at its Annual Meeting to be held Thursday, April 16, 2020 and is incorporated herein by reference to the section of the proxy statement captioned “Security Ownership of Certain Beneficial Owners and Named Executive Officers.”</w:t>
      </w:r>
    </w:p>
    <w:p>
      <w:pPr>
        <w:spacing w:after="0" w:line="86" w:lineRule="exact"/>
        <w:rPr>
          <w:sz w:val="20"/>
          <w:szCs w:val="20"/>
          <w:color w:val="auto"/>
        </w:rPr>
      </w:pPr>
    </w:p>
    <w:p>
      <w:pPr>
        <w:jc w:val="both"/>
        <w:ind w:left="820"/>
        <w:spacing w:after="0" w:line="283" w:lineRule="auto"/>
        <w:rPr>
          <w:sz w:val="20"/>
          <w:szCs w:val="20"/>
          <w:color w:val="auto"/>
        </w:rPr>
      </w:pPr>
      <w:r>
        <w:rPr>
          <w:rFonts w:ascii="Arial" w:cs="Arial" w:eastAsia="Arial" w:hAnsi="Arial"/>
          <w:sz w:val="16"/>
          <w:szCs w:val="16"/>
          <w:color w:val="auto"/>
        </w:rPr>
        <w:t>On April 16, 2015 the Company’s shareholders approved the Farmers &amp; Merchants Bancorp, Inc. 2015 Long-Term Stock Incentive Plan (which replaced the expired 2005 Long-Term Stock Incentive Plan). The plan authorizes the issuance of up to 1,600,000 (adjusted for a two-for-one stock split) of the Company’s common shares in the form of stock options, restricted stock, performance shares, and unrestricted stock to employees of the Company and its subsidiaries. To date, the Company has only made awards of restricted stock under the Plan, which awards are subject to time vesting. This requires the executive or employee to remain employed with the Company or the Bank, as the case may be, until the awards have vested or such shares of restricted stock will be forfeited. During 2019, 38,100 shares were awarded to 94 employees and 3,220 were forfeited under its long term incentive plan. At year end, 2019, the Company held 1,093,065 shares in Treasury stock and 88,450 in unearned stock awards.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6"/>
          </w:tcPr>
          <w:p>
            <w:pPr>
              <w:jc w:val="center"/>
              <w:ind w:right="1612"/>
              <w:spacing w:after="0"/>
              <w:rPr>
                <w:sz w:val="20"/>
                <w:szCs w:val="20"/>
                <w:color w:val="auto"/>
              </w:rPr>
            </w:pPr>
            <w:r>
              <w:rPr>
                <w:rFonts w:ascii="Arial" w:cs="Arial" w:eastAsia="Arial" w:hAnsi="Arial"/>
                <w:sz w:val="18"/>
                <w:szCs w:val="18"/>
                <w:color w:val="auto"/>
                <w:w w:val="90"/>
              </w:rPr>
              <w:t>Equity Compensation Plan Information</w:t>
            </w:r>
          </w:p>
        </w:tc>
        <w:tc>
          <w:tcPr>
            <w:tcW w:w="120" w:type="dxa"/>
            <w:vAlign w:val="bottom"/>
          </w:tcPr>
          <w:p>
            <w:pPr>
              <w:spacing w:after="0"/>
              <w:rPr>
                <w:sz w:val="19"/>
                <w:szCs w:val="19"/>
                <w:color w:val="auto"/>
              </w:rPr>
            </w:pPr>
          </w:p>
        </w:tc>
      </w:tr>
      <w:tr>
        <w:trPr>
          <w:trHeight w:val="205"/>
        </w:trPr>
        <w:tc>
          <w:tcPr>
            <w:tcW w:w="5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jc w:val="center"/>
              <w:ind w:right="120"/>
              <w:spacing w:after="0" w:line="205" w:lineRule="exact"/>
              <w:rPr>
                <w:sz w:val="20"/>
                <w:szCs w:val="20"/>
                <w:color w:val="auto"/>
              </w:rPr>
            </w:pPr>
            <w:r>
              <w:rPr>
                <w:rFonts w:ascii="Arial" w:cs="Arial" w:eastAsia="Arial" w:hAnsi="Arial"/>
                <w:sz w:val="18"/>
                <w:szCs w:val="18"/>
                <w:color w:val="auto"/>
                <w:w w:val="92"/>
              </w:rPr>
              <w:t>Number of</w:t>
            </w:r>
          </w:p>
        </w:tc>
      </w:tr>
      <w:tr>
        <w:trPr>
          <w:trHeight w:val="211"/>
        </w:trPr>
        <w:tc>
          <w:tcPr>
            <w:tcW w:w="5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 remaining</w:t>
            </w:r>
          </w:p>
        </w:tc>
      </w:tr>
      <w:tr>
        <w:trPr>
          <w:trHeight w:val="211"/>
        </w:trPr>
        <w:tc>
          <w:tcPr>
            <w:tcW w:w="5080" w:type="dxa"/>
            <w:vAlign w:val="bottom"/>
          </w:tcPr>
          <w:p>
            <w:pPr>
              <w:spacing w:after="0"/>
              <w:rPr>
                <w:sz w:val="18"/>
                <w:szCs w:val="18"/>
                <w:color w:val="auto"/>
              </w:rPr>
            </w:pPr>
          </w:p>
        </w:tc>
        <w:tc>
          <w:tcPr>
            <w:tcW w:w="1700" w:type="dxa"/>
            <w:vAlign w:val="bottom"/>
          </w:tcPr>
          <w:p>
            <w:pPr>
              <w:jc w:val="center"/>
              <w:ind w:left="92"/>
              <w:spacing w:after="0"/>
              <w:rPr>
                <w:sz w:val="20"/>
                <w:szCs w:val="20"/>
                <w:color w:val="auto"/>
              </w:rPr>
            </w:pPr>
            <w:r>
              <w:rPr>
                <w:rFonts w:ascii="Arial" w:cs="Arial" w:eastAsia="Arial" w:hAnsi="Arial"/>
                <w:sz w:val="18"/>
                <w:szCs w:val="18"/>
                <w:color w:val="auto"/>
                <w:w w:val="90"/>
              </w:rPr>
              <w:t>Number of</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available for future</w:t>
            </w:r>
          </w:p>
        </w:tc>
      </w:tr>
      <w:tr>
        <w:trPr>
          <w:trHeight w:val="211"/>
        </w:trPr>
        <w:tc>
          <w:tcPr>
            <w:tcW w:w="5080" w:type="dxa"/>
            <w:vAlign w:val="bottom"/>
          </w:tcPr>
          <w:p>
            <w:pPr>
              <w:spacing w:after="0"/>
              <w:rPr>
                <w:sz w:val="18"/>
                <w:szCs w:val="18"/>
                <w:color w:val="auto"/>
              </w:rPr>
            </w:pPr>
          </w:p>
        </w:tc>
        <w:tc>
          <w:tcPr>
            <w:tcW w:w="1700" w:type="dxa"/>
            <w:vAlign w:val="bottom"/>
          </w:tcPr>
          <w:p>
            <w:pPr>
              <w:jc w:val="center"/>
              <w:ind w:left="112"/>
              <w:spacing w:after="0"/>
              <w:rPr>
                <w:sz w:val="20"/>
                <w:szCs w:val="20"/>
                <w:color w:val="auto"/>
              </w:rPr>
            </w:pPr>
            <w:r>
              <w:rPr>
                <w:rFonts w:ascii="Arial" w:cs="Arial" w:eastAsia="Arial" w:hAnsi="Arial"/>
                <w:sz w:val="18"/>
                <w:szCs w:val="18"/>
                <w:color w:val="auto"/>
                <w:w w:val="87"/>
              </w:rPr>
              <w:t>securities to be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issuance under</w:t>
            </w:r>
          </w:p>
        </w:tc>
      </w:tr>
      <w:tr>
        <w:trPr>
          <w:trHeight w:val="211"/>
        </w:trPr>
        <w:tc>
          <w:tcPr>
            <w:tcW w:w="5080" w:type="dxa"/>
            <w:vAlign w:val="bottom"/>
          </w:tcPr>
          <w:p>
            <w:pPr>
              <w:spacing w:after="0"/>
              <w:rPr>
                <w:sz w:val="18"/>
                <w:szCs w:val="18"/>
                <w:color w:val="auto"/>
              </w:rPr>
            </w:pPr>
          </w:p>
        </w:tc>
        <w:tc>
          <w:tcPr>
            <w:tcW w:w="1700" w:type="dxa"/>
            <w:vAlign w:val="bottom"/>
          </w:tcPr>
          <w:p>
            <w:pPr>
              <w:jc w:val="center"/>
              <w:ind w:left="92"/>
              <w:spacing w:after="0"/>
              <w:rPr>
                <w:sz w:val="20"/>
                <w:szCs w:val="20"/>
                <w:color w:val="auto"/>
              </w:rPr>
            </w:pPr>
            <w:r>
              <w:rPr>
                <w:rFonts w:ascii="Arial" w:cs="Arial" w:eastAsia="Arial" w:hAnsi="Arial"/>
                <w:sz w:val="18"/>
                <w:szCs w:val="18"/>
                <w:color w:val="auto"/>
                <w:w w:val="85"/>
              </w:rPr>
              <w:t>issued upon exercise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Weighted-average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equity compensation plans</w:t>
            </w:r>
          </w:p>
        </w:tc>
      </w:tr>
      <w:tr>
        <w:trPr>
          <w:trHeight w:val="211"/>
        </w:trPr>
        <w:tc>
          <w:tcPr>
            <w:tcW w:w="5080" w:type="dxa"/>
            <w:vAlign w:val="bottom"/>
          </w:tcPr>
          <w:p>
            <w:pPr>
              <w:spacing w:after="0"/>
              <w:rPr>
                <w:sz w:val="18"/>
                <w:szCs w:val="18"/>
                <w:color w:val="auto"/>
              </w:rPr>
            </w:pPr>
          </w:p>
        </w:tc>
        <w:tc>
          <w:tcPr>
            <w:tcW w:w="1700" w:type="dxa"/>
            <w:vAlign w:val="bottom"/>
          </w:tcPr>
          <w:p>
            <w:pPr>
              <w:jc w:val="center"/>
              <w:ind w:left="92"/>
              <w:spacing w:after="0"/>
              <w:rPr>
                <w:sz w:val="20"/>
                <w:szCs w:val="20"/>
                <w:color w:val="auto"/>
              </w:rPr>
            </w:pPr>
            <w:r>
              <w:rPr>
                <w:rFonts w:ascii="Arial" w:cs="Arial" w:eastAsia="Arial" w:hAnsi="Arial"/>
                <w:sz w:val="18"/>
                <w:szCs w:val="18"/>
                <w:color w:val="auto"/>
                <w:w w:val="88"/>
              </w:rPr>
              <w:t>of outstanding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exercise price of</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(excluding securities</w:t>
            </w:r>
          </w:p>
        </w:tc>
      </w:tr>
      <w:tr>
        <w:trPr>
          <w:trHeight w:val="211"/>
        </w:trPr>
        <w:tc>
          <w:tcPr>
            <w:tcW w:w="5080" w:type="dxa"/>
            <w:vAlign w:val="bottom"/>
          </w:tcPr>
          <w:p>
            <w:pPr>
              <w:spacing w:after="0"/>
              <w:rPr>
                <w:sz w:val="18"/>
                <w:szCs w:val="18"/>
                <w:color w:val="auto"/>
              </w:rPr>
            </w:pPr>
          </w:p>
        </w:tc>
        <w:tc>
          <w:tcPr>
            <w:tcW w:w="1700" w:type="dxa"/>
            <w:vAlign w:val="bottom"/>
          </w:tcPr>
          <w:p>
            <w:pPr>
              <w:jc w:val="center"/>
              <w:ind w:left="92"/>
              <w:spacing w:after="0"/>
              <w:rPr>
                <w:sz w:val="20"/>
                <w:szCs w:val="20"/>
                <w:color w:val="auto"/>
              </w:rPr>
            </w:pPr>
            <w:r>
              <w:rPr>
                <w:rFonts w:ascii="Arial" w:cs="Arial" w:eastAsia="Arial" w:hAnsi="Arial"/>
                <w:sz w:val="18"/>
                <w:szCs w:val="18"/>
                <w:color w:val="auto"/>
                <w:w w:val="87"/>
              </w:rPr>
              <w:t>options, warrants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outstanding options,</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reflected</w:t>
            </w:r>
          </w:p>
        </w:tc>
      </w:tr>
      <w:tr>
        <w:trPr>
          <w:trHeight w:val="223"/>
        </w:trPr>
        <w:tc>
          <w:tcPr>
            <w:tcW w:w="5080" w:type="dxa"/>
            <w:vAlign w:val="bottom"/>
          </w:tcPr>
          <w:p>
            <w:pPr>
              <w:spacing w:after="0"/>
              <w:rPr>
                <w:sz w:val="19"/>
                <w:szCs w:val="19"/>
                <w:color w:val="auto"/>
              </w:rPr>
            </w:pPr>
          </w:p>
        </w:tc>
        <w:tc>
          <w:tcPr>
            <w:tcW w:w="170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8"/>
              </w:rPr>
              <w:t>and rights</w:t>
            </w: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7"/>
              </w:rPr>
              <w:t>warrants and rights</w:t>
            </w:r>
          </w:p>
        </w:tc>
        <w:tc>
          <w:tcPr>
            <w:tcW w:w="26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column (a))</w:t>
            </w:r>
          </w:p>
        </w:tc>
        <w:tc>
          <w:tcPr>
            <w:tcW w:w="120" w:type="dxa"/>
            <w:vAlign w:val="bottom"/>
          </w:tcPr>
          <w:p>
            <w:pPr>
              <w:spacing w:after="0"/>
              <w:rPr>
                <w:sz w:val="19"/>
                <w:szCs w:val="19"/>
                <w:color w:val="auto"/>
              </w:rPr>
            </w:pPr>
          </w:p>
        </w:tc>
      </w:tr>
      <w:tr>
        <w:trPr>
          <w:trHeight w:val="217"/>
        </w:trPr>
        <w:tc>
          <w:tcPr>
            <w:tcW w:w="5080" w:type="dxa"/>
            <w:vAlign w:val="bottom"/>
            <w:tcBorders>
              <w:bottom w:val="single" w:sz="8" w:color="CFF0FC"/>
            </w:tcBorders>
          </w:tcPr>
          <w:p>
            <w:pPr>
              <w:spacing w:after="0"/>
              <w:rPr>
                <w:sz w:val="18"/>
                <w:szCs w:val="18"/>
                <w:color w:val="auto"/>
              </w:rPr>
            </w:pPr>
          </w:p>
        </w:tc>
        <w:tc>
          <w:tcPr>
            <w:tcW w:w="170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87"/>
              </w:rPr>
              <w:t>( a )</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7"/>
              </w:rPr>
              <w:t>( b )</w:t>
            </w:r>
          </w:p>
        </w:tc>
        <w:tc>
          <w:tcPr>
            <w:tcW w:w="260" w:type="dxa"/>
            <w:vAlign w:val="bottom"/>
            <w:tcBorders>
              <w:bottom w:val="single" w:sz="8" w:color="CFF0FC"/>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 c )</w:t>
            </w:r>
          </w:p>
        </w:tc>
        <w:tc>
          <w:tcPr>
            <w:tcW w:w="120" w:type="dxa"/>
            <w:vAlign w:val="bottom"/>
            <w:tcBorders>
              <w:bottom w:val="single" w:sz="8" w:color="CFF0FC"/>
            </w:tcBorders>
          </w:tcPr>
          <w:p>
            <w:pPr>
              <w:spacing w:after="0"/>
              <w:rPr>
                <w:sz w:val="18"/>
                <w:szCs w:val="18"/>
                <w:color w:val="auto"/>
              </w:rPr>
            </w:pPr>
          </w:p>
        </w:tc>
      </w:tr>
      <w:tr>
        <w:trPr>
          <w:trHeight w:val="205"/>
        </w:trPr>
        <w:tc>
          <w:tcPr>
            <w:tcW w:w="678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color w:val="auto"/>
              </w:rPr>
              <w:t>Equity compensation plans approved by</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3"/>
        </w:trPr>
        <w:tc>
          <w:tcPr>
            <w:tcW w:w="6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1,440,760</w:t>
            </w:r>
          </w:p>
        </w:tc>
        <w:tc>
          <w:tcPr>
            <w:tcW w:w="120" w:type="dxa"/>
            <w:vAlign w:val="bottom"/>
            <w:shd w:val="clear" w:color="auto" w:fill="CFF0FC"/>
          </w:tcPr>
          <w:p>
            <w:pPr>
              <w:spacing w:after="0"/>
              <w:rPr>
                <w:sz w:val="19"/>
                <w:szCs w:val="19"/>
                <w:color w:val="auto"/>
              </w:rPr>
            </w:pPr>
          </w:p>
        </w:tc>
      </w:tr>
      <w:tr>
        <w:trPr>
          <w:trHeight w:val="211"/>
        </w:trPr>
        <w:tc>
          <w:tcPr>
            <w:tcW w:w="67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4"/>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1,440,760</w:t>
            </w:r>
          </w:p>
        </w:tc>
        <w:tc>
          <w:tcPr>
            <w:tcW w:w="12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w:t>
      </w:r>
    </w:p>
    <w:p>
      <w:pPr>
        <w:spacing w:after="0" w:line="115"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 information called for herein by Item 404 and paragraph (a) of Item 407 is presented in the proxy statement to be furnished in connection with the solicitation of proxies on behalf of the Board of Directors of the Registrant for use at its Annual Meeting to be held on April 16, 2020, and is incorporated herein by reference to the sections of the proxy statement captioned “Related Party Transactions” and “Director Independence.”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information called for by this Item is presented in the proxy statement to be furnished in connection with the solicitation of proxies on behalf of the Board of Directors of the Registrant for use at its Annual Meeting to be held on April 16, 2020, and is incorporated herein by reference to the section of the proxy statement captioned “Selection of Auditors/Principal Accounting Firm Fees.”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auto"/>
        </w:rPr>
        <w:t>PART IV</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STATEMENTS SCHEDULES</w:t>
      </w:r>
    </w:p>
    <w:p>
      <w:pPr>
        <w:spacing w:after="0" w:line="128" w:lineRule="exact"/>
        <w:rPr>
          <w:sz w:val="20"/>
          <w:szCs w:val="20"/>
          <w:color w:val="auto"/>
        </w:rPr>
      </w:pPr>
    </w:p>
    <w:p>
      <w:pPr>
        <w:ind w:left="1380" w:hanging="453"/>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82" w:lineRule="exact"/>
        <w:rPr>
          <w:rFonts w:ascii="Arial" w:cs="Arial" w:eastAsia="Arial" w:hAnsi="Arial"/>
          <w:sz w:val="18"/>
          <w:szCs w:val="18"/>
          <w:color w:val="auto"/>
        </w:rPr>
      </w:pPr>
    </w:p>
    <w:p>
      <w:pPr>
        <w:ind w:left="2400" w:right="5060" w:hanging="1012"/>
        <w:spacing w:after="0" w:line="251" w:lineRule="auto"/>
        <w:tabs>
          <w:tab w:leader="none" w:pos="24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Financial Statements (included in this 10-K under Item 8) Report of Independent Accountants</w:t>
      </w:r>
    </w:p>
    <w:p>
      <w:pPr>
        <w:ind w:left="2400" w:right="6620"/>
        <w:spacing w:after="0" w:line="293" w:lineRule="auto"/>
        <w:rPr>
          <w:rFonts w:ascii="Arial" w:cs="Arial" w:eastAsia="Arial" w:hAnsi="Arial"/>
          <w:sz w:val="18"/>
          <w:szCs w:val="18"/>
          <w:color w:val="auto"/>
        </w:rPr>
      </w:pPr>
      <w:r>
        <w:rPr>
          <w:rFonts w:ascii="Arial" w:cs="Arial" w:eastAsia="Arial" w:hAnsi="Arial"/>
          <w:sz w:val="15"/>
          <w:szCs w:val="15"/>
          <w:color w:val="auto"/>
        </w:rPr>
        <w:t>Consolidated Balance Sheets Consolidated Statements of Income</w:t>
      </w:r>
    </w:p>
    <w:p>
      <w:pPr>
        <w:ind w:left="2400" w:right="4820"/>
        <w:spacing w:after="0" w:line="274" w:lineRule="auto"/>
        <w:rPr>
          <w:rFonts w:ascii="Arial" w:cs="Arial" w:eastAsia="Arial" w:hAnsi="Arial"/>
          <w:sz w:val="18"/>
          <w:szCs w:val="18"/>
          <w:color w:val="auto"/>
        </w:rPr>
      </w:pPr>
      <w:r>
        <w:rPr>
          <w:rFonts w:ascii="Arial" w:cs="Arial" w:eastAsia="Arial" w:hAnsi="Arial"/>
          <w:sz w:val="16"/>
          <w:szCs w:val="16"/>
          <w:color w:val="auto"/>
        </w:rPr>
        <w:t>Consolidated Statements of Changes in Shareholders’ Equity Consolidated Statements of Cash Flows</w:t>
      </w:r>
    </w:p>
    <w:p>
      <w:pPr>
        <w:spacing w:after="0" w:line="1" w:lineRule="exact"/>
        <w:rPr>
          <w:rFonts w:ascii="Arial" w:cs="Arial" w:eastAsia="Arial" w:hAnsi="Arial"/>
          <w:sz w:val="18"/>
          <w:szCs w:val="18"/>
          <w:color w:val="auto"/>
        </w:rPr>
      </w:pPr>
    </w:p>
    <w:p>
      <w:pPr>
        <w:ind w:left="2400"/>
        <w:spacing w:after="0"/>
        <w:rPr>
          <w:rFonts w:ascii="Arial" w:cs="Arial" w:eastAsia="Arial" w:hAnsi="Arial"/>
          <w:sz w:val="18"/>
          <w:szCs w:val="18"/>
          <w:color w:val="auto"/>
        </w:rPr>
      </w:pPr>
      <w:r>
        <w:rPr>
          <w:rFonts w:ascii="Arial" w:cs="Arial" w:eastAsia="Arial" w:hAnsi="Arial"/>
          <w:sz w:val="18"/>
          <w:szCs w:val="18"/>
          <w:color w:val="auto"/>
        </w:rPr>
        <w:t>Note to Consolidated Financial Statements</w:t>
      </w:r>
    </w:p>
    <w:p>
      <w:pPr>
        <w:spacing w:after="0" w:line="71" w:lineRule="exact"/>
        <w:rPr>
          <w:rFonts w:ascii="Arial" w:cs="Arial" w:eastAsia="Arial" w:hAnsi="Arial"/>
          <w:sz w:val="18"/>
          <w:szCs w:val="18"/>
          <w:color w:val="auto"/>
        </w:rPr>
      </w:pPr>
    </w:p>
    <w:p>
      <w:pPr>
        <w:ind w:left="2400" w:right="6700" w:hanging="1012"/>
        <w:spacing w:after="0" w:line="324" w:lineRule="auto"/>
        <w:tabs>
          <w:tab w:leader="none" w:pos="24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Financial Statement Schedules Five Year Summary of Operations</w:t>
      </w:r>
    </w:p>
    <w:p>
      <w:pPr>
        <w:spacing w:after="0" w:line="3" w:lineRule="exact"/>
        <w:rPr>
          <w:rFonts w:ascii="Arial" w:cs="Arial" w:eastAsia="Arial" w:hAnsi="Arial"/>
          <w:sz w:val="16"/>
          <w:szCs w:val="16"/>
          <w:color w:val="auto"/>
        </w:rPr>
      </w:pPr>
    </w:p>
    <w:p>
      <w:pPr>
        <w:ind w:left="1380" w:hanging="453"/>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82" w:lineRule="exact"/>
        <w:rPr>
          <w:rFonts w:ascii="Arial" w:cs="Arial" w:eastAsia="Arial" w:hAnsi="Arial"/>
          <w:sz w:val="18"/>
          <w:szCs w:val="18"/>
          <w:color w:val="auto"/>
        </w:rPr>
      </w:pPr>
    </w:p>
    <w:p>
      <w:pPr>
        <w:ind w:left="2400" w:hanging="1014"/>
        <w:spacing w:after="0" w:line="262" w:lineRule="auto"/>
        <w:rPr>
          <w:rFonts w:ascii="Arial" w:cs="Arial" w:eastAsia="Arial" w:hAnsi="Arial"/>
          <w:sz w:val="18"/>
          <w:szCs w:val="18"/>
          <w:color w:val="0000EE"/>
        </w:rPr>
      </w:pPr>
      <w:r>
        <w:rPr>
          <w:rFonts w:ascii="Arial" w:cs="Arial" w:eastAsia="Arial" w:hAnsi="Arial"/>
          <w:sz w:val="18"/>
          <w:szCs w:val="18"/>
          <w:color w:val="auto"/>
        </w:rPr>
        <w:t>(3.1)</w:t>
      </w:r>
      <w:hyperlink r:id="rId144">
        <w:r>
          <w:rPr>
            <w:rFonts w:ascii="Arial" w:cs="Arial" w:eastAsia="Arial" w:hAnsi="Arial"/>
            <w:sz w:val="18"/>
            <w:szCs w:val="18"/>
            <w:u w:val="single" w:color="auto"/>
            <w:color w:val="0000EE"/>
          </w:rPr>
          <w:t>Amended Articles of Incorporation of the Registrant (incorporated by reference to Exhibit 3.1 to Registrant's Quarterly Repor</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Form 10-Q filed with the Commission on October 25, 2017)</w:t>
        </w:r>
        <w:r>
          <w:rPr>
            <w:rFonts w:ascii="Arial" w:cs="Arial" w:eastAsia="Arial" w:hAnsi="Arial"/>
            <w:sz w:val="18"/>
            <w:szCs w:val="18"/>
            <w:color w:val="000000"/>
          </w:rPr>
          <w:t>.</w:t>
        </w:r>
      </w:hyperlink>
    </w:p>
    <w:p>
      <w:pPr>
        <w:spacing w:after="0" w:line="48" w:lineRule="exact"/>
        <w:rPr>
          <w:rFonts w:ascii="Arial" w:cs="Arial" w:eastAsia="Arial" w:hAnsi="Arial"/>
          <w:sz w:val="18"/>
          <w:szCs w:val="18"/>
          <w:color w:val="0000EE"/>
        </w:rPr>
      </w:pPr>
    </w:p>
    <w:p>
      <w:pPr>
        <w:ind w:left="2400" w:hanging="1014"/>
        <w:spacing w:after="0" w:line="262" w:lineRule="auto"/>
        <w:rPr>
          <w:rFonts w:ascii="Arial" w:cs="Arial" w:eastAsia="Arial" w:hAnsi="Arial"/>
          <w:sz w:val="18"/>
          <w:szCs w:val="18"/>
          <w:u w:val="single" w:color="auto"/>
          <w:color w:val="0000EE"/>
        </w:rPr>
      </w:pPr>
      <w:r>
        <w:rPr>
          <w:rFonts w:ascii="Arial" w:cs="Arial" w:eastAsia="Arial" w:hAnsi="Arial"/>
          <w:sz w:val="18"/>
          <w:szCs w:val="18"/>
          <w:color w:val="auto"/>
        </w:rPr>
        <w:t>(3.2)</w:t>
      </w:r>
      <w:hyperlink r:id="rId145">
        <w:r>
          <w:rPr>
            <w:rFonts w:ascii="Arial" w:cs="Arial" w:eastAsia="Arial" w:hAnsi="Arial"/>
            <w:sz w:val="18"/>
            <w:szCs w:val="18"/>
            <w:u w:val="single" w:color="auto"/>
            <w:color w:val="0000EE"/>
          </w:rPr>
          <w:t>Code of Regulations of the Registrant (incorporated by reference to Exhibit 3.2 to the Company’s Quarterly Report on Form 1</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that was filed with the Commission on July 26, 2017).</w:t>
        </w:r>
      </w:hyperlink>
    </w:p>
    <w:p>
      <w:pPr>
        <w:spacing w:after="0" w:line="25" w:lineRule="exact"/>
        <w:rPr>
          <w:rFonts w:ascii="Arial" w:cs="Arial" w:eastAsia="Arial" w:hAnsi="Arial"/>
          <w:sz w:val="18"/>
          <w:szCs w:val="18"/>
          <w:color w:val="0000EE"/>
        </w:rPr>
      </w:pPr>
    </w:p>
    <w:tbl>
      <w:tblPr>
        <w:tblLayout w:type="fixed"/>
        <w:tblInd w:w="138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9120" w:type="dxa"/>
            <w:vAlign w:val="bottom"/>
            <w:gridSpan w:val="5"/>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Description of Registrant’s Common Stock</w:t>
              </w:r>
            </w:hyperlink>
            <w:r>
              <w:rPr>
                <w:rFonts w:ascii="Arial" w:cs="Arial" w:eastAsia="Arial" w:hAnsi="Arial"/>
                <w:sz w:val="18"/>
                <w:szCs w:val="18"/>
                <w:u w:val="single" w:color="auto"/>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9120" w:type="dxa"/>
            <w:vAlign w:val="bottom"/>
            <w:tcBorders>
              <w:bottom w:val="single" w:sz="8" w:color="0000EE"/>
            </w:tcBorders>
            <w:gridSpan w:val="5"/>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Form of Change in Control Agreement executed by and between the Company and Barbara J. Britenriker on December 26, 2</w:t>
              </w:r>
            </w:hyperlink>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9100" w:type="dxa"/>
            <w:vAlign w:val="bottom"/>
            <w:tcBorders>
              <w:bottom w:val="single" w:sz="8" w:color="0000EE"/>
            </w:tcBorders>
            <w:gridSpan w:val="4"/>
          </w:tcPr>
          <w:p>
            <w:pPr>
              <w:spacing w:after="0" w:line="191"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(incorporated by reference to Exhibit 10.1 to the Annual Report on Form 10-K filed with the Commission on February 25, 2013).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9120" w:type="dxa"/>
            <w:vAlign w:val="bottom"/>
            <w:tcBorders>
              <w:bottom w:val="single" w:sz="8" w:color="0000EE"/>
            </w:tcBorders>
            <w:gridSpan w:val="5"/>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Form of Change in Control Agreement executed by and between the Company and each of Edward A. Leininger and Rex D.</w:t>
              </w:r>
            </w:hyperlink>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9120" w:type="dxa"/>
            <w:vAlign w:val="bottom"/>
            <w:tcBorders>
              <w:bottom w:val="single" w:sz="8" w:color="0000EE"/>
            </w:tcBorders>
            <w:gridSpan w:val="5"/>
          </w:tcPr>
          <w:p>
            <w:pPr>
              <w:spacing w:after="0" w:line="191"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respectively, on December 26, 2012 (incorporated by reference to Exhibit 10.2 to the Annual Report on Form 10-K filed with</w:t>
              </w:r>
            </w:hyperlink>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9120" w:type="dxa"/>
            <w:vAlign w:val="bottom"/>
            <w:gridSpan w:val="5"/>
          </w:tcPr>
          <w:p>
            <w:pPr>
              <w:spacing w:after="0" w:line="191" w:lineRule="exact"/>
              <w:rPr>
                <w:rFonts w:ascii="Arial" w:cs="Arial" w:eastAsia="Arial" w:hAnsi="Arial"/>
                <w:sz w:val="18"/>
                <w:szCs w:val="18"/>
                <w:color w:val="0000EE"/>
              </w:rPr>
            </w:pPr>
            <w:hyperlink r:id="rId147">
              <w:r>
                <w:rPr>
                  <w:rFonts w:ascii="Arial" w:cs="Arial" w:eastAsia="Arial" w:hAnsi="Arial"/>
                  <w:sz w:val="18"/>
                  <w:szCs w:val="18"/>
                  <w:color w:val="0000EE"/>
                </w:rPr>
                <w:t>Commission on February 25, 2013).</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24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020" w:type="dxa"/>
            <w:vAlign w:val="bottom"/>
            <w:vMerge w:val="continue"/>
          </w:tcPr>
          <w:p>
            <w:pPr>
              <w:spacing w:after="0"/>
              <w:rPr>
                <w:sz w:val="24"/>
                <w:szCs w:val="24"/>
                <w:color w:val="auto"/>
              </w:rPr>
            </w:pPr>
          </w:p>
        </w:tc>
        <w:tc>
          <w:tcPr>
            <w:tcW w:w="9120" w:type="dxa"/>
            <w:vAlign w:val="bottom"/>
            <w:gridSpan w:val="5"/>
            <w:vMerge w:val="restart"/>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Employment Agreement executed by and between The Farmers &amp; Merchants State Bank and Lars B. Eller on September 13, 2</w:t>
              </w:r>
            </w:hyperlink>
          </w:p>
        </w:tc>
        <w:tc>
          <w:tcPr>
            <w:tcW w:w="0" w:type="dxa"/>
            <w:vAlign w:val="bottom"/>
          </w:tcPr>
          <w:p>
            <w:pPr>
              <w:spacing w:after="0"/>
              <w:rPr>
                <w:sz w:val="1"/>
                <w:szCs w:val="1"/>
                <w:color w:val="auto"/>
              </w:rPr>
            </w:pPr>
          </w:p>
        </w:tc>
      </w:tr>
      <w:tr>
        <w:trPr>
          <w:trHeight w:val="45"/>
        </w:trPr>
        <w:tc>
          <w:tcPr>
            <w:tcW w:w="1020" w:type="dxa"/>
            <w:vAlign w:val="bottom"/>
          </w:tcPr>
          <w:p>
            <w:pPr>
              <w:spacing w:after="0"/>
              <w:rPr>
                <w:sz w:val="3"/>
                <w:szCs w:val="3"/>
                <w:color w:val="auto"/>
              </w:rPr>
            </w:pPr>
          </w:p>
        </w:tc>
        <w:tc>
          <w:tcPr>
            <w:tcW w:w="9120" w:type="dxa"/>
            <w:vAlign w:val="bottom"/>
            <w:tcBorders>
              <w:bottom w:val="single" w:sz="8" w:color="0000EE"/>
            </w:tcBorders>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9120" w:type="dxa"/>
            <w:vAlign w:val="bottom"/>
            <w:tcBorders>
              <w:bottom w:val="single" w:sz="8" w:color="0000EE"/>
            </w:tcBorders>
            <w:gridSpan w:val="5"/>
          </w:tcPr>
          <w:p>
            <w:pPr>
              <w:spacing w:after="0" w:line="191"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(incorporated by reference to Exhibit 10.1 to Registrant’s Report on Form 8-K filed with the Commission on September 13, 2018)</w:t>
              </w:r>
            </w:hyperlink>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9120" w:type="dxa"/>
            <w:vAlign w:val="bottom"/>
            <w:tcBorders>
              <w:bottom w:val="single" w:sz="8" w:color="0000EE"/>
            </w:tcBorders>
            <w:gridSpan w:val="5"/>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Farmers &amp; Merchants Bancorp, Inc. 2015 Long-Term Stock Incentive Plan (incorporated by reference to Appendix A to Registr</w:t>
              </w:r>
            </w:hyperlink>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7180" w:type="dxa"/>
            <w:vAlign w:val="bottom"/>
            <w:tcBorders>
              <w:bottom w:val="single" w:sz="8" w:color="0000EE"/>
            </w:tcBorders>
            <w:gridSpan w:val="3"/>
          </w:tcPr>
          <w:p>
            <w:pPr>
              <w:spacing w:after="0" w:line="191"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Definitive 14A Proxy Statement, File No. 000-14492, filed with the Commission on March 16, 2015).</w:t>
              </w:r>
            </w:hyperlink>
          </w:p>
        </w:tc>
        <w:tc>
          <w:tcPr>
            <w:tcW w:w="19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(10.55)</w:t>
            </w:r>
          </w:p>
        </w:tc>
        <w:tc>
          <w:tcPr>
            <w:tcW w:w="9120" w:type="dxa"/>
            <w:vAlign w:val="bottom"/>
            <w:tcBorders>
              <w:bottom w:val="single" w:sz="8" w:color="0000EE"/>
            </w:tcBorders>
            <w:gridSpan w:val="5"/>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Form on Restricted Stock Agreement (incorporated by reference to Exhibit 10.2 to the Quarterly Report on Form 10-Q filed with</w:t>
              </w:r>
            </w:hyperlink>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2480" w:type="dxa"/>
            <w:vAlign w:val="bottom"/>
            <w:tcBorders>
              <w:bottom w:val="single" w:sz="8" w:color="0000EE"/>
            </w:tcBorders>
          </w:tcPr>
          <w:p>
            <w:pPr>
              <w:spacing w:after="0" w:line="191" w:lineRule="exact"/>
              <w:rPr>
                <w:rFonts w:ascii="Arial" w:cs="Arial" w:eastAsia="Arial" w:hAnsi="Arial"/>
                <w:sz w:val="18"/>
                <w:szCs w:val="18"/>
                <w:color w:val="0000EE"/>
                <w:w w:val="88"/>
              </w:rPr>
            </w:pPr>
            <w:hyperlink r:id="rId150">
              <w:r>
                <w:rPr>
                  <w:rFonts w:ascii="Arial" w:cs="Arial" w:eastAsia="Arial" w:hAnsi="Arial"/>
                  <w:sz w:val="18"/>
                  <w:szCs w:val="18"/>
                  <w:color w:val="0000EE"/>
                  <w:w w:val="88"/>
                </w:rPr>
                <w:t>Commission on October 27, 2005).</w:t>
              </w:r>
            </w:hyperlink>
          </w:p>
        </w:tc>
        <w:tc>
          <w:tcPr>
            <w:tcW w:w="66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400" w:hanging="1012"/>
        <w:spacing w:after="0"/>
        <w:tabs>
          <w:tab w:leader="none" w:pos="2400" w:val="left"/>
        </w:tabs>
        <w:numPr>
          <w:ilvl w:val="0"/>
          <w:numId w:val="21"/>
        </w:numPr>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Subsidiaries of Farmers &amp; Merchants Bancorp, Inc.</w:t>
        </w:r>
      </w:hyperlink>
    </w:p>
    <w:p>
      <w:pPr>
        <w:spacing w:after="0" w:line="59"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6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Certification of the Chief Executive Officer Required under Rule 13(a)-14(a)/15d-14(a)</w:t>
              </w:r>
            </w:hyperlink>
          </w:p>
        </w:tc>
        <w:tc>
          <w:tcPr>
            <w:tcW w:w="1160" w:type="dxa"/>
            <w:vAlign w:val="bottom"/>
            <w:gridSpan w:val="2"/>
          </w:tcPr>
          <w:p>
            <w:pPr>
              <w:spacing w:after="0"/>
              <w:rPr>
                <w:sz w:val="18"/>
                <w:szCs w:val="18"/>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7320" w:type="dxa"/>
            <w:vAlign w:val="bottom"/>
            <w:gridSpan w:val="4"/>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Certification of the Chief Financial Officer Required under Rule 13(a)-14(a)/15d-14(a)</w:t>
              </w:r>
            </w:hyperlink>
          </w:p>
        </w:tc>
      </w:tr>
      <w:tr>
        <w:trPr>
          <w:trHeight w:val="20"/>
        </w:trPr>
        <w:tc>
          <w:tcPr>
            <w:tcW w:w="1020" w:type="dxa"/>
            <w:vAlign w:val="bottom"/>
          </w:tcPr>
          <w:p>
            <w:pPr>
              <w:spacing w:after="0" w:line="20" w:lineRule="exact"/>
              <w:rPr>
                <w:sz w:val="1"/>
                <w:szCs w:val="1"/>
                <w:color w:val="auto"/>
              </w:rPr>
            </w:pPr>
          </w:p>
        </w:tc>
        <w:tc>
          <w:tcPr>
            <w:tcW w:w="61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73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Certification of the Chief Executive Officer Pursuant to Section 906 of the Sarbanes-Oxley Act of 2002.</w:t>
              </w:r>
            </w:hyperlink>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7320" w:type="dxa"/>
            <w:vAlign w:val="bottom"/>
            <w:gridSpan w:val="4"/>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Certification of the Chief Financial Officer Pursuant to Section 906 of the Sarbanes-Oxley Act of 2002</w:t>
              </w:r>
            </w:hyperlink>
            <w:r>
              <w:rPr>
                <w:rFonts w:ascii="Arial" w:cs="Arial" w:eastAsia="Arial" w:hAnsi="Arial"/>
                <w:sz w:val="18"/>
                <w:szCs w:val="18"/>
                <w:color w:val="000000"/>
                <w:w w:val="90"/>
              </w:rPr>
              <w:t>.</w:t>
            </w:r>
          </w:p>
        </w:tc>
      </w:tr>
      <w:tr>
        <w:trPr>
          <w:trHeight w:val="309"/>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72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 (1)</w:t>
            </w:r>
          </w:p>
        </w:tc>
        <w:tc>
          <w:tcPr>
            <w:tcW w:w="100" w:type="dxa"/>
            <w:vAlign w:val="bottom"/>
          </w:tcPr>
          <w:p>
            <w:pPr>
              <w:spacing w:after="0"/>
              <w:rPr>
                <w:sz w:val="24"/>
                <w:szCs w:val="24"/>
                <w:color w:val="auto"/>
              </w:rPr>
            </w:pP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73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 (1)</w:t>
            </w: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73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73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 (1)</w:t>
            </w: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73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 (1)</w:t>
            </w: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73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 (1)</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520"/>
          </w:cols>
          <w:pgMar w:left="240" w:top="187" w:right="1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5160" w:type="dxa"/>
        <w:tblCellMar>
          <w:top w:w="0" w:type="dxa"/>
          <w:left w:w="0" w:type="dxa"/>
          <w:bottom w:w="0" w:type="dxa"/>
          <w:right w:w="0" w:type="dxa"/>
        </w:tblCellMar>
      </w:tblPr>
      <w:tr>
        <w:trPr>
          <w:trHeight w:val="223"/>
        </w:trPr>
        <w:tc>
          <w:tcPr>
            <w:tcW w:w="3680" w:type="dxa"/>
            <w:vAlign w:val="bottom"/>
            <w:gridSpan w:val="2"/>
          </w:tcPr>
          <w:p>
            <w:pPr>
              <w:spacing w:after="0"/>
              <w:rPr>
                <w:sz w:val="20"/>
                <w:szCs w:val="20"/>
                <w:color w:val="auto"/>
              </w:rPr>
            </w:pPr>
            <w:r>
              <w:rPr>
                <w:rFonts w:ascii="Arial" w:cs="Arial" w:eastAsia="Arial" w:hAnsi="Arial"/>
                <w:sz w:val="18"/>
                <w:szCs w:val="18"/>
                <w:color w:val="auto"/>
              </w:rPr>
              <w:t>By  /s/ Lars B. Eller</w:t>
            </w:r>
          </w:p>
        </w:tc>
        <w:tc>
          <w:tcPr>
            <w:tcW w:w="600" w:type="dxa"/>
            <w:vAlign w:val="bottom"/>
          </w:tcPr>
          <w:p>
            <w:pPr>
              <w:ind w:left="100"/>
              <w:spacing w:after="0"/>
              <w:rPr>
                <w:sz w:val="20"/>
                <w:szCs w:val="20"/>
                <w:color w:val="auto"/>
              </w:rPr>
            </w:pPr>
            <w:r>
              <w:rPr>
                <w:rFonts w:ascii="Arial" w:cs="Arial" w:eastAsia="Arial" w:hAnsi="Arial"/>
                <w:sz w:val="18"/>
                <w:szCs w:val="18"/>
                <w:color w:val="auto"/>
              </w:rPr>
              <w:t>Date:</w:t>
            </w:r>
          </w:p>
        </w:tc>
        <w:tc>
          <w:tcPr>
            <w:tcW w:w="1980" w:type="dxa"/>
            <w:vAlign w:val="bottom"/>
            <w:gridSpan w:val="2"/>
          </w:tcPr>
          <w:p>
            <w:pPr>
              <w:ind w:left="120"/>
              <w:spacing w:after="0"/>
              <w:rPr>
                <w:sz w:val="20"/>
                <w:szCs w:val="20"/>
                <w:color w:val="auto"/>
              </w:rPr>
            </w:pPr>
            <w:r>
              <w:rPr>
                <w:rFonts w:ascii="Arial" w:cs="Arial" w:eastAsia="Arial" w:hAnsi="Arial"/>
                <w:sz w:val="18"/>
                <w:szCs w:val="18"/>
                <w:color w:val="auto"/>
              </w:rPr>
              <w:t>February 21, 2020</w:t>
            </w:r>
          </w:p>
        </w:tc>
      </w:tr>
      <w:tr>
        <w:trPr>
          <w:trHeight w:val="192"/>
        </w:trPr>
        <w:tc>
          <w:tcPr>
            <w:tcW w:w="340" w:type="dxa"/>
            <w:vAlign w:val="bottom"/>
          </w:tcPr>
          <w:p>
            <w:pPr>
              <w:spacing w:after="0"/>
              <w:rPr>
                <w:sz w:val="16"/>
                <w:szCs w:val="16"/>
                <w:color w:val="auto"/>
              </w:rPr>
            </w:pPr>
          </w:p>
        </w:tc>
        <w:tc>
          <w:tcPr>
            <w:tcW w:w="334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Lars B. Eller</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r>
      <w:tr>
        <w:trPr>
          <w:trHeight w:val="211"/>
        </w:trPr>
        <w:tc>
          <w:tcPr>
            <w:tcW w:w="368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2"/>
        </w:trPr>
        <w:tc>
          <w:tcPr>
            <w:tcW w:w="3680" w:type="dxa"/>
            <w:vAlign w:val="bottom"/>
            <w:gridSpan w:val="2"/>
          </w:tcPr>
          <w:p>
            <w:pPr>
              <w:ind w:left="340"/>
              <w:spacing w:after="0"/>
              <w:rPr>
                <w:sz w:val="20"/>
                <w:szCs w:val="20"/>
                <w:color w:val="auto"/>
              </w:rPr>
            </w:pPr>
            <w:r>
              <w:rPr>
                <w:rFonts w:ascii="Arial" w:cs="Arial" w:eastAsia="Arial" w:hAnsi="Arial"/>
                <w:sz w:val="18"/>
                <w:szCs w:val="18"/>
                <w:color w:val="auto"/>
              </w:rPr>
              <w:t>President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000" w:type="dxa"/>
            <w:vAlign w:val="bottom"/>
            <w:gridSpan w:val="2"/>
          </w:tcPr>
          <w:p>
            <w:pPr>
              <w:spacing w:after="0"/>
              <w:rPr>
                <w:sz w:val="20"/>
                <w:szCs w:val="20"/>
                <w:color w:val="auto"/>
              </w:rPr>
            </w:pPr>
            <w:r>
              <w:rPr>
                <w:rFonts w:ascii="Arial" w:cs="Arial" w:eastAsia="Arial" w:hAnsi="Arial"/>
                <w:sz w:val="18"/>
                <w:szCs w:val="18"/>
                <w:color w:val="auto"/>
              </w:rPr>
              <w:t>/s/ Lars B. Eller</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320" w:type="dxa"/>
            <w:vAlign w:val="bottom"/>
          </w:tcPr>
          <w:p>
            <w:pPr>
              <w:spacing w:after="0"/>
              <w:rPr>
                <w:sz w:val="19"/>
                <w:szCs w:val="19"/>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Barbara J. Britenriker</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Lars B. Eller</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Barbara J. Britenriker</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80" w:type="dxa"/>
            <w:vAlign w:val="bottom"/>
            <w:gridSpan w:val="5"/>
          </w:tcPr>
          <w:p>
            <w:pPr>
              <w:spacing w:after="0"/>
              <w:rPr>
                <w:sz w:val="20"/>
                <w:szCs w:val="20"/>
                <w:color w:val="auto"/>
              </w:rPr>
            </w:pPr>
            <w:r>
              <w:rPr>
                <w:rFonts w:ascii="Arial" w:cs="Arial" w:eastAsia="Arial" w:hAnsi="Arial"/>
                <w:sz w:val="18"/>
                <w:szCs w:val="18"/>
                <w:color w:val="auto"/>
              </w:rPr>
              <w:t>Chief Executive Officer (Principal Executive Officer)</w:t>
            </w:r>
          </w:p>
        </w:tc>
        <w:tc>
          <w:tcPr>
            <w:tcW w:w="320" w:type="dxa"/>
            <w:vAlign w:val="bottom"/>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/s/ Andrew J. Briggs</w:t>
            </w:r>
          </w:p>
        </w:tc>
        <w:tc>
          <w:tcPr>
            <w:tcW w:w="600" w:type="dxa"/>
            <w:vAlign w:val="bottom"/>
            <w:vMerge w:val="restart"/>
          </w:tcPr>
          <w:p>
            <w:pPr>
              <w:ind w:left="80"/>
              <w:spacing w:after="0"/>
              <w:rPr>
                <w:sz w:val="20"/>
                <w:szCs w:val="20"/>
                <w:color w:val="auto"/>
              </w:rPr>
            </w:pPr>
            <w:r>
              <w:rPr>
                <w:rFonts w:ascii="Arial" w:cs="Arial" w:eastAsia="Arial" w:hAnsi="Arial"/>
                <w:sz w:val="18"/>
                <w:szCs w:val="18"/>
                <w:color w:val="auto"/>
              </w:rPr>
              <w:t>Date:</w:t>
            </w:r>
          </w:p>
        </w:tc>
        <w:tc>
          <w:tcPr>
            <w:tcW w:w="1680" w:type="dxa"/>
            <w:vAlign w:val="bottom"/>
            <w:gridSpan w:val="2"/>
            <w:vMerge w:val="restart"/>
          </w:tcPr>
          <w:p>
            <w:pPr>
              <w:ind w:left="140"/>
              <w:spacing w:after="0"/>
              <w:rPr>
                <w:sz w:val="20"/>
                <w:szCs w:val="20"/>
                <w:color w:val="auto"/>
              </w:rPr>
            </w:pPr>
            <w:r>
              <w:rPr>
                <w:rFonts w:ascii="Arial" w:cs="Arial" w:eastAsia="Arial" w:hAnsi="Arial"/>
                <w:sz w:val="18"/>
                <w:szCs w:val="18"/>
                <w:color w:val="auto"/>
              </w:rPr>
              <w:t>February 21, 2020</w:t>
            </w:r>
          </w:p>
        </w:tc>
        <w:tc>
          <w:tcPr>
            <w:tcW w:w="320" w:type="dxa"/>
            <w:vAlign w:val="bottom"/>
          </w:tcPr>
          <w:p>
            <w:pPr>
              <w:spacing w:after="0"/>
              <w:rPr>
                <w:sz w:val="19"/>
                <w:szCs w:val="19"/>
                <w:color w:val="auto"/>
              </w:rPr>
            </w:pPr>
          </w:p>
        </w:tc>
        <w:tc>
          <w:tcPr>
            <w:tcW w:w="5760" w:type="dxa"/>
            <w:vAlign w:val="bottom"/>
            <w:gridSpan w:val="5"/>
          </w:tcPr>
          <w:p>
            <w:pPr>
              <w:ind w:left="200"/>
              <w:spacing w:after="0"/>
              <w:rPr>
                <w:sz w:val="20"/>
                <w:szCs w:val="20"/>
                <w:color w:val="auto"/>
              </w:rPr>
            </w:pPr>
            <w:r>
              <w:rPr>
                <w:rFonts w:ascii="Arial" w:cs="Arial" w:eastAsia="Arial" w:hAnsi="Arial"/>
                <w:sz w:val="18"/>
                <w:szCs w:val="18"/>
                <w:color w:val="auto"/>
              </w:rPr>
              <w:t>(Principal Financial Officer/Principal Accounting Officer)</w:t>
            </w:r>
          </w:p>
        </w:tc>
        <w:tc>
          <w:tcPr>
            <w:tcW w:w="0" w:type="dxa"/>
            <w:vAlign w:val="bottom"/>
          </w:tcPr>
          <w:p>
            <w:pPr>
              <w:spacing w:after="0"/>
              <w:rPr>
                <w:sz w:val="1"/>
                <w:szCs w:val="1"/>
                <w:color w:val="auto"/>
              </w:rPr>
            </w:pPr>
          </w:p>
        </w:tc>
      </w:tr>
      <w:tr>
        <w:trPr>
          <w:trHeight w:val="199"/>
        </w:trPr>
        <w:tc>
          <w:tcPr>
            <w:tcW w:w="30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Andrew J. Briggs, Director</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000" w:type="dxa"/>
            <w:vAlign w:val="bottom"/>
            <w:gridSpan w:val="2"/>
          </w:tcPr>
          <w:p>
            <w:pPr>
              <w:spacing w:after="0"/>
              <w:rPr>
                <w:sz w:val="20"/>
                <w:szCs w:val="20"/>
                <w:color w:val="auto"/>
              </w:rPr>
            </w:pPr>
            <w:r>
              <w:rPr>
                <w:rFonts w:ascii="Arial" w:cs="Arial" w:eastAsia="Arial" w:hAnsi="Arial"/>
                <w:sz w:val="18"/>
                <w:szCs w:val="18"/>
                <w:color w:val="auto"/>
              </w:rPr>
              <w:t>/s/ Eugene N. Burkholder</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320" w:type="dxa"/>
            <w:vAlign w:val="bottom"/>
          </w:tcPr>
          <w:p>
            <w:pPr>
              <w:spacing w:after="0"/>
              <w:rPr>
                <w:sz w:val="24"/>
                <w:szCs w:val="24"/>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Steven A. Everhart</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Eugene N. Burkholder, Director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A. Everhart, Director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000" w:type="dxa"/>
            <w:vAlign w:val="bottom"/>
            <w:gridSpan w:val="2"/>
          </w:tcPr>
          <w:p>
            <w:pPr>
              <w:spacing w:after="0"/>
              <w:rPr>
                <w:sz w:val="20"/>
                <w:szCs w:val="20"/>
                <w:color w:val="auto"/>
              </w:rPr>
            </w:pPr>
            <w:r>
              <w:rPr>
                <w:rFonts w:ascii="Arial" w:cs="Arial" w:eastAsia="Arial" w:hAnsi="Arial"/>
                <w:sz w:val="18"/>
                <w:szCs w:val="18"/>
                <w:color w:val="auto"/>
              </w:rPr>
              <w:t>/s/ Jo Ellen Hornish</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320" w:type="dxa"/>
            <w:vAlign w:val="bottom"/>
          </w:tcPr>
          <w:p>
            <w:pPr>
              <w:spacing w:after="0"/>
              <w:rPr>
                <w:sz w:val="24"/>
                <w:szCs w:val="24"/>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Jack C. Johnson</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 Ellen Hornish, Director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Jack C. Johnson, Director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000" w:type="dxa"/>
            <w:vAlign w:val="bottom"/>
            <w:gridSpan w:val="2"/>
          </w:tcPr>
          <w:p>
            <w:pPr>
              <w:spacing w:after="0"/>
              <w:rPr>
                <w:sz w:val="20"/>
                <w:szCs w:val="20"/>
                <w:color w:val="auto"/>
              </w:rPr>
            </w:pPr>
            <w:r>
              <w:rPr>
                <w:rFonts w:ascii="Arial" w:cs="Arial" w:eastAsia="Arial" w:hAnsi="Arial"/>
                <w:sz w:val="18"/>
                <w:szCs w:val="18"/>
                <w:color w:val="auto"/>
              </w:rPr>
              <w:t>/s/ Marcia S. Latta</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320" w:type="dxa"/>
            <w:vAlign w:val="bottom"/>
          </w:tcPr>
          <w:p>
            <w:pPr>
              <w:spacing w:after="0"/>
              <w:rPr>
                <w:sz w:val="24"/>
                <w:szCs w:val="24"/>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Steven J. Planson</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Marcia S. Latta, Director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J. Planson, Director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000" w:type="dxa"/>
            <w:vAlign w:val="bottom"/>
            <w:gridSpan w:val="2"/>
          </w:tcPr>
          <w:p>
            <w:pPr>
              <w:spacing w:after="0"/>
              <w:rPr>
                <w:sz w:val="20"/>
                <w:szCs w:val="20"/>
                <w:color w:val="auto"/>
              </w:rPr>
            </w:pPr>
            <w:r>
              <w:rPr>
                <w:rFonts w:ascii="Arial" w:cs="Arial" w:eastAsia="Arial" w:hAnsi="Arial"/>
                <w:sz w:val="18"/>
                <w:szCs w:val="18"/>
                <w:color w:val="auto"/>
              </w:rPr>
              <w:t>/s/ Anthony J. Rupp</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320" w:type="dxa"/>
            <w:vAlign w:val="bottom"/>
          </w:tcPr>
          <w:p>
            <w:pPr>
              <w:spacing w:after="0"/>
              <w:rPr>
                <w:sz w:val="24"/>
                <w:szCs w:val="24"/>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Kevin J. Sauder</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Anthony J. Rupp, Director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J. Sauder, Director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000" w:type="dxa"/>
            <w:vAlign w:val="bottom"/>
            <w:gridSpan w:val="2"/>
          </w:tcPr>
          <w:p>
            <w:pPr>
              <w:spacing w:after="0"/>
              <w:rPr>
                <w:sz w:val="20"/>
                <w:szCs w:val="20"/>
                <w:color w:val="auto"/>
              </w:rPr>
            </w:pPr>
            <w:r>
              <w:rPr>
                <w:rFonts w:ascii="Arial" w:cs="Arial" w:eastAsia="Arial" w:hAnsi="Arial"/>
                <w:sz w:val="18"/>
                <w:szCs w:val="18"/>
                <w:color w:val="auto"/>
              </w:rPr>
              <w:t>/s/ Paul S. Siebenmorgen</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320" w:type="dxa"/>
            <w:vAlign w:val="bottom"/>
          </w:tcPr>
          <w:p>
            <w:pPr>
              <w:spacing w:after="0"/>
              <w:rPr>
                <w:sz w:val="24"/>
                <w:szCs w:val="24"/>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K. Brad Stamm</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S. Siebenmorgen, Director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40" w:type="dxa"/>
            <w:vAlign w:val="bottom"/>
            <w:gridSpan w:val="2"/>
          </w:tcPr>
          <w:p>
            <w:pPr>
              <w:ind w:left="200"/>
              <w:spacing w:after="0" w:line="204" w:lineRule="exact"/>
              <w:rPr>
                <w:sz w:val="20"/>
                <w:szCs w:val="20"/>
                <w:color w:val="auto"/>
              </w:rPr>
            </w:pPr>
            <w:r>
              <w:rPr>
                <w:rFonts w:ascii="Arial" w:cs="Arial" w:eastAsia="Arial" w:hAnsi="Arial"/>
                <w:sz w:val="18"/>
                <w:szCs w:val="18"/>
                <w:color w:val="auto"/>
              </w:rPr>
              <w:t>K. Brad Stamm, Director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0"/>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60" w:type="dxa"/>
            <w:vAlign w:val="bottom"/>
            <w:gridSpan w:val="3"/>
          </w:tcPr>
          <w:p>
            <w:pPr>
              <w:jc w:val="right"/>
              <w:ind w:right="2752"/>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87"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Exhibit 4.1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REGISTERED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Farmers &amp; Merchants Bancorp, Inc. (the “Registrant”) is a corporation organized under the laws of the State of Ohio and a financial holding company registered under the Bank Holding Company Act of 1956, as amended. The Registrant’s common shares are registered with the Securities and Exchange Commission under Section 12(b) of the Securities Exchange Act of 1934 pursuant to a registration statement on Form 8-A.</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Set forth below is a description of the Registrant’s common shares. This description is qualified in its entirety by reference to the Registrant’s Amended Articles of Incorporation (the “Articles”), its Amended Code of Regulations (the “Code”), and the relevant provisions of Ohio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8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 xml:space="preserve">At all meetings of the Registrant’s shareholders, 33 </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shares entitled to vote, represented either in person or by proxy, shall constitute a quorum for the transaction of business. Except in the election of members of the Registrant’s board of directors (the “Board” and “Directors” as applicable) where the Shares may be voted cumulatively, the holders of the Shares are entitled at all times to one vote for each Share. Except with respect to the election of Directors, and as otherwise provided by the Articles or the Code, or by applicable law, a majority of votes cast at any meeting at which a quorum is present shall determine the outcome of any motion.</w:t>
      </w:r>
    </w:p>
    <w:p>
      <w:pPr>
        <w:spacing w:after="0" w:line="17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Directors are elected by a plurality of the votes cast, which means that the nominees receiving the largest number of votes FOR will be elected. The laws of Ohio and the Registrant’s Articles permit cumulative voting in the election of Directors if a shareholder submits the appropriate written notice to the Registrant not less than 48 hours before the time fixed for holding a meeting of shareholders for the purpose of electing Directors, and the appropriate announcement of the giving of such notice is made upon the convening of the meeting. Cumulative voting rights allow shareholders to multiply the number of shares owned by them times the number of Directors to be elected to calculate their total respective voting power and to cast such votes for one nominee or to allocate such votes among nominees as they deem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Shareholders possess the preemptive right to subscribe for additional shares of the Registrant if and when offered for sale thereby. The Ohio General Corporation Law provides that shareholders having preemptive rights shall have the right, during a reasonable time and on reasonable terms fixed by the Directors, to purchase additional shares of the Registrant in proportion to their respective holdings, subject to a limited number of exceptions.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event of any liquidation, dissolution or winding up of the Registrant, the remaining assets of the Registrant, after the payment of all debts and necessary expenses, will be distributed among the holders of the Shares pro rata in accordance with their respective holdings.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redemption and sinking fund rights; shares nonassessable</w:t>
      </w:r>
    </w:p>
    <w:p>
      <w:pPr>
        <w:spacing w:after="0" w:line="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There are no conversion terms, sinking fund provisions or redemption rights associated with the Registrant’s Shares. When authorized by the affirmative vote of a majority of the Board, without any action or approval of shareholders, the Registrant may from time to time redeem or repurchase shares for such prices and upon such terms and conditions as the Directors may determine. Upon receipt of consideration by the Registrant as fixed by its Board, each Share issued is then fully paid and nonassessable.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dividends</w:t>
      </w:r>
    </w:p>
    <w:p>
      <w:pPr>
        <w:spacing w:after="0" w:line="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holders of the Registrant's Shares, are entitled to the payment of dividends when, as and if the Board may in its discretion periodically declare, which dividends may be paid out of funds legally available for dividends and distributions under applicable laws and regulations.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206375</wp:posOffset>
            </wp:positionV>
            <wp:extent cx="729234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Special meetings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meetings of shareholders may be called in accordance with the Ohio General Corporation Law by any of the following:</w:t>
      </w:r>
    </w:p>
    <w:p>
      <w:pPr>
        <w:spacing w:after="0" w:line="83" w:lineRule="exact"/>
        <w:rPr>
          <w:sz w:val="20"/>
          <w:szCs w:val="20"/>
          <w:color w:val="auto"/>
        </w:rPr>
      </w:pPr>
    </w:p>
    <w:p>
      <w:pPr>
        <w:ind w:left="1460" w:hanging="414"/>
        <w:spacing w:after="0" w:line="221"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chairperson of the Board, the president, or, in case of the president's absence, death, or disability, the vice-president authorized to exercise the authority of the president;</w:t>
      </w:r>
    </w:p>
    <w:p>
      <w:pPr>
        <w:spacing w:after="0" w:line="1" w:lineRule="exact"/>
        <w:rPr>
          <w:rFonts w:ascii="Arial" w:cs="Arial" w:eastAsia="Arial" w:hAnsi="Arial"/>
          <w:sz w:val="18"/>
          <w:szCs w:val="18"/>
          <w:color w:val="auto"/>
        </w:rPr>
      </w:pPr>
    </w:p>
    <w:p>
      <w:pPr>
        <w:ind w:left="1440" w:hanging="394"/>
        <w:spacing w:after="0" w:line="213" w:lineRule="auto"/>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by action at a meeting, or a majority of the Directors acting without a meeting; and</w:t>
      </w:r>
    </w:p>
    <w:p>
      <w:pPr>
        <w:ind w:left="1440" w:hanging="394"/>
        <w:spacing w:after="0"/>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who hold 25% of all Shares outstanding and entitled to vote at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vote required to approve business combinations with Interested Persons</w:t>
      </w:r>
    </w:p>
    <w:p>
      <w:pPr>
        <w:spacing w:after="0" w:line="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Article Sixth of the Articles provides that certain business combination transactions between the Registrant and a party that owns more than 10% of the Registrant’s outstanding shares of common stock require the affirmative vote of the holders of at least a majority of the Registrant’s outstanding Shares other than those beneficially owned by the counterparty to the proposed transaction. The foregoing shareholder vote requirements do not apply to any proposed transaction:</w:t>
      </w:r>
    </w:p>
    <w:p>
      <w:pPr>
        <w:spacing w:after="0" w:line="70" w:lineRule="exact"/>
        <w:rPr>
          <w:sz w:val="20"/>
          <w:szCs w:val="20"/>
          <w:color w:val="auto"/>
        </w:rPr>
      </w:pPr>
    </w:p>
    <w:p>
      <w:pPr>
        <w:ind w:left="1520" w:hanging="439"/>
        <w:spacing w:after="0"/>
        <w:tabs>
          <w:tab w:leader="none" w:pos="1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 majority of the outstanding shares of the counterparty’s capital voting stock is owned by the Registrant and/or its subsidiaries;</w:t>
      </w:r>
    </w:p>
    <w:p>
      <w:pPr>
        <w:spacing w:after="0" w:line="14" w:lineRule="exact"/>
        <w:rPr>
          <w:rFonts w:ascii="Arial" w:cs="Arial" w:eastAsia="Arial" w:hAnsi="Arial"/>
          <w:sz w:val="16"/>
          <w:szCs w:val="16"/>
          <w:color w:val="auto"/>
        </w:rPr>
      </w:pPr>
    </w:p>
    <w:p>
      <w:pPr>
        <w:jc w:val="both"/>
        <w:ind w:left="1520" w:hanging="439"/>
        <w:spacing w:after="0" w:line="213" w:lineRule="auto"/>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Board of Directors of the Registrant shall have approved a memorandum of understanding with the counterparty regarding and substantially consistent with such transaction prior to the time the counterparty became the beneficial owner of 10% or more of the Registrant’s outstanding shares of capital stock; or</w:t>
      </w:r>
    </w:p>
    <w:p>
      <w:pPr>
        <w:spacing w:after="0" w:line="1" w:lineRule="exact"/>
        <w:rPr>
          <w:rFonts w:ascii="Arial" w:cs="Arial" w:eastAsia="Arial" w:hAnsi="Arial"/>
          <w:sz w:val="18"/>
          <w:szCs w:val="18"/>
          <w:color w:val="auto"/>
        </w:rPr>
      </w:pPr>
    </w:p>
    <w:p>
      <w:pPr>
        <w:ind w:left="1520" w:hanging="439"/>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approved by resolution adopted by the affirmative vote of at least three-fourths of the Registrant’s Board.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contained in Article Sixth of the Articles could have the effect of delaying, deferring or preventing a change in control of the Registrant.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Alienation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No restrictions on alienation of the Shares are imposed by the Registrant's Articles or Code.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Articles and Code</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Article Ninth of the Articles provides that any amendment may be made by the affirmative vote of the holders of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total number of shares voted, provided however, that the total number of shares voted in favor of the amendment represents at least a majority of the total voting power of the Registrant. In addition, any amendment that is inconsistent with, or would have the effect of altering or repealing the provisions of Article Sixth of the Registrant’s Articles requires the affirmative vote of the holders of Shares that would be required to approve a transaction under the provisions thereof.</w:t>
      </w:r>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the provisions of Ohio law and the Code, the Code may be altered, amended, added to or repealed by the affirmative vote of the holders of shares entitling them to exercise a majority of the voting power of the Registrant.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8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Under the Ohio General Corporation Law, if the shareholders have the right to vote cumulatively in the election of directors, then, all the directors or any individual director may be removed from office, without assigning any cause, by the vote of the holders of a majority of the voting power entitling them to elect directors in place of those to be removed, except that, unless all the directors are removed, no individual director shall be removed if the votes of a sufficient number of shares are cast against the director's removal that, if cumulatively voted at an election of all the directors, or all the directors of a particular class, as the case may be, would be sufficient to elect at least one director.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2"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Exhibit 21</w:t>
      </w:r>
    </w:p>
    <w:p>
      <w:pPr>
        <w:spacing w:after="0" w:line="21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SUBSIDIAIRIES OF FARMERS &amp; MERCHANTS BANCORP, INC</w:t>
      </w:r>
    </w:p>
    <w:p>
      <w:pPr>
        <w:spacing w:after="0" w:line="2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FARMERS &amp; MERCHANTS STATE BANK</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FARMERS &amp; MERCHANTS RISK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319"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Chief Executive Officer of Farmers &amp; Merchants Bancorp, Inc., certify that:</w:t>
      </w:r>
    </w:p>
    <w:p>
      <w:pPr>
        <w:spacing w:after="0" w:line="214" w:lineRule="exact"/>
        <w:rPr>
          <w:sz w:val="20"/>
          <w:szCs w:val="20"/>
          <w:color w:val="auto"/>
        </w:rPr>
      </w:pPr>
    </w:p>
    <w:p>
      <w:pPr>
        <w:ind w:left="400" w:hanging="395"/>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214" w:lineRule="exact"/>
        <w:rPr>
          <w:rFonts w:ascii="Arial" w:cs="Arial" w:eastAsia="Arial" w:hAnsi="Arial"/>
          <w:sz w:val="18"/>
          <w:szCs w:val="18"/>
          <w:color w:val="auto"/>
        </w:rPr>
      </w:pPr>
    </w:p>
    <w:p>
      <w:pPr>
        <w:ind w:left="400" w:hanging="395"/>
        <w:spacing w:after="0" w:line="324" w:lineRule="auto"/>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00" w:hanging="395"/>
        <w:spacing w:after="0" w:line="262" w:lineRule="auto"/>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00" w:hanging="395"/>
        <w:spacing w:after="0" w:line="253" w:lineRule="auto"/>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20" w:hanging="3"/>
        <w:spacing w:after="0" w:line="253" w:lineRule="auto"/>
        <w:tabs>
          <w:tab w:leader="none" w:pos="8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20" w:hanging="3"/>
        <w:spacing w:after="0" w:line="253" w:lineRule="auto"/>
        <w:tabs>
          <w:tab w:leader="none" w:pos="8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20" w:hanging="3"/>
        <w:spacing w:after="0" w:line="324" w:lineRule="auto"/>
        <w:tabs>
          <w:tab w:leader="none" w:pos="8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6"/>
          <w:szCs w:val="16"/>
          <w:color w:val="auto"/>
        </w:rPr>
      </w:pPr>
    </w:p>
    <w:p>
      <w:pPr>
        <w:jc w:val="both"/>
        <w:ind w:left="620" w:hanging="3"/>
        <w:spacing w:after="0" w:line="253" w:lineRule="auto"/>
        <w:tabs>
          <w:tab w:leader="none" w:pos="876"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00" w:hanging="395"/>
        <w:spacing w:after="0" w:line="324" w:lineRule="auto"/>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20" w:hanging="3"/>
        <w:spacing w:after="0" w:line="262" w:lineRule="auto"/>
        <w:tabs>
          <w:tab w:leader="none" w:pos="86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20" w:hanging="3"/>
        <w:spacing w:after="0" w:line="262" w:lineRule="auto"/>
        <w:tabs>
          <w:tab w:leader="none" w:pos="87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2540</wp:posOffset>
            </wp:positionV>
            <wp:extent cx="36207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362077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Lars B. Eller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CEO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19"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Chief Financial Officer of Farmers &amp; Merchants Bancorp, Inc., certify that:</w:t>
      </w:r>
    </w:p>
    <w:p>
      <w:pPr>
        <w:spacing w:after="0" w:line="214" w:lineRule="exact"/>
        <w:rPr>
          <w:sz w:val="20"/>
          <w:szCs w:val="20"/>
          <w:color w:val="auto"/>
        </w:rPr>
      </w:pPr>
    </w:p>
    <w:p>
      <w:pPr>
        <w:ind w:left="400" w:hanging="395"/>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214" w:lineRule="exact"/>
        <w:rPr>
          <w:rFonts w:ascii="Arial" w:cs="Arial" w:eastAsia="Arial" w:hAnsi="Arial"/>
          <w:sz w:val="18"/>
          <w:szCs w:val="18"/>
          <w:color w:val="auto"/>
        </w:rPr>
      </w:pPr>
    </w:p>
    <w:p>
      <w:pPr>
        <w:ind w:left="400" w:hanging="395"/>
        <w:spacing w:after="0" w:line="324" w:lineRule="auto"/>
        <w:tabs>
          <w:tab w:leader="none" w:pos="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00" w:hanging="395"/>
        <w:spacing w:after="0" w:line="262"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00" w:hanging="395"/>
        <w:spacing w:after="0" w:line="253"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20" w:hanging="3"/>
        <w:spacing w:after="0" w:line="253" w:lineRule="auto"/>
        <w:tabs>
          <w:tab w:leader="none" w:pos="8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20" w:hanging="3"/>
        <w:spacing w:after="0" w:line="253" w:lineRule="auto"/>
        <w:tabs>
          <w:tab w:leader="none" w:pos="8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20" w:hanging="3"/>
        <w:spacing w:after="0" w:line="324" w:lineRule="auto"/>
        <w:tabs>
          <w:tab w:leader="none" w:pos="866"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6"/>
          <w:szCs w:val="16"/>
          <w:color w:val="auto"/>
        </w:rPr>
      </w:pPr>
    </w:p>
    <w:p>
      <w:pPr>
        <w:jc w:val="both"/>
        <w:ind w:left="620" w:hanging="3"/>
        <w:spacing w:after="0" w:line="253" w:lineRule="auto"/>
        <w:tabs>
          <w:tab w:leader="none" w:pos="87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00" w:hanging="395"/>
        <w:spacing w:after="0" w:line="324" w:lineRule="auto"/>
        <w:tabs>
          <w:tab w:leader="none" w:pos="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20" w:hanging="3"/>
        <w:spacing w:after="0" w:line="262" w:lineRule="auto"/>
        <w:tabs>
          <w:tab w:leader="none" w:pos="86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20" w:hanging="3"/>
        <w:spacing w:after="0" w:line="262" w:lineRule="auto"/>
        <w:tabs>
          <w:tab w:leader="none" w:pos="87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Date: February 26, 2020</w:t>
            </w:r>
          </w:p>
        </w:tc>
        <w:tc>
          <w:tcPr>
            <w:tcW w:w="2000" w:type="dxa"/>
            <w:vAlign w:val="bottom"/>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192"/>
        </w:trPr>
        <w:tc>
          <w:tcPr>
            <w:tcW w:w="3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700" w:type="dxa"/>
            <w:vAlign w:val="bottom"/>
          </w:tcPr>
          <w:p>
            <w:pPr>
              <w:spacing w:after="0" w:line="192" w:lineRule="exact"/>
              <w:rPr>
                <w:sz w:val="20"/>
                <w:szCs w:val="20"/>
                <w:color w:val="auto"/>
              </w:rPr>
            </w:pPr>
            <w:r>
              <w:rPr>
                <w:rFonts w:ascii="Arial" w:cs="Arial" w:eastAsia="Arial" w:hAnsi="Arial"/>
                <w:sz w:val="18"/>
                <w:szCs w:val="18"/>
                <w:color w:val="auto"/>
              </w:rPr>
              <w:t>Barbara J. Britenriker</w:t>
            </w:r>
          </w:p>
        </w:tc>
      </w:tr>
      <w:tr>
        <w:trPr>
          <w:trHeight w:val="222"/>
        </w:trPr>
        <w:tc>
          <w:tcPr>
            <w:tcW w:w="3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32"/>
        </w:trPr>
        <w:tc>
          <w:tcPr>
            <w:tcW w:w="3720" w:type="dxa"/>
            <w:vAlign w:val="bottom"/>
          </w:tcPr>
          <w:p>
            <w:pPr>
              <w:spacing w:after="0"/>
              <w:rPr>
                <w:sz w:val="24"/>
                <w:szCs w:val="24"/>
                <w:color w:val="auto"/>
              </w:rPr>
            </w:pPr>
          </w:p>
        </w:tc>
        <w:tc>
          <w:tcPr>
            <w:tcW w:w="7700" w:type="dxa"/>
            <w:vAlign w:val="bottom"/>
            <w:gridSpan w:val="2"/>
          </w:tcPr>
          <w:p>
            <w:pPr>
              <w:jc w:val="right"/>
              <w:ind w:right="557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318"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ENACTED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2019, as filed with the Securities and Exchange Commission (the “Report”), I, Lars B. Eller, Chief Executive Officer, of the Company, certify, pursuant to 18 U.S.C. 1350, as added by 906 of the Sarbanes-Oxley Act of 2002, that:</w:t>
      </w:r>
    </w:p>
    <w:p>
      <w:pPr>
        <w:spacing w:after="0" w:line="188" w:lineRule="exact"/>
        <w:rPr>
          <w:sz w:val="20"/>
          <w:szCs w:val="20"/>
          <w:color w:val="auto"/>
        </w:rPr>
      </w:pPr>
    </w:p>
    <w:p>
      <w:pPr>
        <w:ind w:left="800" w:hanging="400"/>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15(d) of the Securities Exchange Act of 1934; and;</w:t>
      </w:r>
    </w:p>
    <w:p>
      <w:pPr>
        <w:spacing w:after="0" w:line="214" w:lineRule="exact"/>
        <w:rPr>
          <w:rFonts w:ascii="Arial" w:cs="Arial" w:eastAsia="Arial" w:hAnsi="Arial"/>
          <w:sz w:val="18"/>
          <w:szCs w:val="18"/>
          <w:color w:val="auto"/>
        </w:rPr>
      </w:pPr>
    </w:p>
    <w:p>
      <w:pPr>
        <w:ind w:left="800" w:hanging="400"/>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Date: February 26, 2020</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2"/>
        </w:trPr>
        <w:tc>
          <w:tcPr>
            <w:tcW w:w="5720" w:type="dxa"/>
            <w:vAlign w:val="bottom"/>
          </w:tcPr>
          <w:p>
            <w:pPr>
              <w:spacing w:after="0"/>
              <w:rPr>
                <w:sz w:val="16"/>
                <w:szCs w:val="16"/>
                <w:color w:val="auto"/>
              </w:rPr>
            </w:pPr>
          </w:p>
        </w:tc>
        <w:tc>
          <w:tcPr>
            <w:tcW w:w="5700" w:type="dxa"/>
            <w:vAlign w:val="bottom"/>
          </w:tcPr>
          <w:p>
            <w:pPr>
              <w:spacing w:after="0" w:line="192" w:lineRule="exact"/>
              <w:rPr>
                <w:sz w:val="20"/>
                <w:szCs w:val="20"/>
                <w:color w:val="auto"/>
              </w:rPr>
            </w:pPr>
            <w:r>
              <w:rPr>
                <w:rFonts w:ascii="Arial" w:cs="Arial" w:eastAsia="Arial" w:hAnsi="Arial"/>
                <w:sz w:val="18"/>
                <w:szCs w:val="18"/>
                <w:color w:val="auto"/>
              </w:rPr>
              <w:t>Lars B. Eller</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19"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ENACTED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2019, as filed with the Securities and Exchange Commission (the “Report”), I, Barbara J. Britenriker, Chief Financial Officer, of the Company, certify, pursuant to 18 U.S.C. 1350, as added by 906 of the Sarbanes-Oxley Act of 2002, that:</w:t>
      </w:r>
    </w:p>
    <w:p>
      <w:pPr>
        <w:spacing w:after="0" w:line="188" w:lineRule="exact"/>
        <w:rPr>
          <w:sz w:val="20"/>
          <w:szCs w:val="20"/>
          <w:color w:val="auto"/>
        </w:rPr>
      </w:pPr>
    </w:p>
    <w:p>
      <w:pPr>
        <w:ind w:left="800" w:hanging="400"/>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15(d) of the Securities Exchange Act of 1934; and;</w:t>
      </w:r>
    </w:p>
    <w:p>
      <w:pPr>
        <w:spacing w:after="0" w:line="214" w:lineRule="exact"/>
        <w:rPr>
          <w:rFonts w:ascii="Arial" w:cs="Arial" w:eastAsia="Arial" w:hAnsi="Arial"/>
          <w:sz w:val="18"/>
          <w:szCs w:val="18"/>
          <w:color w:val="auto"/>
        </w:rPr>
      </w:pPr>
    </w:p>
    <w:p>
      <w:pPr>
        <w:ind w:left="800" w:hanging="400"/>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Date: February 26, 2020</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192"/>
        </w:trPr>
        <w:tc>
          <w:tcPr>
            <w:tcW w:w="5720" w:type="dxa"/>
            <w:vAlign w:val="bottom"/>
          </w:tcPr>
          <w:p>
            <w:pPr>
              <w:spacing w:after="0"/>
              <w:rPr>
                <w:sz w:val="16"/>
                <w:szCs w:val="16"/>
                <w:color w:val="auto"/>
              </w:rPr>
            </w:pPr>
          </w:p>
        </w:tc>
        <w:tc>
          <w:tcPr>
            <w:tcW w:w="5700" w:type="dxa"/>
            <w:vAlign w:val="bottom"/>
          </w:tcPr>
          <w:p>
            <w:pPr>
              <w:spacing w:after="0" w:line="192" w:lineRule="exact"/>
              <w:rPr>
                <w:sz w:val="20"/>
                <w:szCs w:val="20"/>
                <w:color w:val="auto"/>
              </w:rPr>
            </w:pPr>
            <w:r>
              <w:rPr>
                <w:rFonts w:ascii="Arial" w:cs="Arial" w:eastAsia="Arial" w:hAnsi="Arial"/>
                <w:sz w:val="18"/>
                <w:szCs w:val="18"/>
                <w:color w:val="auto"/>
              </w:rPr>
              <w:t>Barbara J. Britenriker</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3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lvl w:ilvl="1">
      <w:lvlJc w:val="left"/>
      <w:lvlText w:val="o"/>
      <w:numFmt w:val="bullet"/>
      <w:start w:val="1"/>
    </w:lvl>
  </w:abstractNum>
  <w:abstractNum w:abstractNumId="6">
    <w:nsid w:val="25E45D32"/>
    <w:multiLevelType w:val="hybridMultilevel"/>
    <w:lvl w:ilvl="0">
      <w:lvlJc w:val="left"/>
      <w:lvlText w:val="o"/>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o"/>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lvl w:ilvl="1">
      <w:lvlJc w:val="left"/>
      <w:lvlText w:val="%2."/>
      <w:numFmt w:val="lowerLetter"/>
      <w:start w:val="1"/>
    </w:lvl>
  </w:abstractNum>
  <w:abstractNum w:abstractNumId="15">
    <w:nsid w:val="333AB105"/>
    <w:multiLevelType w:val="hybridMultilevel"/>
    <w:lvl w:ilvl="0">
      <w:lvlJc w:val="left"/>
      <w:lvlText w:val="%1."/>
      <w:numFmt w:val="decimal"/>
      <w:start w:val="5"/>
    </w:lvl>
    <w:lvl w:ilvl="1">
      <w:lvlJc w:val="left"/>
      <w:lvlText w:val="%2."/>
      <w:numFmt w:val="lowerLetter"/>
      <w:start w:val="1"/>
    </w:lvl>
  </w:abstractNum>
  <w:abstractNum w:abstractNumId="16">
    <w:nsid w:val="721DA317"/>
    <w:multiLevelType w:val="hybridMultilevel"/>
    <w:lvl w:ilvl="0">
      <w:lvlJc w:val="left"/>
      <w:lvlText w:val="%1"/>
      <w:numFmt w:val="decimal"/>
      <w:start w:val="1"/>
    </w:lvl>
    <w:lvl w:ilvl="1">
      <w:lvlJc w:val="left"/>
      <w:lvlText w:val="%2."/>
      <w:numFmt w:val="lowerLetter"/>
      <w:start w:val="9"/>
    </w:lvl>
  </w:abstractNum>
  <w:abstractNum w:abstractNumId="17">
    <w:nsid w:val="2443A858"/>
    <w:multiLevelType w:val="hybridMultilevel"/>
    <w:lvl w:ilvl="0">
      <w:lvlJc w:val="left"/>
      <w:lvlText w:val="%1."/>
      <w:numFmt w:val="decimal"/>
      <w:start w:val="8"/>
    </w:lvl>
    <w:lvl w:ilvl="1">
      <w:lvlJc w:val="left"/>
      <w:lvlText w:val="%2."/>
      <w:numFmt w:val="lowerLetter"/>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1"/>
    </w:lvl>
    <w:lvl w:ilvl="1">
      <w:lvlJc w:val="left"/>
      <w:lvlText w:val="(%2)"/>
      <w:numFmt w:val="decimal"/>
      <w:start w:val="1"/>
    </w:lvl>
  </w:abstractNum>
  <w:abstractNum w:abstractNumId="20">
    <w:nsid w:val="75A2A8D4"/>
    <w:multiLevelType w:val="hybridMultilevel"/>
    <w:lvl w:ilvl="0">
      <w:lvlJc w:val="left"/>
      <w:lvlText w:val="(%1)"/>
      <w:numFmt w:val="decimal"/>
      <w:start w:val="2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44" Type="http://schemas.openxmlformats.org/officeDocument/2006/relationships/hyperlink" Target="http://www.sec.gov/Archives/edgar/data/792966/000119312517318709/d447990d10q.htm" TargetMode="External"/><Relationship Id="rId145" Type="http://schemas.openxmlformats.org/officeDocument/2006/relationships/hyperlink" Target="http://www.sec.gov/Archives/edgar/data/792966/000119312517235925/d422994dex32.htm" TargetMode="External"/><Relationship Id="rId146" Type="http://schemas.openxmlformats.org/officeDocument/2006/relationships/hyperlink" Target="http://www.sec.gov/Archives/edgar/data/792966/000119312513073008/d445099dex101.htm" TargetMode="External"/><Relationship Id="rId147" Type="http://schemas.openxmlformats.org/officeDocument/2006/relationships/hyperlink" Target="http://www.sec.gov/Archives/edgar/data/792966/000119312513073008/d445099dex102.htm" TargetMode="External"/><Relationship Id="rId148" Type="http://schemas.openxmlformats.org/officeDocument/2006/relationships/hyperlink" Target="http://www.sec.gov/Archives/edgar/data/792966/000119312518272836/d595662dex101.htm" TargetMode="External"/><Relationship Id="rId149" Type="http://schemas.openxmlformats.org/officeDocument/2006/relationships/hyperlink" Target="http://www.sec.gov/Archives/edgar/data/792966/000119312515093241/d891255ddef14a.htm" TargetMode="External"/><Relationship Id="rId150" Type="http://schemas.openxmlformats.org/officeDocument/2006/relationships/hyperlink" Target="http://www.sec.gov/Archives/edgar/data/792966/000095012405005979/k99341exv10w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2020-02-26T13:12:07Z</dcterms:created>
  <dcterms:modified xsi:type="dcterms:W3CDTF">2020-02-26T13:12:07Z</dcterms:modified>
</cp:coreProperties>
</file>