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June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4136390</wp:posOffset>
            </wp:positionH>
            <wp:positionV relativeFrom="paragraph">
              <wp:posOffset>-5080</wp:posOffset>
            </wp:positionV>
            <wp:extent cx="21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9" w:lineRule="exact"/>
        <w:rPr>
          <w:sz w:val="24"/>
          <w:szCs w:val="24"/>
          <w:color w:val="auto"/>
        </w:rPr>
      </w:pPr>
    </w:p>
    <w:tbl>
      <w:tblPr>
        <w:tblLayout w:type="fixed"/>
        <w:tblInd w:w="1200" w:type="dxa"/>
        <w:tblCellMar>
          <w:top w:w="0" w:type="dxa"/>
          <w:left w:w="0" w:type="dxa"/>
          <w:bottom w:w="0" w:type="dxa"/>
          <w:right w:w="0" w:type="dxa"/>
        </w:tblCellMar>
      </w:tblPr>
      <w:tr>
        <w:trPr>
          <w:trHeight w:val="227"/>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OHIO</w:t>
            </w:r>
          </w:p>
        </w:tc>
        <w:tc>
          <w:tcPr>
            <w:tcW w:w="42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9"/>
        </w:trPr>
        <w:tc>
          <w:tcPr>
            <w:tcW w:w="35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40" w:type="dxa"/>
            <w:vAlign w:val="bottom"/>
          </w:tcPr>
          <w:p>
            <w:pPr>
              <w:jc w:val="center"/>
              <w:ind w:left="30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40" w:type="dxa"/>
            <w:vAlign w:val="bottom"/>
          </w:tcPr>
          <w:p>
            <w:pPr>
              <w:jc w:val="center"/>
              <w:ind w:left="30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307 North Defiance Street, Archbold, Ohio</w:t>
            </w:r>
          </w:p>
        </w:tc>
        <w:tc>
          <w:tcPr>
            <w:tcW w:w="42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54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4240" w:type="dxa"/>
            <w:vAlign w:val="bottom"/>
          </w:tcPr>
          <w:p>
            <w:pPr>
              <w:jc w:val="center"/>
              <w:ind w:left="30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14"/>
        </w:trPr>
        <w:tc>
          <w:tcPr>
            <w:tcW w:w="3540" w:type="dxa"/>
            <w:vAlign w:val="bottom"/>
          </w:tcPr>
          <w:p>
            <w:pPr>
              <w:spacing w:after="0"/>
              <w:rPr>
                <w:sz w:val="24"/>
                <w:szCs w:val="24"/>
                <w:color w:val="auto"/>
              </w:rPr>
            </w:pPr>
          </w:p>
        </w:tc>
        <w:tc>
          <w:tcPr>
            <w:tcW w:w="4240" w:type="dxa"/>
            <w:vAlign w:val="bottom"/>
          </w:tcPr>
          <w:p>
            <w:pPr>
              <w:jc w:val="right"/>
              <w:ind w:right="271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spacing w:after="0" w:line="187" w:lineRule="auto"/>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56515</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244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20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FMAO</w:t>
            </w:r>
          </w:p>
        </w:tc>
        <w:tc>
          <w:tcPr>
            <w:tcW w:w="2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20"/>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2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ectPr>
          <w:pgSz w:w="11900" w:h="16838" w:orient="portrait"/>
          <w:cols w:equalWidth="0" w:num="1">
            <w:col w:w="11240"/>
          </w:cols>
          <w:pgMar w:left="320" w:top="209" w:right="339" w:bottom="1440" w:gutter="0" w:footer="0" w:header="0"/>
        </w:sectPr>
      </w:pPr>
    </w:p>
    <w:p>
      <w:pPr>
        <w:spacing w:after="0" w:line="6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7" w:lineRule="exact"/>
        <w:rPr>
          <w:sz w:val="24"/>
          <w:szCs w:val="24"/>
          <w:color w:val="auto"/>
        </w:rPr>
      </w:pPr>
    </w:p>
    <w:p>
      <w:pPr>
        <w:sectPr>
          <w:pgSz w:w="11900" w:h="16838" w:orient="portrait"/>
          <w:cols w:equalWidth="0" w:num="2">
            <w:col w:w="420" w:space="160"/>
            <w:col w:w="10660"/>
          </w:cols>
          <w:pgMar w:left="320" w:top="2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Indicate the number of shares of each of the issuers’ classes of common stock, as of the latest practicable date:</w:t>
      </w:r>
    </w:p>
    <w:p>
      <w:pPr>
        <w:sectPr>
          <w:pgSz w:w="11900" w:h="16838" w:orient="portrait"/>
          <w:cols w:equalWidth="0" w:num="1">
            <w:col w:w="11240"/>
          </w:cols>
          <w:pgMar w:left="320" w:top="209" w:right="339" w:bottom="1440" w:gutter="0" w:footer="0" w:header="0"/>
          <w:type w:val="continuous"/>
        </w:sectPr>
      </w:pPr>
    </w:p>
    <w:p>
      <w:pPr>
        <w:spacing w:after="0" w:line="11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5"/>
          <w:szCs w:val="15"/>
          <w:u w:val="single" w:color="auto"/>
          <w:color w:val="auto"/>
        </w:rPr>
        <w:t>Common Stock, No Par Value</w:t>
      </w:r>
    </w:p>
    <w:p>
      <w:pPr>
        <w:spacing w:after="0" w:line="3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6"/>
          <w:szCs w:val="16"/>
          <w:u w:val="single" w:color="auto"/>
          <w:color w:val="auto"/>
        </w:rPr>
        <w:t>13,065,825</w:t>
      </w:r>
    </w:p>
    <w:p>
      <w:pPr>
        <w:spacing w:after="0" w:line="26"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5"/>
          <w:szCs w:val="15"/>
          <w:color w:val="auto"/>
        </w:rPr>
        <w:t>Outstanding as of July 22, 2022</w:t>
      </w:r>
    </w:p>
    <w:p>
      <w:pPr>
        <w:spacing w:after="0" w:line="211" w:lineRule="exact"/>
        <w:rPr>
          <w:sz w:val="24"/>
          <w:szCs w:val="24"/>
          <w:color w:val="auto"/>
        </w:rPr>
      </w:pPr>
    </w:p>
    <w:p>
      <w:pPr>
        <w:sectPr>
          <w:pgSz w:w="11900" w:h="16838" w:orient="portrait"/>
          <w:cols w:equalWidth="0" w:num="2">
            <w:col w:w="6780" w:space="720"/>
            <w:col w:w="3740"/>
          </w:cols>
          <w:pgMar w:left="320" w:top="209" w:right="339" w:bottom="1440" w:gutter="0" w:footer="0" w:header="0"/>
          <w:type w:val="continuous"/>
        </w:sectPr>
      </w:pP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860" w:type="dxa"/>
            <w:vAlign w:val="bottom"/>
          </w:tcPr>
          <w:p>
            <w:pPr>
              <w:spacing w:after="0"/>
              <w:rPr>
                <w:sz w:val="18"/>
                <w:szCs w:val="18"/>
                <w:color w:val="auto"/>
              </w:rPr>
            </w:pPr>
          </w:p>
        </w:tc>
      </w:tr>
      <w:tr>
        <w:trPr>
          <w:trHeight w:val="23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200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Form 10-Q Items</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Page</w:t>
            </w:r>
          </w:p>
        </w:tc>
      </w:tr>
      <w:tr>
        <w:trPr>
          <w:trHeight w:val="237"/>
        </w:trPr>
        <w:tc>
          <w:tcPr>
            <w:tcW w:w="660" w:type="dxa"/>
            <w:vAlign w:val="bottom"/>
          </w:tcPr>
          <w:p>
            <w:pPr>
              <w:spacing w:after="0"/>
              <w:rPr>
                <w:sz w:val="20"/>
                <w:szCs w:val="20"/>
                <w:color w:val="auto"/>
              </w:rPr>
            </w:pPr>
          </w:p>
        </w:tc>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PART I.</w:t>
            </w:r>
          </w:p>
        </w:tc>
        <w:tc>
          <w:tcPr>
            <w:tcW w:w="760" w:type="dxa"/>
            <w:vAlign w:val="bottom"/>
          </w:tcPr>
          <w:p>
            <w:pPr>
              <w:spacing w:after="0"/>
              <w:rPr>
                <w:sz w:val="20"/>
                <w:szCs w:val="20"/>
                <w:color w:val="auto"/>
              </w:rPr>
            </w:pP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8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1"/>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660" w:type="dxa"/>
            <w:vAlign w:val="bottom"/>
            <w:gridSpan w:val="13"/>
          </w:tcPr>
          <w:p>
            <w:pPr>
              <w:spacing w:after="0"/>
              <w:rPr>
                <w:sz w:val="24"/>
                <w:szCs w:val="24"/>
                <w:color w:val="auto"/>
              </w:rPr>
            </w:pPr>
          </w:p>
        </w:tc>
        <w:tc>
          <w:tcPr>
            <w:tcW w:w="86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w:t>
            </w:r>
          </w:p>
        </w:tc>
        <w:tc>
          <w:tcPr>
            <w:tcW w:w="404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December 31, 2021</w:t>
            </w:r>
          </w:p>
        </w:tc>
        <w:tc>
          <w:tcPr>
            <w:tcW w:w="860" w:type="dxa"/>
            <w:vAlign w:val="bottom"/>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w:t>
            </w:r>
          </w:p>
        </w:tc>
        <w:tc>
          <w:tcPr>
            <w:tcW w:w="352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Three and Six Months Ended June 30, 2022 and June 30, 2021</w:t>
            </w:r>
          </w:p>
        </w:tc>
        <w:tc>
          <w:tcPr>
            <w:tcW w:w="2300" w:type="dxa"/>
            <w:vAlign w:val="bottom"/>
            <w:gridSpan w:val="3"/>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w:t>
            </w:r>
          </w:p>
        </w:tc>
        <w:tc>
          <w:tcPr>
            <w:tcW w:w="184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and Six Months Ended June 30, 2022 and June 30, 2021</w:t>
            </w:r>
          </w:p>
        </w:tc>
        <w:tc>
          <w:tcPr>
            <w:tcW w:w="2320" w:type="dxa"/>
            <w:vAlign w:val="bottom"/>
            <w:gridSpan w:val="4"/>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34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to Stockholders’ Equity -</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and Six Months Ended June 30, 2022 and June 30, 2021</w:t>
            </w:r>
          </w:p>
        </w:tc>
        <w:tc>
          <w:tcPr>
            <w:tcW w:w="2320" w:type="dxa"/>
            <w:vAlign w:val="bottom"/>
            <w:gridSpan w:val="4"/>
          </w:tcPr>
          <w:p>
            <w:pPr>
              <w:spacing w:after="0"/>
              <w:rPr>
                <w:sz w:val="17"/>
                <w:szCs w:val="17"/>
                <w:color w:val="auto"/>
              </w:rPr>
            </w:pPr>
          </w:p>
        </w:tc>
        <w:tc>
          <w:tcPr>
            <w:tcW w:w="860" w:type="dxa"/>
            <w:vAlign w:val="bottom"/>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99"/>
              </w:rPr>
              <w:t>6-7</w:t>
            </w: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w:t>
            </w:r>
          </w:p>
        </w:tc>
        <w:tc>
          <w:tcPr>
            <w:tcW w:w="32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2022 and June 30, 2021</w:t>
            </w:r>
          </w:p>
        </w:tc>
        <w:tc>
          <w:tcPr>
            <w:tcW w:w="860" w:type="dxa"/>
            <w:vAlign w:val="bottom"/>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w:t>
            </w:r>
          </w:p>
        </w:tc>
        <w:tc>
          <w:tcPr>
            <w:tcW w:w="252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and Results of Operations</w:t>
            </w:r>
          </w:p>
        </w:tc>
        <w:tc>
          <w:tcPr>
            <w:tcW w:w="86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51-70</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Qualitative and Quantitative Disclosures About Market Risk</w:t>
            </w:r>
          </w:p>
        </w:tc>
        <w:tc>
          <w:tcPr>
            <w:tcW w:w="2720" w:type="dxa"/>
            <w:vAlign w:val="bottom"/>
            <w:gridSpan w:val="6"/>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71</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300" w:type="dxa"/>
            <w:vAlign w:val="bottom"/>
            <w:gridSpan w:val="18"/>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5200" w:type="dxa"/>
            <w:vAlign w:val="bottom"/>
            <w:gridSpan w:val="1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5760" w:type="dxa"/>
            <w:vAlign w:val="bottom"/>
            <w:gridSpan w:val="20"/>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7"/>
          </w:tcPr>
          <w:p>
            <w:pPr>
              <w:spacing w:after="0"/>
              <w:rPr>
                <w:sz w:val="24"/>
                <w:szCs w:val="24"/>
                <w:color w:val="auto"/>
              </w:rPr>
            </w:pPr>
          </w:p>
        </w:tc>
        <w:tc>
          <w:tcPr>
            <w:tcW w:w="2740" w:type="dxa"/>
            <w:vAlign w:val="bottom"/>
            <w:gridSpan w:val="7"/>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320" w:type="dxa"/>
            <w:vAlign w:val="bottom"/>
            <w:gridSpan w:val="19"/>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73</w:t>
            </w:r>
          </w:p>
        </w:tc>
      </w:tr>
      <w:tr>
        <w:trPr>
          <w:trHeight w:val="358"/>
        </w:trPr>
        <w:tc>
          <w:tcPr>
            <w:tcW w:w="6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5780" w:type="dxa"/>
            <w:vAlign w:val="bottom"/>
            <w:gridSpan w:val="21"/>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73</w:t>
            </w:r>
          </w:p>
        </w:tc>
      </w:tr>
      <w:tr>
        <w:trPr>
          <w:trHeight w:val="358"/>
        </w:trPr>
        <w:tc>
          <w:tcPr>
            <w:tcW w:w="6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124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74</w:t>
            </w:r>
          </w:p>
        </w:tc>
      </w:tr>
      <w:tr>
        <w:trPr>
          <w:trHeight w:val="367"/>
        </w:trPr>
        <w:tc>
          <w:tcPr>
            <w:tcW w:w="660" w:type="dxa"/>
            <w:vAlign w:val="bottom"/>
          </w:tcPr>
          <w:p>
            <w:pPr>
              <w:spacing w:after="0"/>
              <w:rPr>
                <w:sz w:val="24"/>
                <w:szCs w:val="24"/>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86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Data File because its XBRL tags are embedded within the Inline XBRL document. </w:t>
            </w:r>
            <w:r>
              <w:rPr>
                <w:rFonts w:ascii="Times New Roman" w:cs="Times New Roman" w:eastAsia="Times New Roman" w:hAnsi="Times New Roman"/>
                <w:sz w:val="15"/>
                <w:szCs w:val="15"/>
                <w:color w:val="auto"/>
              </w:rPr>
              <w:t>(1)</w:t>
            </w:r>
          </w:p>
        </w:tc>
        <w:tc>
          <w:tcPr>
            <w:tcW w:w="860" w:type="dxa"/>
            <w:vAlign w:val="bottom"/>
          </w:tcPr>
          <w:p>
            <w:pPr>
              <w:spacing w:after="0"/>
              <w:rPr>
                <w:sz w:val="20"/>
                <w:szCs w:val="20"/>
                <w:color w:val="auto"/>
              </w:rPr>
            </w:pPr>
          </w:p>
        </w:tc>
      </w:tr>
      <w:tr>
        <w:trPr>
          <w:trHeight w:val="257"/>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r>
        <w:trPr>
          <w:trHeight w:val="256"/>
        </w:trPr>
        <w:tc>
          <w:tcPr>
            <w:tcW w:w="660" w:type="dxa"/>
            <w:vAlign w:val="bottom"/>
          </w:tcPr>
          <w:p>
            <w:pPr>
              <w:spacing w:after="0"/>
              <w:rPr>
                <w:sz w:val="22"/>
                <w:szCs w:val="2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70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15"/>
                <w:szCs w:val="15"/>
                <w:color w:val="auto"/>
              </w:rPr>
              <w:t>(1)</w:t>
            </w:r>
          </w:p>
        </w:tc>
        <w:tc>
          <w:tcPr>
            <w:tcW w:w="860" w:type="dxa"/>
            <w:vAlign w:val="bottom"/>
          </w:tcPr>
          <w:p>
            <w:pPr>
              <w:spacing w:after="0"/>
              <w:rPr>
                <w:sz w:val="22"/>
                <w:szCs w:val="22"/>
                <w:color w:val="auto"/>
              </w:rPr>
            </w:pPr>
          </w:p>
        </w:tc>
      </w:tr>
    </w:tbl>
    <w:p>
      <w:pPr>
        <w:spacing w:after="0" w:line="63" w:lineRule="exact"/>
        <w:rPr>
          <w:sz w:val="20"/>
          <w:szCs w:val="20"/>
          <w:color w:val="auto"/>
        </w:rPr>
      </w:pPr>
    </w:p>
    <w:p>
      <w:pPr>
        <w:jc w:val="both"/>
        <w:ind w:left="380" w:hanging="372"/>
        <w:spacing w:after="0" w:line="231" w:lineRule="auto"/>
        <w:tabs>
          <w:tab w:leader="none" w:pos="3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60" w:type="dxa"/>
            <w:vAlign w:val="bottom"/>
          </w:tcPr>
          <w:p>
            <w:pPr>
              <w:spacing w:after="0"/>
              <w:rPr>
                <w:sz w:val="20"/>
                <w:szCs w:val="20"/>
                <w:color w:val="auto"/>
              </w:rPr>
            </w:pPr>
          </w:p>
        </w:tc>
        <w:tc>
          <w:tcPr>
            <w:tcW w:w="3920" w:type="dxa"/>
            <w:vAlign w:val="bottom"/>
            <w:gridSpan w:val="4"/>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225"/>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16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and due from banks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69,955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135,485</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Federal funds sold</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45,338</w:t>
            </w:r>
          </w:p>
        </w:tc>
        <w:tc>
          <w:tcPr>
            <w:tcW w:w="0" w:type="dxa"/>
            <w:vAlign w:val="bottom"/>
          </w:tcPr>
          <w:p>
            <w:pPr>
              <w:spacing w:after="0"/>
              <w:rPr>
                <w:sz w:val="1"/>
                <w:szCs w:val="1"/>
                <w:color w:val="auto"/>
              </w:rPr>
            </w:pPr>
          </w:p>
        </w:tc>
      </w:tr>
      <w:tr>
        <w:trPr>
          <w:trHeight w:val="223"/>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71,439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180,823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6,684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10,913</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399,687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429,931</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8,735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7,714</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2,016,394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1,841,177</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Premises and equipment</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26,913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80,434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80,434</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real estate owned</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29,321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21,359</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2,674,716</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2,638,300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Noninterest-bearing</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503,395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473,689</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Interest-bearing</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678,552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650,466</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617,850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597,828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Time</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424,249</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471,479</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2,224,046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2,193,462</w:t>
            </w:r>
          </w:p>
        </w:tc>
        <w:tc>
          <w:tcPr>
            <w:tcW w:w="0" w:type="dxa"/>
            <w:vAlign w:val="bottom"/>
          </w:tcPr>
          <w:p>
            <w:pPr>
              <w:spacing w:after="0"/>
              <w:rPr>
                <w:sz w:val="1"/>
                <w:szCs w:val="1"/>
                <w:color w:val="auto"/>
              </w:rPr>
            </w:pPr>
          </w:p>
        </w:tc>
      </w:tr>
      <w:tr>
        <w:trPr>
          <w:trHeight w:val="211"/>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repurchase</w:t>
            </w:r>
          </w:p>
        </w:tc>
        <w:tc>
          <w:tcPr>
            <w:tcW w:w="26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71,944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29,268</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42,635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24,065</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34,471</w:t>
            </w: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payable</w:t>
            </w:r>
          </w:p>
        </w:tc>
        <w:tc>
          <w:tcPr>
            <w:tcW w:w="26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18,064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17,406</w:t>
            </w:r>
          </w:p>
        </w:tc>
        <w:tc>
          <w:tcPr>
            <w:tcW w:w="0" w:type="dxa"/>
            <w:vAlign w:val="bottom"/>
          </w:tcPr>
          <w:p>
            <w:pPr>
              <w:spacing w:after="0"/>
              <w:rPr>
                <w:sz w:val="1"/>
                <w:szCs w:val="1"/>
                <w:color w:val="auto"/>
              </w:rPr>
            </w:pPr>
          </w:p>
        </w:tc>
      </w:tr>
      <w:tr>
        <w:trPr>
          <w:trHeight w:val="223"/>
        </w:trPr>
        <w:tc>
          <w:tcPr>
            <w:tcW w:w="7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2,393,843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2,341,133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 and</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outstanding 14,063,999 shares 6/30/22 and 12/31/21</w:t>
            </w:r>
          </w:p>
        </w:tc>
        <w:tc>
          <w:tcPr>
            <w:tcW w:w="260" w:type="dxa"/>
            <w:vAlign w:val="bottom"/>
            <w:shd w:val="clear" w:color="auto" w:fill="CFF0FC"/>
          </w:tcPr>
          <w:p>
            <w:pPr>
              <w:spacing w:after="0"/>
              <w:rPr>
                <w:sz w:val="20"/>
                <w:szCs w:val="20"/>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123,145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122,674</w:t>
            </w:r>
          </w:p>
        </w:tc>
        <w:tc>
          <w:tcPr>
            <w:tcW w:w="0" w:type="dxa"/>
            <w:vAlign w:val="bottom"/>
          </w:tcPr>
          <w:p>
            <w:pPr>
              <w:spacing w:after="0"/>
              <w:rPr>
                <w:sz w:val="1"/>
                <w:szCs w:val="1"/>
                <w:color w:val="auto"/>
              </w:rPr>
            </w:pPr>
          </w:p>
        </w:tc>
      </w:tr>
      <w:tr>
        <w:trPr>
          <w:trHeight w:val="229"/>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Treasury stock - 998,174 shares 6/30/22, 997,766 shares 12/31/21</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200,811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189,401</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280,873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297,167</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2,674,716</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2,638,300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December 31, 2021, Condensed Consolidated Balance Sheet has been derived from the audited Consolidated Balance Sheet as of that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 of dollars, except per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thousands of dollars, except per</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 data)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 data)</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June 30, 2022</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2021</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June 30, 2022</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including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Municipalities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Borrowed funds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 - Before Provision for Loan Losses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Loan Losses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service fees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gain on sale of available-for-sale securities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Employee benefits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occupancy expense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Data processing</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Franchise taxes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ATM expense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loss on sale of other assets owned</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FDIC assessment</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Mortgage servicing rights amortization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Consulting fees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0.2025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0.1700</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0.3925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(in thousands of dollars)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(in thousands of dollars)</w:t>
            </w:r>
          </w:p>
        </w:tc>
      </w:tr>
      <w:tr>
        <w:trPr>
          <w:trHeight w:val="234"/>
        </w:trPr>
        <w:tc>
          <w:tcPr>
            <w:tcW w:w="5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June 30, 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30, 2021</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9,892</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1"/>
        </w:trPr>
        <w:tc>
          <w:tcPr>
            <w:tcW w:w="5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4"/>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11"/>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 for realized gain on sale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53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5"/>
        </w:trPr>
        <w:tc>
          <w:tcPr>
            <w:tcW w:w="536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34"/>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29"/>
        </w:trPr>
        <w:tc>
          <w:tcPr>
            <w:tcW w:w="5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Tax expense (benefit)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3"/>
        </w:trPr>
        <w:tc>
          <w:tcPr>
            <w:tcW w:w="5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(28,077)</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4,959</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hanging="105"/>
        <w:spacing w:after="0"/>
        <w:tabs>
          <w:tab w:leader="none" w:pos="4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SIX MONTHS ENDED JUNE 30, 2022 (000’S OMITTED,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46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Treasury</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34"/>
        </w:trPr>
        <w:tc>
          <w:tcPr>
            <w:tcW w:w="46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Earnings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13,066,233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189,401</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297,167</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(16,542)</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(16,542)</w:t>
            </w:r>
          </w:p>
        </w:tc>
      </w:tr>
      <w:tr>
        <w:trPr>
          <w:trHeight w:val="211"/>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500 shares of restricted stock</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forfeitures - 650)</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 $0.19 per share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13,066,083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122,886</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195,057</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286,478</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(11,535)</w:t>
            </w: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Forfeiture of 1,750 shares of restricted stock</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 stock award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 $0.2025 per share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(2,626)</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13,065,825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200,811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280,873</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SIX MONTHS ENDED JUNE 30, 2021 (000’S OMITTED,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Shares of</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30"/>
        </w:trPr>
        <w:tc>
          <w:tcPr>
            <w:tcW w:w="46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Common</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Treasury</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Stockholders'</w:t>
            </w:r>
          </w:p>
        </w:tc>
      </w:tr>
      <w:tr>
        <w:trPr>
          <w:trHeight w:val="234"/>
        </w:trPr>
        <w:tc>
          <w:tcPr>
            <w:tcW w:w="46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Earnings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11,197,544</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81,804</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(11,932)</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$ 173,591</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249,160</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(5,554)</w:t>
            </w: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1"/>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750 shares of restricted stock</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of forfeitures - 600)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declared - $0.17 per share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(1,889)</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11,196,744</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82,030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176,617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Forfeiture of 1,975 shares of restricted stock</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Director stock award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dividends declared - $0.17 per share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(1,888)</w:t>
            </w: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11,189,052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260" w:type="dxa"/>
            <w:vAlign w:val="bottom"/>
          </w:tcPr>
          <w:p>
            <w:pPr>
              <w:spacing w:after="0"/>
              <w:rPr>
                <w:sz w:val="20"/>
                <w:szCs w:val="20"/>
                <w:color w:val="auto"/>
              </w:rPr>
            </w:pPr>
          </w:p>
        </w:tc>
        <w:tc>
          <w:tcPr>
            <w:tcW w:w="3920" w:type="dxa"/>
            <w:vAlign w:val="bottom"/>
            <w:gridSpan w:val="5"/>
            <w:vMerge w:val="restart"/>
          </w:tcPr>
          <w:p>
            <w:pPr>
              <w:jc w:val="right"/>
              <w:ind w:right="128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225"/>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5"/>
          </w:tcPr>
          <w:p>
            <w:pPr>
              <w:jc w:val="right"/>
              <w:ind w:right="15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 2022</w:t>
            </w: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June 30, 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(accretion) of fair value adjustments</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(2,070)</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Director stock award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loan loss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(47,063)</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(65,018)</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sales of securities available-for-sale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(25,884)</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(115,815)</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(176,649)</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(104,021)</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Ossian Financial Services, Inc., net of cash received</w:t>
            </w: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(179,952)</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deposits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repurchase</w:t>
            </w:r>
          </w:p>
        </w:tc>
        <w:tc>
          <w:tcPr>
            <w:tcW w:w="2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(1,388)</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6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(4,924)</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48,133</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180,823</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71,439</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3180" w:type="dxa"/>
            <w:vAlign w:val="bottom"/>
            <w:gridSpan w:val="4"/>
          </w:tcPr>
          <w:p>
            <w:pPr>
              <w:jc w:val="right"/>
              <w:ind w:right="194"/>
              <w:spacing w:after="0"/>
              <w:rPr>
                <w:sz w:val="20"/>
                <w:szCs w:val="20"/>
                <w:color w:val="auto"/>
              </w:rPr>
            </w:pPr>
            <w:r>
              <w:rPr>
                <w:rFonts w:ascii="Times New Roman" w:cs="Times New Roman" w:eastAsia="Times New Roman" w:hAnsi="Times New Roman"/>
                <w:sz w:val="18"/>
                <w:szCs w:val="18"/>
                <w:color w:val="auto"/>
              </w:rPr>
              <w:t>(in thousands of dollars)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706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8"/>
                <w:szCs w:val="18"/>
                <w:color w:val="auto"/>
              </w:rPr>
              <w:t>Six Months Ended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0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2022</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9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June 30, 2021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paid</w:t>
            </w:r>
          </w:p>
        </w:tc>
        <w:tc>
          <w:tcPr>
            <w:tcW w:w="1460" w:type="dxa"/>
            <w:vAlign w:val="bottom"/>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5,647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paid</w:t>
            </w:r>
          </w:p>
        </w:tc>
        <w:tc>
          <w:tcPr>
            <w:tcW w:w="1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3,060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1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2,626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shd w:val="clear" w:color="auto" w:fill="CFF0FC"/>
          </w:tcPr>
          <w:p>
            <w:pPr>
              <w:spacing w:after="0"/>
              <w:rPr>
                <w:sz w:val="19"/>
                <w:szCs w:val="19"/>
                <w:color w:val="auto"/>
              </w:rPr>
            </w:pPr>
          </w:p>
        </w:tc>
      </w:tr>
      <w:tr>
        <w:trPr>
          <w:trHeight w:val="2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purchased the assets of Ossian Financial Services, Inc. for $20,001 on April 30,</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460" w:type="dxa"/>
            <w:vAlign w:val="bottom"/>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137,058</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paid for the capital stock</w:t>
            </w:r>
          </w:p>
        </w:tc>
        <w:tc>
          <w:tcPr>
            <w:tcW w:w="1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 assumed</w:t>
            </w:r>
          </w:p>
        </w:tc>
        <w:tc>
          <w:tcPr>
            <w:tcW w:w="1460" w:type="dxa"/>
            <w:vAlign w:val="bottom"/>
            <w:tcBorders>
              <w:bottom w:val="single" w:sz="8" w:color="auto"/>
            </w:tcBorders>
            <w:shd w:val="clear" w:color="auto" w:fill="CFF0FC"/>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right="3560" w:hanging="1462"/>
        <w:spacing w:after="0" w:line="814" w:lineRule="auto"/>
        <w:tabs>
          <w:tab w:leader="none" w:pos="4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9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2022 are not necessarily indicative of the results that are expected for the year ended December 31, 2022. The condensed consolidated balance sheet of the Company as of December 31, 2021,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2021.</w:t>
      </w:r>
    </w:p>
    <w:p>
      <w:pPr>
        <w:spacing w:after="0" w:line="148"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360"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has had an opportunity to increase its deposit base and reduce transaction costs. The Company has reduced costs through economies of scale.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50"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1"/>
        </w:trPr>
        <w:tc>
          <w:tcPr>
            <w:tcW w:w="7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funds sold</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Loans, net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17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420,162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Noninterest bearing</w:t>
            </w:r>
          </w:p>
        </w:tc>
        <w:tc>
          <w:tcPr>
            <w:tcW w:w="20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bearing</w:t>
            </w:r>
          </w:p>
        </w:tc>
        <w:tc>
          <w:tcPr>
            <w:tcW w:w="1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deposits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includes loans with a fair value of $334.7 million. The gross principal and contractual interest due under the contracts is $403.3 million, of which $5.6 million is expected to be uncollectible. The loans have a weighted average life of 52 months.</w:t>
      </w:r>
    </w:p>
    <w:p>
      <w:pPr>
        <w:spacing w:after="0" w:line="162"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incorporates a valuation amount of $3.9 million which is being accreted over 1.6 years. The fair value of Federal Home Loan Bank (FHLB) advances included a valuation amount of $218 thousand which is being accreted over 2.6 years.</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6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 risk models, which incorporated the estimate of current key assumptions, such as default rates, severity and prepayment speeds.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carrying amount of those loans is included in loans, net on the balance sheet at June 30, 2022. The amounts of loans at October 1, 2021,</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2021 and June 30, 2022 are as follows:</w:t>
      </w:r>
    </w:p>
    <w:p>
      <w:pPr>
        <w:spacing w:after="0" w:line="200" w:lineRule="exact"/>
        <w:rPr>
          <w:sz w:val="20"/>
          <w:szCs w:val="20"/>
          <w:color w:val="auto"/>
        </w:rPr>
      </w:pP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October 1, 2021</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Carrying amount, net of fair value adjustment of $237</w:t>
            </w:r>
          </w:p>
        </w:tc>
        <w:tc>
          <w:tcPr>
            <w:tcW w:w="1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5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Carrying amount, net of fair value adjustment of $190</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5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Carrying amount, net of fair value adjustment of $142</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Loans acquired during 2021 for which it was probable at acquisition that all contractually required payments would not be collected are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 at acquisition</w:t>
            </w:r>
          </w:p>
        </w:tc>
        <w:tc>
          <w:tcPr>
            <w:tcW w:w="1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7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Total required payments receivable</w:t>
            </w:r>
          </w:p>
        </w:tc>
        <w:tc>
          <w:tcPr>
            <w:tcW w:w="15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expected to be collected at acquisition</w:t>
            </w:r>
          </w:p>
        </w:tc>
        <w:tc>
          <w:tcPr>
            <w:tcW w:w="17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Basis in acquired loans at acquisition</w:t>
            </w:r>
          </w:p>
        </w:tc>
        <w:tc>
          <w:tcPr>
            <w:tcW w:w="17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right="260"/>
        <w:spacing w:after="0" w:line="255" w:lineRule="auto"/>
        <w:rPr>
          <w:sz w:val="20"/>
          <w:szCs w:val="20"/>
          <w:color w:val="auto"/>
        </w:rPr>
      </w:pPr>
      <w:r>
        <w:rPr>
          <w:rFonts w:ascii="Times New Roman" w:cs="Times New Roman" w:eastAsia="Times New Roman" w:hAnsi="Times New Roman"/>
          <w:sz w:val="18"/>
          <w:szCs w:val="18"/>
          <w:color w:val="auto"/>
        </w:rPr>
        <w:t>During the second quarter 2022, two consumer real estate purchased credit impaired loans were paid off with the associated discount of $36 thousand included in the loan interest income in the Company’s consolidated statement of income for the three and six months ended June 30, 2022. One consumer real estate purchased credit impaired loan was paid off during the first quarter 2022 with the associated discount of $12 thousand included in the loan interest income in the Company’s consolidated statement of income for the six months ended June 30,</w:t>
      </w:r>
    </w:p>
    <w:p>
      <w:pPr>
        <w:spacing w:after="0" w:line="3" w:lineRule="exact"/>
        <w:rPr>
          <w:sz w:val="20"/>
          <w:szCs w:val="20"/>
          <w:color w:val="auto"/>
        </w:rPr>
      </w:pPr>
    </w:p>
    <w:p>
      <w:pPr>
        <w:ind w:left="760" w:right="60"/>
        <w:spacing w:after="0" w:line="273" w:lineRule="auto"/>
        <w:rPr>
          <w:sz w:val="20"/>
          <w:szCs w:val="20"/>
          <w:color w:val="auto"/>
        </w:rPr>
      </w:pPr>
      <w:r>
        <w:rPr>
          <w:rFonts w:ascii="Times New Roman" w:cs="Times New Roman" w:eastAsia="Times New Roman" w:hAnsi="Times New Roman"/>
          <w:sz w:val="17"/>
          <w:szCs w:val="17"/>
          <w:color w:val="auto"/>
        </w:rPr>
        <w:t>2022. During the fourth quarter 2021, two commercial real estate and one consumer purchased credit impaired loans were paid off in full. The associated discount originally recognized at acquisition of $47 thousand was included in the loan interest income in the Company’s consolidated statement of income for the year ended December 31, 2021. The balance of the fair value adjustment for loans acquired and accounted for under this guidance (ASC 310-30) was $142 thousand at March 31, 2022, $190 thousand at December 31, 2021 and $237 thousand at October 1,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6520" w:type="dxa"/>
            <w:vAlign w:val="bottom"/>
            <w:gridSpan w:val="9"/>
          </w:tcPr>
          <w:p>
            <w:pPr>
              <w:jc w:val="right"/>
              <w:ind w:right="712"/>
              <w:spacing w:after="0"/>
              <w:rPr>
                <w:sz w:val="20"/>
                <w:szCs w:val="20"/>
                <w:color w:val="auto"/>
              </w:rPr>
            </w:pPr>
            <w:r>
              <w:rPr>
                <w:rFonts w:ascii="Times New Roman" w:cs="Times New Roman" w:eastAsia="Times New Roman" w:hAnsi="Times New Roman"/>
                <w:sz w:val="18"/>
                <w:szCs w:val="18"/>
                <w:color w:val="auto"/>
                <w:w w:val="99"/>
              </w:rPr>
              <w:t>Changes in accretable yield, or income expected to be collected, are as follows: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Six Months</w:t>
            </w:r>
          </w:p>
        </w:tc>
        <w:tc>
          <w:tcPr>
            <w:tcW w:w="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Six Months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30, 2022</w:t>
            </w: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June 30, 2022</w:t>
            </w:r>
          </w:p>
        </w:tc>
        <w:tc>
          <w:tcPr>
            <w:tcW w:w="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w:t>
            </w:r>
          </w:p>
        </w:tc>
        <w:tc>
          <w:tcPr>
            <w:tcW w:w="1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nonaccretable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Disposals</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 As a result of the acquisition, the Company has increased its deposit base and is working to reduce transaction costs. The Company has reduced costs through economies of scale.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34"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net</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Premises and equipment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Noninterest bearing</w:t>
            </w:r>
          </w:p>
        </w:tc>
        <w:tc>
          <w:tcPr>
            <w:tcW w:w="20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Interest bearing</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deposits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includes loans with a fair value of $52.4 million. The gross principal and contractual interest due under the contracts is $63.7 million, of which $1.1 million is expected to be uncollectible. The loans have a weighted average life of 52 months.</w:t>
      </w:r>
    </w:p>
    <w:p>
      <w:pPr>
        <w:spacing w:after="0" w:line="10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down by $596 thousand with $244 thousand attributable to buildings and will be accreted over the useful life of 39 years,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for certificates of deposit incorporates a valuation amount of $59 thousand which will be accreted over 1.4 years.</w:t>
      </w:r>
    </w:p>
    <w:p>
      <w:pPr>
        <w:spacing w:after="0" w:line="17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Certain transferred loans evidenced deterioration of credit quality since origination and management deemed it probable, at acquisition, that all contractually required payments would not be collected.</w:t>
      </w:r>
    </w:p>
    <w:p>
      <w:pPr>
        <w:spacing w:after="0" w:line="108"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Loans purchased with evidence of credit deterioration since origination and for which it is probable that all contractually required payments will not be collected are considered to be credit impaired. Evidence of credit quality deterioration as of the purchase date may include information such as past-due and nonaccrual status, borrower credit scores and recent loan to value percentages. Purchased credit-impaired loans are accounted for under the accounting guidance for loans and debt securities acquired with deteriorated credit quality (ASC 310-30) and initially measured at fair value, which includes estimated future credit losses expected to be incurred over the life of the loan. Accordingly, an allowance for credit losses related to these loans is not carried over and recorded at the acquisition date. Management estimated the cash flows expected to be collected at acquisition using our internal risk models, which incorporate the estimate of current key assumptions, such as default rates, severity and prepayment speeds.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carrying amount of those loans is included in loans, net on the balance sheet at June 30, 2022.  The amounts of loans at April 30, 2021,</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2021 and June 30, 2022 are as follows:</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April 30, 2021</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Carrying amount, net of fair value adjustment of $325</w:t>
            </w:r>
          </w:p>
        </w:tc>
        <w:tc>
          <w:tcPr>
            <w:tcW w:w="1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5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Carrying amount, net of fair value adjustment of $321</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Consumer Real Estate</w:t>
            </w:r>
          </w:p>
        </w:tc>
        <w:tc>
          <w:tcPr>
            <w:tcW w:w="15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Carrying amount, net of fair value adjustment of $83</w:t>
            </w:r>
          </w:p>
        </w:tc>
        <w:tc>
          <w:tcPr>
            <w:tcW w:w="1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Loans acquired during 2021 for which it was probable at acquisition that all contractually required payments would not be collected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 at acquisition</w:t>
            </w:r>
          </w:p>
        </w:tc>
        <w:tc>
          <w:tcPr>
            <w:tcW w:w="2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Consumer Real Estate</w:t>
            </w:r>
          </w:p>
        </w:tc>
        <w:tc>
          <w:tcPr>
            <w:tcW w:w="30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9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42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required payments receivable</w:t>
            </w:r>
          </w:p>
        </w:tc>
        <w:tc>
          <w:tcPr>
            <w:tcW w:w="29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Borders>
              <w:bottom w:val="single" w:sz="8" w:color="CFF0FC"/>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flows expected to be collected at acquisition</w:t>
            </w:r>
          </w:p>
        </w:tc>
        <w:tc>
          <w:tcPr>
            <w:tcW w:w="30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Basis in acquired loans at acquisition</w:t>
            </w:r>
          </w:p>
        </w:tc>
        <w:tc>
          <w:tcPr>
            <w:tcW w:w="30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6"/>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Six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Six Months</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30, 2022</w:t>
            </w:r>
          </w:p>
        </w:tc>
        <w:tc>
          <w:tcPr>
            <w:tcW w:w="8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June 30, 2021</w:t>
            </w:r>
          </w:p>
        </w:tc>
        <w:tc>
          <w:tcPr>
            <w:tcW w:w="8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June 30, 2022</w:t>
            </w:r>
          </w:p>
        </w:tc>
        <w:tc>
          <w:tcPr>
            <w:tcW w:w="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June 30, 2021</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1"/>
        </w:trPr>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w:t>
            </w:r>
          </w:p>
        </w:tc>
        <w:tc>
          <w:tcPr>
            <w:tcW w:w="1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nonaccretable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Disposals</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results of operations of Ossian State Bank and Perpetual Federal Savings Bank have been included in the Company’s consolidated financial statements since the acquisition dates of April 30, 2021 and October 1, 2021, respectively. The following schedule includes pro-forma results for the three and six months ended June 30, 2022 and 2021 as if the Ossian State Bank and Perpetual Federal Savings Bank acquisitions had occurred as of the beginning of the comparable prior reporting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 of dollars, except per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thousands of dollars, except per</w:t>
            </w:r>
          </w:p>
        </w:tc>
      </w:tr>
      <w:tr>
        <w:trPr>
          <w:trHeight w:val="230"/>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 data)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 data)</w:t>
            </w: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2021</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Income - Before Provision for Loan Losses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27,269</w:t>
            </w:r>
          </w:p>
        </w:tc>
        <w:tc>
          <w:tcPr>
            <w:tcW w:w="12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shd w:val="clear" w:color="auto" w:fill="CFF0FC"/>
          </w:tcPr>
          <w:p>
            <w:pPr>
              <w:spacing w:after="0"/>
              <w:rPr>
                <w:sz w:val="19"/>
                <w:szCs w:val="19"/>
                <w:color w:val="auto"/>
              </w:rPr>
            </w:pPr>
          </w:p>
        </w:tc>
      </w:tr>
      <w:tr>
        <w:trPr>
          <w:trHeight w:val="263"/>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20" w:type="dxa"/>
            <w:vAlign w:val="bottom"/>
            <w:tcBorders>
              <w:bottom w:val="single" w:sz="8" w:color="CFF0FC"/>
            </w:tcBorders>
          </w:tcPr>
          <w:p>
            <w:pPr>
              <w:spacing w:after="0"/>
              <w:rPr>
                <w:sz w:val="22"/>
                <w:szCs w:val="22"/>
                <w:color w:val="auto"/>
              </w:rPr>
            </w:pPr>
          </w:p>
        </w:tc>
      </w:tr>
      <w:tr>
        <w:trPr>
          <w:trHeight w:val="21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pro-forma information includes adjustments for interest income on loans, amortization of intangibles arising from the transactions, interest expense on deposits acquired, premises expense for the branches acquired and the related income tax effects. The pro-forma information for the quarter and six months ended June 30, 2022 includes approximately $2.5 million and $4.6 million, respectively, net of tax, of operating revenue from Ossian State Bank and Perpetual Federal Savings Bank since January 1, 2022.</w:t>
      </w:r>
    </w:p>
    <w:p>
      <w:pPr>
        <w:spacing w:after="0" w:line="207"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pro-forma financial information is presented for informational purposes only and is not indicative of the results of operations that actually would have been achieved had the acquisitions been consummated as of that time, nor is it intended to be a projection of future results.</w:t>
      </w:r>
    </w:p>
    <w:p>
      <w:pPr>
        <w:spacing w:after="0" w:line="18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34"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stock. As a result of the acquisition, the Company has had an opportunity to increase its deposit base and reduce transaction costs. The Company has also reduced costs through economies of scale.</w:t>
      </w:r>
    </w:p>
    <w:p>
      <w:pPr>
        <w:spacing w:after="0" w:line="108"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resulting from the acquisition consists largely of the synergies and economies of scale expected from combining the operations of the Company and Bank of Geneva. Of that total amount, none of the purchase price is deductible for tax purposes.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for the three and six months ended are as follows: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Six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Six Months</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30, 2022</w:t>
            </w:r>
          </w:p>
        </w:tc>
        <w:tc>
          <w:tcPr>
            <w:tcW w:w="8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June 30, 2021</w:t>
            </w:r>
          </w:p>
        </w:tc>
        <w:tc>
          <w:tcPr>
            <w:tcW w:w="8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June 30, 2022</w:t>
            </w:r>
          </w:p>
        </w:tc>
        <w:tc>
          <w:tcPr>
            <w:tcW w:w="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June 30, 2021</w:t>
            </w:r>
          </w:p>
        </w:tc>
        <w:tc>
          <w:tcPr>
            <w:tcW w:w="0" w:type="dxa"/>
            <w:vAlign w:val="bottom"/>
          </w:tcPr>
          <w:p>
            <w:pPr>
              <w:spacing w:after="0"/>
              <w:rPr>
                <w:sz w:val="1"/>
                <w:szCs w:val="1"/>
                <w:color w:val="auto"/>
              </w:rPr>
            </w:pPr>
          </w:p>
        </w:tc>
      </w:tr>
      <w:tr>
        <w:trPr>
          <w:trHeight w:val="223"/>
        </w:trPr>
        <w:tc>
          <w:tcPr>
            <w:tcW w:w="16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1"/>
        </w:trPr>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w:t>
            </w:r>
          </w:p>
        </w:tc>
        <w:tc>
          <w:tcPr>
            <w:tcW w:w="15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nonaccretable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difference</w:t>
            </w:r>
          </w:p>
        </w:tc>
        <w:tc>
          <w:tcPr>
            <w:tcW w:w="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Disposals</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deposits assets and the acquisition of Perpetual Federal Savings Bank resulted in the recognition of $668 thousand in core deposits which are all being amortized over its remaining economic useful life of 7 years on a straight line basis. Core deposit intangible is included in other assets on the consolidated balance sheets.</w:t>
      </w:r>
    </w:p>
    <w:p>
      <w:pPr>
        <w:spacing w:after="0" w:line="20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six months ended June 30, 2021 was $303 thousand. Of the $795 thousand to be expensed in 2022, $398 thousand has been expensed for the six months ended June 30, 2022. Annual amortization of core deposit intangible assets is as follows:</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1180" w:type="dxa"/>
            <w:vAlign w:val="bottom"/>
            <w:tcBorders>
              <w:bottom w:val="single" w:sz="8" w:color="CFF0FC"/>
            </w:tcBorders>
          </w:tcPr>
          <w:p>
            <w:pPr>
              <w:spacing w:after="0"/>
              <w:rPr>
                <w:sz w:val="20"/>
                <w:szCs w:val="20"/>
                <w:color w:val="auto"/>
              </w:rPr>
            </w:pPr>
          </w:p>
        </w:tc>
        <w:tc>
          <w:tcPr>
            <w:tcW w:w="4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Geneva</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Ossian</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Perpetual</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1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1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0"/>
        </w:trPr>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2 BUSINESS COMBINATION AND ASSET PURCHASE (Continued)</w:t>
      </w:r>
    </w:p>
    <w:p>
      <w:pPr>
        <w:spacing w:after="0" w:line="200" w:lineRule="exact"/>
        <w:rPr>
          <w:sz w:val="20"/>
          <w:szCs w:val="20"/>
          <w:color w:val="auto"/>
        </w:rPr>
      </w:pPr>
    </w:p>
    <w:p>
      <w:pPr>
        <w:spacing w:after="0" w:line="25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six months ended June 30, 2021 was $61 thousand. Of the $123 thousand to be expensed in 2022, $61 thousand has been expensed for the six months ended June 30, 2022. Annual amortization expense of customer list intangible is as follows:</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22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Adams County Financial Resources</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9"/>
                <w:szCs w:val="19"/>
                <w:color w:val="auto"/>
              </w:rPr>
            </w:pPr>
          </w:p>
        </w:tc>
      </w:tr>
      <w:tr>
        <w:trPr>
          <w:trHeight w:val="230"/>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FF0FC"/>
          </w:tcPr>
          <w:p>
            <w:pPr>
              <w:spacing w:after="0"/>
              <w:rPr>
                <w:sz w:val="19"/>
                <w:szCs w:val="19"/>
                <w:color w:val="auto"/>
              </w:rPr>
            </w:pP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9"/>
                <w:szCs w:val="19"/>
                <w:color w:val="auto"/>
              </w:rPr>
            </w:pPr>
          </w:p>
        </w:tc>
      </w:tr>
      <w:tr>
        <w:trPr>
          <w:trHeight w:val="229"/>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FF0FC"/>
          </w:tcPr>
          <w:p>
            <w:pPr>
              <w:spacing w:after="0"/>
              <w:rPr>
                <w:sz w:val="19"/>
                <w:szCs w:val="19"/>
                <w:color w:val="auto"/>
              </w:rPr>
            </w:pPr>
          </w:p>
        </w:tc>
      </w:tr>
      <w:tr>
        <w:trPr>
          <w:trHeight w:val="230"/>
        </w:trPr>
        <w:tc>
          <w:tcPr>
            <w:tcW w:w="2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CFF0FC"/>
            </w:tcBorders>
          </w:tcPr>
          <w:p>
            <w:pPr>
              <w:spacing w:after="0"/>
              <w:rPr>
                <w:sz w:val="19"/>
                <w:szCs w:val="19"/>
                <w:color w:val="auto"/>
              </w:rPr>
            </w:pPr>
          </w:p>
        </w:tc>
      </w:tr>
      <w:tr>
        <w:trPr>
          <w:trHeight w:val="223"/>
        </w:trPr>
        <w:tc>
          <w:tcPr>
            <w:tcW w:w="22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right="3460" w:hanging="1325"/>
        <w:spacing w:after="0" w:line="814" w:lineRule="auto"/>
        <w:tabs>
          <w:tab w:leader="none" w:pos="4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25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June 30, 2022 and December 31, 2021,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30, 2022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5"/>
        </w:trPr>
        <w:tc>
          <w:tcPr>
            <w:tcW w:w="3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1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97,100</w:t>
            </w:r>
          </w:p>
        </w:tc>
      </w:tr>
      <w:tr>
        <w:trPr>
          <w:trHeight w:val="229"/>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155,489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141,512</w:t>
            </w:r>
          </w:p>
        </w:tc>
      </w:tr>
      <w:tr>
        <w:trPr>
          <w:trHeight w:val="230"/>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93,981</w:t>
            </w:r>
          </w:p>
        </w:tc>
      </w:tr>
      <w:tr>
        <w:trPr>
          <w:trHeight w:val="229"/>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72,341</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67,094</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439,259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399,687</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3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05"/>
        </w:trPr>
        <w:tc>
          <w:tcPr>
            <w:tcW w:w="3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1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4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3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380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89,177</w:t>
            </w:r>
          </w:p>
        </w:tc>
      </w:tr>
      <w:tr>
        <w:trPr>
          <w:trHeight w:val="230"/>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159,673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156,886</w:t>
            </w:r>
          </w:p>
        </w:tc>
      </w:tr>
      <w:tr>
        <w:trPr>
          <w:trHeight w:val="230"/>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117,927</w:t>
            </w:r>
          </w:p>
        </w:tc>
      </w:tr>
      <w:tr>
        <w:trPr>
          <w:trHeight w:val="229"/>
        </w:trPr>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64,964</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65,941</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433,962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429,931</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1" w:lineRule="exact"/>
        <w:rPr>
          <w:sz w:val="20"/>
          <w:szCs w:val="20"/>
          <w:color w:val="auto"/>
        </w:rPr>
      </w:pPr>
    </w:p>
    <w:p>
      <w:pPr>
        <w:ind w:left="2240" w:hanging="747"/>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7" w:lineRule="exact"/>
        <w:rPr>
          <w:rFonts w:ascii="Times New Roman" w:cs="Times New Roman" w:eastAsia="Times New Roman" w:hAnsi="Times New Roman"/>
          <w:sz w:val="18"/>
          <w:szCs w:val="18"/>
          <w:color w:val="auto"/>
        </w:rPr>
      </w:pPr>
    </w:p>
    <w:p>
      <w:pPr>
        <w:ind w:left="2240" w:hanging="747"/>
        <w:spacing w:after="0" w:line="261" w:lineRule="auto"/>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ind w:left="2240" w:hanging="747"/>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7" w:lineRule="exact"/>
        <w:rPr>
          <w:rFonts w:ascii="Times New Roman" w:cs="Times New Roman" w:eastAsia="Times New Roman" w:hAnsi="Times New Roman"/>
          <w:sz w:val="18"/>
          <w:szCs w:val="18"/>
          <w:color w:val="auto"/>
        </w:rPr>
      </w:pPr>
    </w:p>
    <w:p>
      <w:pPr>
        <w:ind w:left="2240" w:hanging="747"/>
        <w:spacing w:after="0"/>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underwater security has longer than 10 years to maturity and the loss position had existed for more than 3 years.</w:t>
      </w:r>
    </w:p>
    <w:p>
      <w:pPr>
        <w:spacing w:after="0" w:line="36" w:lineRule="exact"/>
        <w:rPr>
          <w:rFonts w:ascii="Times New Roman" w:cs="Times New Roman" w:eastAsia="Times New Roman" w:hAnsi="Times New Roman"/>
          <w:sz w:val="18"/>
          <w:szCs w:val="18"/>
          <w:color w:val="auto"/>
        </w:rPr>
      </w:pPr>
    </w:p>
    <w:p>
      <w:pPr>
        <w:ind w:left="2240" w:hanging="747"/>
        <w:spacing w:after="0" w:line="282" w:lineRule="auto"/>
        <w:tabs>
          <w:tab w:leader="none" w:pos="2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3 SECURITIES (Continued)</w:t>
      </w:r>
    </w:p>
    <w:p>
      <w:pPr>
        <w:spacing w:after="0" w:line="200" w:lineRule="exact"/>
        <w:rPr>
          <w:sz w:val="20"/>
          <w:szCs w:val="20"/>
          <w:color w:val="auto"/>
        </w:rPr>
      </w:pPr>
    </w:p>
    <w:p>
      <w:pPr>
        <w:spacing w:after="0" w:line="2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June 30, 2022 and December 31, 2021, aggregated by investment category and length of time that individual securities have been in a continuous loss position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June 30, 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8"/>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5"/>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71,736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6,774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78,510</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158,102</w:t>
            </w: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61,720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32,261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93,981</w:t>
            </w:r>
          </w:p>
        </w:tc>
      </w:tr>
      <w:tr>
        <w:trPr>
          <w:trHeight w:val="230"/>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52,771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59,346</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241,627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148,312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389,939</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6"/>
        </w:trPr>
        <w:tc>
          <w:tcPr>
            <w:tcW w:w="2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8"/>
              </w:rPr>
              <w:t>Twelve Months &amp; Over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spacing w:after="0"/>
              <w:rPr>
                <w:sz w:val="19"/>
                <w:szCs w:val="19"/>
                <w:color w:val="auto"/>
              </w:rPr>
            </w:pPr>
          </w:p>
        </w:tc>
      </w:tr>
      <w:tr>
        <w:trPr>
          <w:trHeight w:val="205"/>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0"/>
              <w:spacing w:after="0" w:line="205"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9"/>
                <w:szCs w:val="19"/>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29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89,177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89,177</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128,477</w:t>
            </w: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63,157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16,434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79,591</w:t>
            </w:r>
          </w:p>
        </w:tc>
      </w:tr>
      <w:tr>
        <w:trPr>
          <w:trHeight w:val="229"/>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17,727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23,214</w:t>
            </w: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256,800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63,659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320,459</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are the gross realized gains and losses for the three and six months ended June 30, 2022 and June 30, 2021.</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20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Three Months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4"/>
          </w:tcPr>
          <w:p>
            <w:pPr>
              <w:jc w:val="right"/>
              <w:ind w:right="336"/>
              <w:spacing w:after="0"/>
              <w:rPr>
                <w:sz w:val="20"/>
                <w:szCs w:val="20"/>
                <w:color w:val="auto"/>
              </w:rPr>
            </w:pPr>
            <w:r>
              <w:rPr>
                <w:rFonts w:ascii="Times New Roman" w:cs="Times New Roman" w:eastAsia="Times New Roman" w:hAnsi="Times New Roman"/>
                <w:sz w:val="18"/>
                <w:szCs w:val="18"/>
                <w:color w:val="auto"/>
              </w:rPr>
              <w:t>Six Months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Borders>
              <w:bottom w:val="single" w:sz="8" w:color="auto"/>
            </w:tcBorders>
            <w:gridSpan w:val="5"/>
          </w:tcPr>
          <w:p>
            <w:pPr>
              <w:jc w:val="right"/>
              <w:ind w:right="216"/>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800" w:type="dxa"/>
            <w:vAlign w:val="bottom"/>
            <w:shd w:val="clear" w:color="auto" w:fill="CFF0FC"/>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realized gains</w:t>
            </w:r>
          </w:p>
        </w:tc>
        <w:tc>
          <w:tcPr>
            <w:tcW w:w="800" w:type="dxa"/>
            <w:vAlign w:val="bottom"/>
            <w:tcBorders>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expense related to net realized gains</w:t>
            </w: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net realized gains on sales and related tax expense is a reclassification out of accumulated other comprehensive income (loss). The net realized gains are included in net gains on sale of available-for-sale securities and the related tax expense is included in income taxes in the condensed consolidated statements of income and comprehensive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NOTE 3 SECURITIES (Continued)</w:t>
      </w:r>
    </w:p>
    <w:p>
      <w:pPr>
        <w:spacing w:after="0" w:line="200" w:lineRule="exact"/>
        <w:rPr>
          <w:sz w:val="20"/>
          <w:szCs w:val="20"/>
          <w:color w:val="auto"/>
        </w:rPr>
      </w:pPr>
    </w:p>
    <w:p>
      <w:pPr>
        <w:spacing w:after="0" w:line="20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at June 30, 2022, by contractual maturity, are shown below. Expected maturities will differ from contractual maturities because borrowers may have the right to call or prepay obligations with or without call or prepayment penalties.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8"/>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170,399</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127,389</w:t>
            </w: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23"/>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333,265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305,706</w:t>
            </w: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93,981</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439,259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399,687</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Investments with a carrying value of $130.0 million and $115.0 million at June 30, 2022 and December 31, 2021, respectively, were pledged to secure public deposits and securities sold under repurchase agreements.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Other securities include Federal Home Loan Bank of Cincinnati and Indianapolis stock in the amount of $7.3 million as of June 30, 2022 and December 31, 2021, in addition to Ohio Equity Fund for Housing Limited Partnership funding of $1.4 million as of June 30, 2022 and $820 thousand as of December 31, 2021 out of a total $3.0 million 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40" w:right="3460" w:hanging="1325"/>
        <w:spacing w:after="0" w:line="673" w:lineRule="auto"/>
        <w:tabs>
          <w:tab w:leader="none" w:pos="4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4 LOANS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Loan balances as of June 30, 2022 and December 31, 2021 are summarized below:</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5"/>
        </w:trPr>
        <w:tc>
          <w:tcPr>
            <w:tcW w:w="6640" w:type="dxa"/>
            <w:vAlign w:val="bottom"/>
            <w:gridSpan w:val="3"/>
            <w:vMerge w:val="restart"/>
          </w:tcPr>
          <w:p>
            <w:pPr>
              <w:ind w:left="132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86"/>
        </w:trPr>
        <w:tc>
          <w:tcPr>
            <w:tcW w:w="6640" w:type="dxa"/>
            <w:vAlign w:val="bottom"/>
            <w:gridSpan w:val="3"/>
            <w:vMerge w:val="continue"/>
          </w:tcPr>
          <w:p>
            <w:pPr>
              <w:spacing w:after="0"/>
              <w:rPr>
                <w:sz w:val="7"/>
                <w:szCs w:val="7"/>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June 30, 2022</w:t>
            </w:r>
          </w:p>
        </w:tc>
        <w:tc>
          <w:tcPr>
            <w:tcW w:w="22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28"/>
        </w:trPr>
        <w:tc>
          <w:tcPr>
            <w:tcW w:w="1320" w:type="dxa"/>
            <w:vAlign w:val="bottom"/>
          </w:tcPr>
          <w:p>
            <w:pPr>
              <w:spacing w:after="0"/>
              <w:rPr>
                <w:sz w:val="11"/>
                <w:szCs w:val="11"/>
                <w:color w:val="auto"/>
              </w:rPr>
            </w:pPr>
          </w:p>
        </w:tc>
        <w:tc>
          <w:tcPr>
            <w:tcW w:w="480" w:type="dxa"/>
            <w:vAlign w:val="bottom"/>
            <w:tcBorders>
              <w:top w:val="single" w:sz="8" w:color="auto"/>
              <w:bottom w:val="single" w:sz="8" w:color="CFF0FC"/>
            </w:tcBorders>
          </w:tcPr>
          <w:p>
            <w:pPr>
              <w:spacing w:after="0"/>
              <w:rPr>
                <w:sz w:val="11"/>
                <w:szCs w:val="11"/>
                <w:color w:val="auto"/>
              </w:rPr>
            </w:pPr>
          </w:p>
        </w:tc>
        <w:tc>
          <w:tcPr>
            <w:tcW w:w="4840" w:type="dxa"/>
            <w:vAlign w:val="bottom"/>
            <w:tcBorders>
              <w:bottom w:val="single" w:sz="8" w:color="CFF0FC"/>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410,450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395,873</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198,343</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127,143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118,368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848,477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232,975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208,270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57,737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32,089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2,036,370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1,859,157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1,857,419</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2,016,394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1,841,177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loans primarily fund public improvements in the Bank’s service area.</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June 30, 2022:</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5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Fixed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Variable</w:t>
            </w: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309,221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101,229</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127,103</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72,869</w:t>
            </w: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48,479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78,664</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787,908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191,268</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109,452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123,523</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54,462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21,341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w:t>
            </w:r>
          </w:p>
        </w:tc>
      </w:tr>
    </w:tbl>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one to four family residential mortgage loans amounting to $185.7 million and $193.2 million, respectively, have been pledged as security for future loans and existing loans the Bank has received from the Federal Home Loan Bank.</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Unless listed separately, Other loans are included in the Commercial and Industrial category for the remainder of the tables in this Note 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ind w:left="8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thousands) in past due loans by portfolio classification of loans as of June 30, 2022 and December 31, 2021, net of deferred loan fees and costs: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90 Days and</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409,288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410,468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126,524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127,340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977,393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977,588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263,840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264,124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55,574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55,648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2,030,719</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$ 2,034,818</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7"/>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05"/>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Recorded</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30-59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60-89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Greater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&gt;</w:t>
            </w:r>
          </w:p>
        </w:tc>
      </w:tr>
      <w:tr>
        <w:trPr>
          <w:trHeight w:val="216"/>
        </w:trPr>
        <w:tc>
          <w:tcPr>
            <w:tcW w:w="4040" w:type="dxa"/>
            <w:vAlign w:val="bottom"/>
          </w:tcPr>
          <w:p>
            <w:pPr>
              <w:spacing w:after="0"/>
              <w:rPr>
                <w:sz w:val="18"/>
                <w:szCs w:val="18"/>
                <w:color w:val="auto"/>
              </w:rPr>
            </w:pPr>
          </w:p>
        </w:tc>
        <w:tc>
          <w:tcPr>
            <w:tcW w:w="9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Than 90</w:t>
            </w: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6"/>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Financing</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90 Days and</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Days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Receivables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Accruing</w:t>
            </w:r>
          </w:p>
        </w:tc>
      </w:tr>
      <w:tr>
        <w:trPr>
          <w:trHeight w:val="223"/>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395,331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395,805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197,597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198,033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118,504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118,504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846,930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847,110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239,837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240,138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57,765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57,829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Borders>
              <w:bottom w:val="single" w:sz="8" w:color="CFF0FC"/>
            </w:tcBorders>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1,855,964</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$ 1,857,419</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recorded investment in nonaccrual loans by class of loans as of June 30, 2022 and December 31, 2021:</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7"/>
                <w:szCs w:val="17"/>
                <w:color w:val="auto"/>
              </w:rPr>
            </w:pPr>
          </w:p>
        </w:tc>
        <w:tc>
          <w:tcPr>
            <w:tcW w:w="1200" w:type="dxa"/>
            <w:vAlign w:val="bottom"/>
            <w:gridSpan w:val="2"/>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35"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21"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various pricing mechanisms. The risk related to weather is often mitigated by crop insurance.</w:t>
      </w:r>
    </w:p>
    <w:p>
      <w:pPr>
        <w:spacing w:after="0" w:line="139"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53"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limited liability companies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Included in commercial loans for June 2022 and December 2021 were Paycheck Protection Program (PPP) loans, administered by the Small Business Administration (SBA), in the amounts of $8 thousand and $2.9 million, respectively. The PPP provided loans to eligible businesses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48"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others.</w:t>
      </w:r>
    </w:p>
    <w:p>
      <w:pPr>
        <w:spacing w:after="0" w:line="121"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27" w:lineRule="exact"/>
        <w:rPr>
          <w:sz w:val="20"/>
          <w:szCs w:val="20"/>
          <w:color w:val="auto"/>
        </w:rPr>
      </w:pPr>
    </w:p>
    <w:p>
      <w:pPr>
        <w:ind w:left="1680" w:hanging="552"/>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9" w:lineRule="exact"/>
        <w:rPr>
          <w:rFonts w:ascii="Times New Roman" w:cs="Times New Roman" w:eastAsia="Times New Roman" w:hAnsi="Times New Roman"/>
          <w:sz w:val="18"/>
          <w:szCs w:val="18"/>
          <w:color w:val="auto"/>
        </w:rPr>
      </w:pPr>
    </w:p>
    <w:p>
      <w:pPr>
        <w:jc w:val="both"/>
        <w:ind w:left="1680" w:right="20" w:hanging="552"/>
        <w:spacing w:after="0" w:line="255" w:lineRule="auto"/>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jc w:val="both"/>
        <w:ind w:left="1680"/>
        <w:spacing w:after="0" w:line="255" w:lineRule="auto"/>
        <w:rPr>
          <w:sz w:val="20"/>
          <w:szCs w:val="20"/>
          <w:color w:val="auto"/>
        </w:rPr>
      </w:pPr>
      <w:r>
        <w:rPr>
          <w:rFonts w:ascii="Times New Roman" w:cs="Times New Roman" w:eastAsia="Times New Roman" w:hAnsi="Times New Roman"/>
          <w:sz w:val="18"/>
          <w:szCs w:val="18"/>
          <w:color w:val="auto"/>
        </w:rPr>
        <w:t>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3" w:lineRule="exact"/>
        <w:rPr>
          <w:sz w:val="20"/>
          <w:szCs w:val="20"/>
          <w:color w:val="auto"/>
        </w:rPr>
      </w:pPr>
    </w:p>
    <w:p>
      <w:pPr>
        <w:jc w:val="both"/>
        <w:ind w:left="1680" w:hanging="552"/>
        <w:spacing w:after="0" w:line="250" w:lineRule="auto"/>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1" w:lineRule="exact"/>
        <w:rPr>
          <w:rFonts w:ascii="Times New Roman" w:cs="Times New Roman" w:eastAsia="Times New Roman" w:hAnsi="Times New Roman"/>
          <w:sz w:val="18"/>
          <w:szCs w:val="18"/>
          <w:color w:val="auto"/>
        </w:rPr>
      </w:pPr>
    </w:p>
    <w:p>
      <w:pPr>
        <w:jc w:val="both"/>
        <w:ind w:left="1680" w:hanging="552"/>
        <w:spacing w:after="0" w:line="250" w:lineRule="auto"/>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1" w:lineRule="exact"/>
        <w:rPr>
          <w:rFonts w:ascii="Times New Roman" w:cs="Times New Roman" w:eastAsia="Times New Roman" w:hAnsi="Times New Roman"/>
          <w:sz w:val="18"/>
          <w:szCs w:val="18"/>
          <w:color w:val="auto"/>
        </w:rPr>
      </w:pPr>
    </w:p>
    <w:p>
      <w:pPr>
        <w:ind w:left="17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1960" w:hanging="278"/>
        <w:spacing w:after="0" w:line="250"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 w:lineRule="exact"/>
        <w:rPr>
          <w:rFonts w:ascii="Times New Roman" w:cs="Times New Roman" w:eastAsia="Times New Roman" w:hAnsi="Times New Roman"/>
          <w:sz w:val="18"/>
          <w:szCs w:val="18"/>
          <w:color w:val="auto"/>
        </w:rPr>
      </w:pPr>
    </w:p>
    <w:p>
      <w:pPr>
        <w:jc w:val="both"/>
        <w:ind w:left="1680" w:hanging="552"/>
        <w:spacing w:after="0" w:line="250" w:lineRule="auto"/>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1" w:lineRule="exact"/>
        <w:rPr>
          <w:rFonts w:ascii="Times New Roman" w:cs="Times New Roman" w:eastAsia="Times New Roman" w:hAnsi="Times New Roman"/>
          <w:sz w:val="18"/>
          <w:szCs w:val="18"/>
          <w:color w:val="auto"/>
        </w:rPr>
      </w:pPr>
    </w:p>
    <w:p>
      <w:pPr>
        <w:jc w:val="both"/>
        <w:ind w:left="1680" w:hanging="552"/>
        <w:spacing w:after="0" w:line="250" w:lineRule="auto"/>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 w:lineRule="exact"/>
        <w:rPr>
          <w:rFonts w:ascii="Times New Roman" w:cs="Times New Roman" w:eastAsia="Times New Roman" w:hAnsi="Times New Roman"/>
          <w:sz w:val="18"/>
          <w:szCs w:val="18"/>
          <w:color w:val="auto"/>
        </w:rPr>
      </w:pPr>
    </w:p>
    <w:p>
      <w:pPr>
        <w:ind w:left="1680" w:hanging="552"/>
        <w:spacing w:after="0"/>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9" w:lineRule="exact"/>
        <w:rPr>
          <w:rFonts w:ascii="Times New Roman" w:cs="Times New Roman" w:eastAsia="Times New Roman" w:hAnsi="Times New Roman"/>
          <w:sz w:val="18"/>
          <w:szCs w:val="18"/>
          <w:color w:val="auto"/>
        </w:rPr>
      </w:pPr>
    </w:p>
    <w:p>
      <w:pPr>
        <w:jc w:val="both"/>
        <w:ind w:left="1960" w:hanging="278"/>
        <w:spacing w:after="0" w:line="260"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9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1960" w:hanging="278"/>
        <w:spacing w:after="0" w:line="250"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spacing w:after="0" w:line="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1960" w:right="20" w:hanging="278"/>
        <w:spacing w:after="0" w:line="250"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1960" w:hanging="278"/>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34" w:lineRule="exact"/>
        <w:rPr>
          <w:sz w:val="20"/>
          <w:szCs w:val="20"/>
          <w:color w:val="auto"/>
        </w:rPr>
      </w:pPr>
    </w:p>
    <w:p>
      <w:pPr>
        <w:ind w:left="1680" w:hanging="552"/>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1960" w:hanging="278"/>
        <w:spacing w:after="0" w:line="250"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1960" w:hanging="278"/>
        <w:spacing w:after="0"/>
        <w:tabs>
          <w:tab w:leader="none" w:pos="19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primary source of repayment is gone, and there is considerable doubt as to the quality of the secondary source of repayment.</w:t>
      </w:r>
    </w:p>
    <w:p>
      <w:pPr>
        <w:spacing w:after="0" w:line="20" w:lineRule="exact"/>
        <w:rPr>
          <w:rFonts w:ascii="Times New Roman" w:cs="Times New Roman" w:eastAsia="Times New Roman" w:hAnsi="Times New Roman"/>
          <w:sz w:val="17"/>
          <w:szCs w:val="17"/>
          <w:color w:val="auto"/>
        </w:rPr>
      </w:pPr>
    </w:p>
    <w:p>
      <w:pPr>
        <w:jc w:val="both"/>
        <w:ind w:left="1960" w:hanging="278"/>
        <w:spacing w:after="0" w:line="250"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Times New Roman" w:cs="Times New Roman" w:eastAsia="Times New Roman" w:hAnsi="Times New Roman"/>
          <w:sz w:val="18"/>
          <w:szCs w:val="18"/>
          <w:color w:val="auto"/>
        </w:rPr>
      </w:pPr>
    </w:p>
    <w:p>
      <w:pPr>
        <w:jc w:val="both"/>
        <w:ind w:left="1680" w:hanging="552"/>
        <w:spacing w:after="0" w:line="255" w:lineRule="auto"/>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40" w:right="3560" w:hanging="1419"/>
        <w:spacing w:after="0" w:line="814" w:lineRule="auto"/>
        <w:tabs>
          <w:tab w:leader="none" w:pos="42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63" w:lineRule="exact"/>
        <w:rPr>
          <w:sz w:val="20"/>
          <w:szCs w:val="20"/>
          <w:color w:val="auto"/>
        </w:rPr>
      </w:pPr>
    </w:p>
    <w:p>
      <w:pPr>
        <w:ind w:left="6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net of deferred fees and costs, based on the most recent analysis performed as of June 30, 2022 and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18"/>
        </w:trPr>
        <w:tc>
          <w:tcPr>
            <w:tcW w:w="3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Agricultural</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Commercial</w:t>
            </w:r>
          </w:p>
        </w:tc>
        <w:tc>
          <w:tcPr>
            <w:tcW w:w="12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39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43,788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269,520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58,423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11,202</w:t>
            </w:r>
          </w:p>
        </w:tc>
      </w:tr>
      <w:tr>
        <w:trPr>
          <w:trHeight w:val="229"/>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665,350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20,041</w:t>
            </w:r>
          </w:p>
        </w:tc>
      </w:tr>
      <w:tr>
        <w:trPr>
          <w:trHeight w:val="230"/>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15,705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199,650</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127,340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977,588</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232,881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31,243</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91"/>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Agricultural</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Commercial</w:t>
            </w:r>
          </w:p>
        </w:tc>
        <w:tc>
          <w:tcPr>
            <w:tcW w:w="1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94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r>
      <w:tr>
        <w:trPr>
          <w:trHeight w:val="22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39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1-2</w:t>
            </w:r>
          </w:p>
        </w:tc>
        <w:tc>
          <w:tcPr>
            <w:tcW w:w="1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4,604</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42,180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238,132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46,547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11,408</w:t>
            </w:r>
          </w:p>
        </w:tc>
      </w:tr>
      <w:tr>
        <w:trPr>
          <w:trHeight w:val="230"/>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568,038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152,736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20,681</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14,509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FF0FC"/>
          </w:tcPr>
          <w:p>
            <w:pPr>
              <w:jc w:val="center"/>
              <w:ind w:left="103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bottom w:val="single" w:sz="8" w:color="CFF0FC"/>
            </w:tcBorders>
          </w:tcPr>
          <w:p>
            <w:pPr>
              <w:jc w:val="center"/>
              <w:ind w:left="103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bottom w:val="single" w:sz="8" w:color="CFF0FC"/>
            </w:tcBorders>
            <w:shd w:val="clear" w:color="auto" w:fill="CFF0FC"/>
          </w:tcPr>
          <w:p>
            <w:pPr>
              <w:ind w:left="23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198,033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118,504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847,110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208,049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32,089</w:t>
            </w:r>
          </w:p>
        </w:tc>
      </w:tr>
      <w:tr>
        <w:trPr>
          <w:trHeight w:val="20"/>
        </w:trPr>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9"/>
        </w:trPr>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June 30, 2022 and December 31, 2021.</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8"/>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Consumer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Consumer</w:t>
            </w:r>
          </w:p>
        </w:tc>
      </w:tr>
      <w:tr>
        <w:trPr>
          <w:trHeight w:val="234"/>
        </w:trPr>
        <w:tc>
          <w:tcPr>
            <w:tcW w:w="5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Real Estate</w:t>
            </w:r>
          </w:p>
        </w:tc>
      </w:tr>
      <w:tr>
        <w:trPr>
          <w:trHeight w:val="205"/>
        </w:trPr>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line="205" w:lineRule="exact"/>
              <w:rPr>
                <w:sz w:val="20"/>
                <w:szCs w:val="20"/>
                <w:color w:val="auto"/>
              </w:rPr>
            </w:pPr>
            <w:r>
              <w:rPr>
                <w:rFonts w:ascii="Times New Roman" w:cs="Times New Roman" w:eastAsia="Times New Roman" w:hAnsi="Times New Roman"/>
                <w:sz w:val="18"/>
                <w:szCs w:val="18"/>
                <w:color w:val="auto"/>
                <w:w w:val="99"/>
              </w:rPr>
              <w:t>June 30,</w:t>
            </w:r>
          </w:p>
        </w:tc>
        <w:tc>
          <w:tcPr>
            <w:tcW w:w="20" w:type="dxa"/>
            <w:vAlign w:val="bottom"/>
          </w:tcPr>
          <w:p>
            <w:pPr>
              <w:spacing w:after="0"/>
              <w:rPr>
                <w:sz w:val="17"/>
                <w:szCs w:val="17"/>
                <w:color w:val="auto"/>
              </w:rPr>
            </w:pPr>
          </w:p>
        </w:tc>
        <w:tc>
          <w:tcPr>
            <w:tcW w:w="1180" w:type="dxa"/>
            <w:vAlign w:val="bottom"/>
            <w:gridSpan w:val="2"/>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3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Grade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408,315</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392,940</w:t>
            </w: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9"/>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9"/>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410,468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395,805</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373"/>
              <w:spacing w:after="0"/>
              <w:rPr>
                <w:sz w:val="20"/>
                <w:szCs w:val="20"/>
                <w:color w:val="auto"/>
              </w:rPr>
            </w:pPr>
            <w:r>
              <w:rPr>
                <w:rFonts w:ascii="Times New Roman" w:cs="Times New Roman" w:eastAsia="Times New Roman" w:hAnsi="Times New Roman"/>
                <w:sz w:val="18"/>
                <w:szCs w:val="18"/>
                <w:color w:val="auto"/>
              </w:rPr>
              <w:t>Consumer - Credit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w w:val="99"/>
              </w:rPr>
              <w:t>Consumer - Other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40" w:type="dxa"/>
            <w:vAlign w:val="bottom"/>
          </w:tcPr>
          <w:p>
            <w:pPr>
              <w:spacing w:after="0"/>
              <w:rPr>
                <w:sz w:val="17"/>
                <w:szCs w:val="17"/>
                <w:color w:val="auto"/>
              </w:rPr>
            </w:pPr>
          </w:p>
        </w:tc>
        <w:tc>
          <w:tcPr>
            <w:tcW w:w="10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right"/>
              <w:ind w:right="23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7"/>
                <w:szCs w:val="17"/>
                <w:color w:val="auto"/>
              </w:rPr>
            </w:pPr>
          </w:p>
        </w:tc>
        <w:tc>
          <w:tcPr>
            <w:tcW w:w="114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55,560</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55,629</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53,910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20" w:type="dxa"/>
            <w:vAlign w:val="bottom"/>
            <w:gridSpan w:val="15"/>
          </w:tcPr>
          <w:p>
            <w:pPr>
              <w:jc w:val="right"/>
              <w:ind w:right="110"/>
              <w:spacing w:after="0"/>
              <w:rPr>
                <w:sz w:val="20"/>
                <w:szCs w:val="20"/>
                <w:color w:val="auto"/>
              </w:rPr>
            </w:pPr>
            <w:r>
              <w:rPr>
                <w:rFonts w:ascii="Times New Roman" w:cs="Times New Roman" w:eastAsia="Times New Roman" w:hAnsi="Times New Roman"/>
                <w:sz w:val="18"/>
                <w:szCs w:val="18"/>
                <w:color w:val="auto"/>
                <w:w w:val="99"/>
              </w:rPr>
              <w:t>Information about impaired loans as of June 30, 2022, December 31, 2021 and June 30, 2021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December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June 30, 2021</w:t>
            </w:r>
          </w:p>
        </w:tc>
        <w:tc>
          <w:tcPr>
            <w:tcW w:w="8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5,680</w:t>
            </w:r>
          </w:p>
        </w:tc>
        <w:tc>
          <w:tcPr>
            <w:tcW w:w="880" w:type="dxa"/>
            <w:vAlign w:val="bottom"/>
            <w:gridSpan w:val="2"/>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40" w:type="dxa"/>
            <w:vAlign w:val="bottom"/>
            <w:gridSpan w:val="3"/>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6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10,711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impaired loans</w:t>
            </w:r>
          </w:p>
        </w:tc>
        <w:tc>
          <w:tcPr>
            <w:tcW w:w="70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10,669</w:t>
            </w: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11,939</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Valuation allowance related to impaired loans</w:t>
            </w:r>
          </w:p>
        </w:tc>
        <w:tc>
          <w:tcPr>
            <w:tcW w:w="80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2"/>
            <w:vMerge w:val="continue"/>
          </w:tcPr>
          <w:p>
            <w:pPr>
              <w:spacing w:after="0"/>
              <w:rPr>
                <w:sz w:val="21"/>
                <w:szCs w:val="21"/>
                <w:color w:val="auto"/>
              </w:rPr>
            </w:pPr>
          </w:p>
        </w:tc>
        <w:tc>
          <w:tcPr>
            <w:tcW w:w="70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top w:val="single" w:sz="8" w:color="auto"/>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7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Total loans past-due ninety days or more and</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still accruing</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average investment in impaired</w:t>
            </w:r>
          </w:p>
        </w:tc>
        <w:tc>
          <w:tcPr>
            <w:tcW w:w="6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9,748</w:t>
            </w:r>
          </w:p>
        </w:tc>
        <w:tc>
          <w:tcPr>
            <w:tcW w:w="880" w:type="dxa"/>
            <w:vAlign w:val="bottom"/>
            <w:gridSpan w:val="2"/>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11,676</w:t>
            </w:r>
          </w:p>
        </w:tc>
        <w:tc>
          <w:tcPr>
            <w:tcW w:w="840" w:type="dxa"/>
            <w:vAlign w:val="bottom"/>
            <w:gridSpan w:val="3"/>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Year to date average investment in impaired</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11,258</w:t>
            </w:r>
          </w:p>
        </w:tc>
        <w:tc>
          <w:tcPr>
            <w:tcW w:w="880" w:type="dxa"/>
            <w:vAlign w:val="bottom"/>
            <w:gridSpan w:val="2"/>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12,247</w:t>
            </w:r>
          </w:p>
        </w:tc>
        <w:tc>
          <w:tcPr>
            <w:tcW w:w="84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additional funds available to be advanced in connection with impaired loans as of June 30, 2022.</w:t>
      </w:r>
    </w:p>
    <w:p>
      <w:pPr>
        <w:spacing w:after="0" w:line="185"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Bank had approximately $2.7 million of its impaired loans classified as troubled debt restructured (TDR) as of June 30, 2022, $7.6 million as of December 31, 2021 and $5.5 million as of June 30, 2021.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did not result in the contractual forgiveness of principal. During the second quarter of 2022, there were no new loans considered TDR. In the second quarter of 2021, one new loan was considered a TDR which resulted in the payment changes from a monthly payment to monthly interest only payments on May 3, 2021. Two loans were also paid off in June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Pre-</w:t>
            </w:r>
          </w:p>
        </w:tc>
        <w:tc>
          <w:tcPr>
            <w:tcW w:w="180" w:type="dxa"/>
            <w:vAlign w:val="bottom"/>
          </w:tcPr>
          <w:p>
            <w:pPr>
              <w:spacing w:after="0"/>
              <w:rPr>
                <w:sz w:val="19"/>
                <w:szCs w:val="19"/>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Post-</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w:t>
            </w:r>
          </w:p>
        </w:tc>
        <w:tc>
          <w:tcPr>
            <w:tcW w:w="18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Post-</w:t>
            </w:r>
          </w:p>
        </w:tc>
      </w:tr>
      <w:tr>
        <w:trPr>
          <w:trHeight w:val="229"/>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w:t>
            </w:r>
          </w:p>
        </w:tc>
        <w:tc>
          <w:tcPr>
            <w:tcW w:w="360" w:type="dxa"/>
            <w:vAlign w:val="bottom"/>
          </w:tcPr>
          <w:p>
            <w:pPr>
              <w:spacing w:after="0"/>
              <w:rPr>
                <w:sz w:val="19"/>
                <w:szCs w:val="19"/>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Modification</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Months</w:t>
            </w:r>
          </w:p>
        </w:tc>
        <w:tc>
          <w:tcPr>
            <w:tcW w:w="380" w:type="dxa"/>
            <w:vAlign w:val="bottom"/>
          </w:tcPr>
          <w:p>
            <w:pPr>
              <w:spacing w:after="0"/>
              <w:rPr>
                <w:sz w:val="19"/>
                <w:szCs w:val="19"/>
                <w:color w:val="auto"/>
              </w:rPr>
            </w:pPr>
          </w:p>
        </w:tc>
        <w:tc>
          <w:tcPr>
            <w:tcW w:w="1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Modification</w:t>
            </w:r>
          </w:p>
        </w:tc>
      </w:tr>
      <w:tr>
        <w:trPr>
          <w:trHeight w:val="230"/>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Contracts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Outstanding</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380" w:type="dxa"/>
            <w:vAlign w:val="bottom"/>
          </w:tcPr>
          <w:p>
            <w:pPr>
              <w:spacing w:after="0"/>
              <w:rPr>
                <w:sz w:val="19"/>
                <w:szCs w:val="19"/>
                <w:color w:val="auto"/>
              </w:rPr>
            </w:pPr>
          </w:p>
        </w:tc>
        <w:tc>
          <w:tcPr>
            <w:tcW w:w="13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Contracts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29"/>
        </w:trPr>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19"/>
                <w:szCs w:val="19"/>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Modified in the</w:t>
            </w:r>
          </w:p>
        </w:tc>
        <w:tc>
          <w:tcPr>
            <w:tcW w:w="20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Recorded</w:t>
            </w:r>
          </w:p>
        </w:tc>
        <w:tc>
          <w:tcPr>
            <w:tcW w:w="180" w:type="dxa"/>
            <w:vAlign w:val="bottom"/>
          </w:tcPr>
          <w:p>
            <w:pPr>
              <w:spacing w:after="0"/>
              <w:rPr>
                <w:sz w:val="19"/>
                <w:szCs w:val="19"/>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Recorded</w:t>
            </w: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(in thousands)</w:t>
            </w:r>
          </w:p>
        </w:tc>
        <w:tc>
          <w:tcPr>
            <w:tcW w:w="380" w:type="dxa"/>
            <w:vAlign w:val="bottom"/>
          </w:tcPr>
          <w:p>
            <w:pPr>
              <w:spacing w:after="0"/>
              <w:rPr>
                <w:sz w:val="19"/>
                <w:szCs w:val="19"/>
                <w:color w:val="auto"/>
              </w:rPr>
            </w:pPr>
          </w:p>
        </w:tc>
        <w:tc>
          <w:tcPr>
            <w:tcW w:w="13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Modified in the</w:t>
            </w:r>
          </w:p>
        </w:tc>
        <w:tc>
          <w:tcPr>
            <w:tcW w:w="2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Recorded</w:t>
            </w:r>
          </w:p>
        </w:tc>
      </w:tr>
      <w:tr>
        <w:trPr>
          <w:trHeight w:val="194"/>
        </w:trPr>
        <w:tc>
          <w:tcPr>
            <w:tcW w:w="14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36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91"/>
              </w:rPr>
              <w:t>Debt</w:t>
            </w:r>
          </w:p>
        </w:tc>
        <w:tc>
          <w:tcPr>
            <w:tcW w:w="200" w:type="dxa"/>
            <w:vAlign w:val="bottom"/>
          </w:tcPr>
          <w:p>
            <w:pPr>
              <w:spacing w:after="0"/>
              <w:rPr>
                <w:sz w:val="16"/>
                <w:szCs w:val="16"/>
                <w:color w:val="auto"/>
              </w:rPr>
            </w:pPr>
          </w:p>
        </w:tc>
        <w:tc>
          <w:tcPr>
            <w:tcW w:w="78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Last Three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3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w w:val="91"/>
              </w:rPr>
              <w:t>Debt</w:t>
            </w:r>
          </w:p>
        </w:tc>
        <w:tc>
          <w:tcPr>
            <w:tcW w:w="300" w:type="dxa"/>
            <w:vAlign w:val="bottom"/>
          </w:tcPr>
          <w:p>
            <w:pPr>
              <w:spacing w:after="0"/>
              <w:rPr>
                <w:sz w:val="16"/>
                <w:szCs w:val="16"/>
                <w:color w:val="auto"/>
              </w:rPr>
            </w:pPr>
          </w:p>
        </w:tc>
        <w:tc>
          <w:tcPr>
            <w:tcW w:w="60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Last Six</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4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8"/>
              </w:rPr>
              <w:t>Months</w:t>
            </w:r>
          </w:p>
        </w:tc>
        <w:tc>
          <w:tcPr>
            <w:tcW w:w="200" w:type="dxa"/>
            <w:vAlign w:val="bottom"/>
          </w:tcPr>
          <w:p>
            <w:pPr>
              <w:spacing w:after="0"/>
              <w:rPr>
                <w:sz w:val="17"/>
                <w:szCs w:val="17"/>
                <w:color w:val="auto"/>
              </w:rPr>
            </w:pPr>
          </w:p>
        </w:tc>
        <w:tc>
          <w:tcPr>
            <w:tcW w:w="9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80" w:type="dxa"/>
            <w:vAlign w:val="bottom"/>
          </w:tcPr>
          <w:p>
            <w:pPr>
              <w:spacing w:after="0"/>
              <w:rPr>
                <w:sz w:val="17"/>
                <w:szCs w:val="17"/>
                <w:color w:val="auto"/>
              </w:rPr>
            </w:pPr>
          </w:p>
        </w:tc>
        <w:tc>
          <w:tcPr>
            <w:tcW w:w="1300" w:type="dxa"/>
            <w:vAlign w:val="bottom"/>
            <w:gridSpan w:val="2"/>
          </w:tcPr>
          <w:p>
            <w:pPr>
              <w:jc w:val="center"/>
              <w:ind w:right="50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4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4"/>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rPr>
              <w:t>Months</w:t>
            </w:r>
          </w:p>
        </w:tc>
        <w:tc>
          <w:tcPr>
            <w:tcW w:w="11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1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1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8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30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711"/>
        </w:trPr>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Pre-</w:t>
            </w:r>
          </w:p>
        </w:tc>
        <w:tc>
          <w:tcPr>
            <w:tcW w:w="180" w:type="dxa"/>
            <w:vAlign w:val="bottom"/>
          </w:tcPr>
          <w:p>
            <w:pPr>
              <w:spacing w:after="0"/>
              <w:rPr>
                <w:sz w:val="24"/>
                <w:szCs w:val="24"/>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Post-</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w:t>
            </w:r>
          </w:p>
        </w:tc>
        <w:tc>
          <w:tcPr>
            <w:tcW w:w="18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Post-</w:t>
            </w:r>
          </w:p>
        </w:tc>
      </w:tr>
      <w:tr>
        <w:trPr>
          <w:trHeight w:val="229"/>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w:t>
            </w:r>
          </w:p>
        </w:tc>
        <w:tc>
          <w:tcPr>
            <w:tcW w:w="360" w:type="dxa"/>
            <w:vAlign w:val="bottom"/>
          </w:tcPr>
          <w:p>
            <w:pPr>
              <w:spacing w:after="0"/>
              <w:rPr>
                <w:sz w:val="19"/>
                <w:szCs w:val="19"/>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Modification</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Months</w:t>
            </w:r>
          </w:p>
        </w:tc>
        <w:tc>
          <w:tcPr>
            <w:tcW w:w="380" w:type="dxa"/>
            <w:vAlign w:val="bottom"/>
          </w:tcPr>
          <w:p>
            <w:pPr>
              <w:spacing w:after="0"/>
              <w:rPr>
                <w:sz w:val="19"/>
                <w:szCs w:val="19"/>
                <w:color w:val="auto"/>
              </w:rPr>
            </w:pPr>
          </w:p>
        </w:tc>
        <w:tc>
          <w:tcPr>
            <w:tcW w:w="1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Modification</w:t>
            </w: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Modification</w:t>
            </w:r>
          </w:p>
        </w:tc>
      </w:tr>
      <w:tr>
        <w:trPr>
          <w:trHeight w:val="229"/>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Contracts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Outstanding</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380" w:type="dxa"/>
            <w:vAlign w:val="bottom"/>
          </w:tcPr>
          <w:p>
            <w:pPr>
              <w:spacing w:after="0"/>
              <w:rPr>
                <w:sz w:val="19"/>
                <w:szCs w:val="19"/>
                <w:color w:val="auto"/>
              </w:rPr>
            </w:pPr>
          </w:p>
        </w:tc>
        <w:tc>
          <w:tcPr>
            <w:tcW w:w="13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Contracts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30"/>
        </w:trPr>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19"/>
                <w:szCs w:val="19"/>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Modified in the</w:t>
            </w:r>
          </w:p>
        </w:tc>
        <w:tc>
          <w:tcPr>
            <w:tcW w:w="20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Recorded</w:t>
            </w:r>
          </w:p>
        </w:tc>
        <w:tc>
          <w:tcPr>
            <w:tcW w:w="180" w:type="dxa"/>
            <w:vAlign w:val="bottom"/>
          </w:tcPr>
          <w:p>
            <w:pPr>
              <w:spacing w:after="0"/>
              <w:rPr>
                <w:sz w:val="19"/>
                <w:szCs w:val="19"/>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Recorded</w:t>
            </w: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(in thousands)</w:t>
            </w:r>
          </w:p>
        </w:tc>
        <w:tc>
          <w:tcPr>
            <w:tcW w:w="380" w:type="dxa"/>
            <w:vAlign w:val="bottom"/>
          </w:tcPr>
          <w:p>
            <w:pPr>
              <w:spacing w:after="0"/>
              <w:rPr>
                <w:sz w:val="19"/>
                <w:szCs w:val="19"/>
                <w:color w:val="auto"/>
              </w:rPr>
            </w:pPr>
          </w:p>
        </w:tc>
        <w:tc>
          <w:tcPr>
            <w:tcW w:w="13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Modified in the</w:t>
            </w:r>
          </w:p>
        </w:tc>
        <w:tc>
          <w:tcPr>
            <w:tcW w:w="2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Recorded</w:t>
            </w:r>
          </w:p>
        </w:tc>
      </w:tr>
      <w:tr>
        <w:trPr>
          <w:trHeight w:val="194"/>
        </w:trPr>
        <w:tc>
          <w:tcPr>
            <w:tcW w:w="14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36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91"/>
              </w:rPr>
              <w:t>Debt</w:t>
            </w:r>
          </w:p>
        </w:tc>
        <w:tc>
          <w:tcPr>
            <w:tcW w:w="200" w:type="dxa"/>
            <w:vAlign w:val="bottom"/>
          </w:tcPr>
          <w:p>
            <w:pPr>
              <w:spacing w:after="0"/>
              <w:rPr>
                <w:sz w:val="16"/>
                <w:szCs w:val="16"/>
                <w:color w:val="auto"/>
              </w:rPr>
            </w:pPr>
          </w:p>
        </w:tc>
        <w:tc>
          <w:tcPr>
            <w:tcW w:w="78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Last Three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Troubled</w:t>
            </w:r>
          </w:p>
        </w:tc>
        <w:tc>
          <w:tcPr>
            <w:tcW w:w="3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w w:val="91"/>
              </w:rPr>
              <w:t>Debt</w:t>
            </w:r>
          </w:p>
        </w:tc>
        <w:tc>
          <w:tcPr>
            <w:tcW w:w="300" w:type="dxa"/>
            <w:vAlign w:val="bottom"/>
          </w:tcPr>
          <w:p>
            <w:pPr>
              <w:spacing w:after="0"/>
              <w:rPr>
                <w:sz w:val="16"/>
                <w:szCs w:val="16"/>
                <w:color w:val="auto"/>
              </w:rPr>
            </w:pPr>
          </w:p>
        </w:tc>
        <w:tc>
          <w:tcPr>
            <w:tcW w:w="60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Last Six</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14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w w:val="98"/>
              </w:rPr>
              <w:t>Months</w:t>
            </w:r>
          </w:p>
        </w:tc>
        <w:tc>
          <w:tcPr>
            <w:tcW w:w="200" w:type="dxa"/>
            <w:vAlign w:val="bottom"/>
          </w:tcPr>
          <w:p>
            <w:pPr>
              <w:spacing w:after="0"/>
              <w:rPr>
                <w:sz w:val="17"/>
                <w:szCs w:val="17"/>
                <w:color w:val="auto"/>
              </w:rPr>
            </w:pPr>
          </w:p>
        </w:tc>
        <w:tc>
          <w:tcPr>
            <w:tcW w:w="9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80" w:type="dxa"/>
            <w:vAlign w:val="bottom"/>
          </w:tcPr>
          <w:p>
            <w:pPr>
              <w:spacing w:after="0"/>
              <w:rPr>
                <w:sz w:val="17"/>
                <w:szCs w:val="17"/>
                <w:color w:val="auto"/>
              </w:rPr>
            </w:pPr>
          </w:p>
        </w:tc>
        <w:tc>
          <w:tcPr>
            <w:tcW w:w="1300" w:type="dxa"/>
            <w:vAlign w:val="bottom"/>
            <w:gridSpan w:val="2"/>
          </w:tcPr>
          <w:p>
            <w:pPr>
              <w:jc w:val="center"/>
              <w:ind w:right="500"/>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4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Restructurings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4"/>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rPr>
              <w:t>Months</w:t>
            </w:r>
          </w:p>
        </w:tc>
        <w:tc>
          <w:tcPr>
            <w:tcW w:w="11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c>
          <w:tcPr>
            <w:tcW w:w="11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Investment</w:t>
            </w: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1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8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4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382</w:t>
            </w:r>
          </w:p>
        </w:tc>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30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r>
    </w:tbl>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three months ended June 30, 2022 and 2021, there were no TDRs that subsequently defaulted after modification.</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the six month period ended June 30, 2022, there were two impaired agriculture real estate loans of $4.5 million that were classified as TDR and paid off. There was one impaired commercial real estate loan of $86 thousand and one impaired commercial loan of $480 thousand that were classified as TDR paid off. There were three commercial impaired commercial loans of $809 thousand that were classified as TDR charged off for the six month period ended June 30, 2021.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jc w:val="both"/>
        <w:ind w:left="560"/>
        <w:spacing w:after="0" w:line="258" w:lineRule="auto"/>
        <w:rPr>
          <w:sz w:val="20"/>
          <w:szCs w:val="20"/>
          <w:color w:val="auto"/>
        </w:rPr>
      </w:pPr>
      <w:r>
        <w:rPr>
          <w:rFonts w:ascii="Times New Roman" w:cs="Times New Roman" w:eastAsia="Times New Roman" w:hAnsi="Times New Roman"/>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43"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65"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The following tables present loans individually evaluated for impairment by class of loans for the three and six months ended June 30, 2022 and June 30, 2021 and for the year ended December 31,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QTD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(In Thousands)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Income</w:t>
            </w:r>
          </w:p>
        </w:tc>
        <w:tc>
          <w:tcPr>
            <w:tcW w:w="8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(In Thousands)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QTD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QTD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QTD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3"/>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YTD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June 30, 2022</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Borders>
              <w:bottom w:val="single" w:sz="8" w:color="CFF0FC"/>
              <w:right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 4 LOANS (Continued)</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3"/>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(In Thousands)</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YTD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YTD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YTD</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June 30, 2021</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Unpaid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Recorded</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9"/>
                <w:szCs w:val="19"/>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c>
          <w:tcPr>
            <w:tcW w:w="220" w:type="dxa"/>
            <w:vAlign w:val="bottom"/>
          </w:tcPr>
          <w:p>
            <w:pPr>
              <w:spacing w:after="0"/>
              <w:rPr>
                <w:sz w:val="19"/>
                <w:szCs w:val="19"/>
                <w:color w:val="auto"/>
              </w:rPr>
            </w:pPr>
          </w:p>
        </w:tc>
        <w:tc>
          <w:tcPr>
            <w:tcW w:w="9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Investment</w:t>
            </w:r>
          </w:p>
        </w:tc>
        <w:tc>
          <w:tcPr>
            <w:tcW w:w="160" w:type="dxa"/>
            <w:vAlign w:val="bottom"/>
          </w:tcPr>
          <w:p>
            <w:pPr>
              <w:spacing w:after="0"/>
              <w:rPr>
                <w:sz w:val="20"/>
                <w:szCs w:val="20"/>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1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Allowance</w:t>
            </w:r>
          </w:p>
        </w:tc>
        <w:tc>
          <w:tcPr>
            <w:tcW w:w="11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Investment</w:t>
            </w:r>
          </w:p>
        </w:tc>
        <w:tc>
          <w:tcPr>
            <w:tcW w:w="11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Recognized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Cash Basis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right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Borders>
              <w:right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right w:val="single" w:sz="8" w:color="auto"/>
            </w:tcBorders>
          </w:tcPr>
          <w:p>
            <w:pPr>
              <w:spacing w:after="0"/>
              <w:rPr>
                <w:sz w:val="19"/>
                <w:szCs w:val="19"/>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Consumer Real Estate</w:t>
            </w:r>
          </w:p>
        </w:tc>
        <w:tc>
          <w:tcPr>
            <w:tcW w:w="9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right w:val="single" w:sz="8" w:color="auto"/>
            </w:tcBorders>
          </w:tcPr>
          <w:p>
            <w:pPr>
              <w:spacing w:after="0"/>
              <w:rPr>
                <w:sz w:val="23"/>
                <w:szCs w:val="2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Agricultural Real Estate</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6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Agricultural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Real Estate</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FF0FC"/>
            </w:tcBorders>
            <w:vMerge w:val="continue"/>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60" w:type="dxa"/>
            <w:vAlign w:val="bottom"/>
            <w:tcBorders>
              <w:bottom w:val="single" w:sz="8" w:color="CFF0FC"/>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right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Consumer</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jc w:val="both"/>
        <w:ind w:left="560"/>
        <w:spacing w:after="0" w:line="255" w:lineRule="auto"/>
        <w:rPr>
          <w:sz w:val="20"/>
          <w:szCs w:val="20"/>
          <w:color w:val="auto"/>
        </w:rPr>
      </w:pPr>
      <w:r>
        <w:rPr>
          <w:rFonts w:ascii="Times New Roman" w:cs="Times New Roman" w:eastAsia="Times New Roman" w:hAnsi="Times New Roman"/>
          <w:sz w:val="18"/>
          <w:szCs w:val="18"/>
          <w:color w:val="auto"/>
        </w:rPr>
        <w:t>As of June 30, 2022, the Company had no foreclosed residential real estate property obtained by physical possession and $72 thousand of consumer mortgage loans secured by residential real estate properties for which foreclosure proceedings are in process according to local jurisdictions. This compares to the Company having $159 thousand of foreclosed residential real estate property obtained by physical possession and $255 thousand of consumer mortgage loans secured by residential real estate properties for which foreclosure proceeding were in process according to local jurisdictions as of December 31, 2021. As of June 30, 2021, the Company had $198 thousand of foreclosed residential real estate property obtained by physical possession and $100 thousand of consumer mortgage loans secured by residential real estate properties for which foreclosure proceedings were in process according to local jurisdictions.</w:t>
      </w:r>
    </w:p>
    <w:p>
      <w:pPr>
        <w:spacing w:after="0" w:line="148"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5"/>
        </w:trPr>
        <w:tc>
          <w:tcPr>
            <w:tcW w:w="4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400"/>
              <w:spacing w:after="0" w:line="205" w:lineRule="exact"/>
              <w:rPr>
                <w:sz w:val="20"/>
                <w:szCs w:val="20"/>
                <w:color w:val="auto"/>
              </w:rPr>
            </w:pPr>
            <w:r>
              <w:rPr>
                <w:rFonts w:ascii="Times New Roman" w:cs="Times New Roman" w:eastAsia="Times New Roman" w:hAnsi="Times New Roman"/>
                <w:sz w:val="18"/>
                <w:szCs w:val="18"/>
                <w:color w:val="auto"/>
              </w:rPr>
              <w:t>Six Months</w:t>
            </w:r>
          </w:p>
        </w:tc>
        <w:tc>
          <w:tcPr>
            <w:tcW w:w="12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Twelve Months</w:t>
            </w:r>
          </w:p>
        </w:tc>
      </w:tr>
      <w:tr>
        <w:trPr>
          <w:trHeight w:val="229"/>
        </w:trPr>
        <w:tc>
          <w:tcPr>
            <w:tcW w:w="4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9"/>
                <w:szCs w:val="19"/>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2022</w:t>
            </w:r>
          </w:p>
        </w:tc>
        <w:tc>
          <w:tcPr>
            <w:tcW w:w="2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Loan &amp; Lease Losses</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13,672</w:t>
            </w:r>
          </w:p>
        </w:tc>
      </w:tr>
      <w:tr>
        <w:trPr>
          <w:trHeight w:val="229"/>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loan loss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 charged off</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Loan &amp; Lease Losses</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16,242</w:t>
            </w:r>
          </w:p>
        </w:tc>
      </w:tr>
      <w:tr>
        <w:trPr>
          <w:trHeight w:val="205"/>
        </w:trPr>
        <w:tc>
          <w:tcPr>
            <w:tcW w:w="4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Allowance for Unfunded Loan Commitments &amp;</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34"/>
        </w:trPr>
        <w:tc>
          <w:tcPr>
            <w:tcW w:w="4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17,283</w:t>
            </w:r>
          </w:p>
        </w:tc>
      </w:tr>
      <w:tr>
        <w:trPr>
          <w:trHeight w:val="20"/>
        </w:trPr>
        <w:tc>
          <w:tcPr>
            <w:tcW w:w="4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89"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ALLL does not include an accretable yield of $6.3 and $7.1 million as of June 30, 2022 and December 31, 2021, respectively, nor a nonaccretable yield of $463 and $510 thousand as of June 30, 2022 and December 31, 2021, respectively, related to the acquisitions of Bank of Geneva in 2019 and Ossian State Bank and Perpetual Federal Savings Bank in 2021 as previously discussed in Note 2.</w:t>
      </w:r>
    </w:p>
    <w:p>
      <w:pPr>
        <w:spacing w:after="0" w:line="149" w:lineRule="exact"/>
        <w:rPr>
          <w:sz w:val="20"/>
          <w:szCs w:val="20"/>
          <w:color w:val="auto"/>
        </w:rPr>
      </w:pPr>
    </w:p>
    <w:p>
      <w:pPr>
        <w:jc w:val="both"/>
        <w:ind w:left="56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ALLL is netted within the loans, net asset line on the Company’s consolidated balance sheet. The ACL presented above represents the full amount of reserves available to absorb possible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right="3560" w:hanging="1419"/>
        <w:spacing w:after="0" w:line="814" w:lineRule="auto"/>
        <w:tabs>
          <w:tab w:leader="none" w:pos="42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 4 LOANS (Continued)</w:t>
      </w:r>
    </w:p>
    <w:p>
      <w:pPr>
        <w:spacing w:after="0" w:line="200" w:lineRule="exact"/>
        <w:rPr>
          <w:sz w:val="20"/>
          <w:szCs w:val="20"/>
          <w:color w:val="auto"/>
        </w:rPr>
      </w:pPr>
    </w:p>
    <w:p>
      <w:pPr>
        <w:spacing w:after="0" w:line="250"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Additional analysis, presented in thousands, related to the allowance for credit losses for the three and six months ended June 30, 2022 and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June 30, 2021 in addition to the ending balances as of December 31, 2021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Unfunded</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Loan</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Commitment</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&amp; Letters of</w:t>
            </w: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Industrial</w:t>
            </w:r>
          </w:p>
        </w:tc>
        <w:tc>
          <w:tcPr>
            <w:tcW w:w="9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0"/>
                <w:szCs w:val="20"/>
                <w:color w:val="auto"/>
              </w:rPr>
            </w:pPr>
          </w:p>
        </w:tc>
        <w:tc>
          <w:tcPr>
            <w:tcW w:w="98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Credit</w:t>
            </w:r>
          </w:p>
        </w:tc>
        <w:tc>
          <w:tcPr>
            <w:tcW w:w="10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720" w:type="dxa"/>
            <w:vAlign w:val="bottom"/>
            <w:tcBorders>
              <w:top w:val="single" w:sz="8" w:color="CFF0FC"/>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9,573</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4,066</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17,847</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11"/>
        </w:trPr>
        <w:tc>
          <w:tcPr>
            <w:tcW w:w="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10,427</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5,365</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19,591</w:t>
            </w:r>
          </w:p>
        </w:tc>
        <w:tc>
          <w:tcPr>
            <w:tcW w:w="0" w:type="dxa"/>
            <w:vAlign w:val="bottom"/>
          </w:tcPr>
          <w:p>
            <w:pPr>
              <w:spacing w:after="0"/>
              <w:rPr>
                <w:sz w:val="1"/>
                <w:szCs w:val="1"/>
                <w:color w:val="auto"/>
              </w:rPr>
            </w:pPr>
          </w:p>
        </w:tc>
      </w:tr>
      <w:tr>
        <w:trPr>
          <w:trHeight w:val="192"/>
        </w:trPr>
        <w:tc>
          <w:tcPr>
            <w:tcW w:w="7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000" w:type="dxa"/>
            <w:vAlign w:val="bottom"/>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tcBorders>
              <w:right w:val="single" w:sz="8" w:color="auto"/>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10,427</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2,946</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17,172</w:t>
            </w:r>
          </w:p>
        </w:tc>
        <w:tc>
          <w:tcPr>
            <w:tcW w:w="0" w:type="dxa"/>
            <w:vAlign w:val="bottom"/>
          </w:tcPr>
          <w:p>
            <w:pPr>
              <w:spacing w:after="0"/>
              <w:rPr>
                <w:sz w:val="1"/>
                <w:szCs w:val="1"/>
                <w:color w:val="auto"/>
              </w:rPr>
            </w:pPr>
          </w:p>
        </w:tc>
      </w:tr>
      <w:tr>
        <w:trPr>
          <w:trHeight w:val="192"/>
        </w:trPr>
        <w:tc>
          <w:tcPr>
            <w:tcW w:w="172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 balance: 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right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10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410,468</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199,650</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127,340</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977,588</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264,124</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55,648</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2,034,818</w:t>
            </w:r>
          </w:p>
        </w:tc>
        <w:tc>
          <w:tcPr>
            <w:tcW w:w="0" w:type="dxa"/>
            <w:vAlign w:val="bottom"/>
          </w:tcPr>
          <w:p>
            <w:pPr>
              <w:spacing w:after="0"/>
              <w:rPr>
                <w:sz w:val="1"/>
                <w:szCs w:val="1"/>
                <w:color w:val="auto"/>
              </w:rPr>
            </w:pPr>
          </w:p>
        </w:tc>
      </w:tr>
      <w:tr>
        <w:trPr>
          <w:trHeight w:val="20"/>
        </w:trPr>
        <w:tc>
          <w:tcPr>
            <w:tcW w:w="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2,414</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1,296</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4,133</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2,149</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192"/>
        </w:trPr>
        <w:tc>
          <w:tcPr>
            <w:tcW w:w="72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000" w:type="dxa"/>
            <w:vAlign w:val="bottom"/>
            <w:tcBorders>
              <w:top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right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right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409,318</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197,039</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126,044</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973,258</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261,854</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55,628</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2,023,141</w:t>
            </w: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10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NOTE 4 LOANS (Continued)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Unfunded</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Loan</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Agricultural</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Commercial</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Commercial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&amp; Letters of</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gridSpan w:val="3"/>
            <w:vMerge w:val="continue"/>
          </w:tcPr>
          <w:p>
            <w:pPr>
              <w:spacing w:after="0"/>
              <w:rPr>
                <w:sz w:val="20"/>
                <w:szCs w:val="20"/>
                <w:color w:val="auto"/>
              </w:rPr>
            </w:pPr>
          </w:p>
        </w:tc>
        <w:tc>
          <w:tcPr>
            <w:tcW w:w="9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8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and Industrial</w:t>
            </w:r>
          </w:p>
        </w:tc>
        <w:tc>
          <w:tcPr>
            <w:tcW w:w="80" w:type="dxa"/>
            <w:vAlign w:val="bottom"/>
          </w:tcPr>
          <w:p>
            <w:pPr>
              <w:spacing w:after="0"/>
              <w:rPr>
                <w:sz w:val="20"/>
                <w:szCs w:val="20"/>
                <w:color w:val="auto"/>
              </w:rPr>
            </w:pPr>
          </w:p>
        </w:tc>
        <w:tc>
          <w:tcPr>
            <w:tcW w:w="8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Credit</w:t>
            </w:r>
          </w:p>
        </w:tc>
        <w:tc>
          <w:tcPr>
            <w:tcW w:w="20" w:type="dxa"/>
            <w:vAlign w:val="bottom"/>
            <w:shd w:val="clear" w:color="auto" w:fill="000000"/>
          </w:tcPr>
          <w:p>
            <w:pPr>
              <w:spacing w:after="0"/>
              <w:rPr>
                <w:sz w:val="20"/>
                <w:szCs w:val="20"/>
                <w:color w:val="auto"/>
              </w:rPr>
            </w:pPr>
          </w:p>
        </w:tc>
        <w:tc>
          <w:tcPr>
            <w:tcW w:w="10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Unallocated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280" w:type="dxa"/>
            <w:vAlign w:val="bottom"/>
            <w:tcBorders>
              <w:top w:val="single" w:sz="8" w:color="CFF0FC"/>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ALLOWANCE</w:t>
            </w:r>
          </w:p>
        </w:tc>
        <w:tc>
          <w:tcPr>
            <w:tcW w:w="560" w:type="dxa"/>
            <w:vAlign w:val="bottom"/>
            <w:tcBorders>
              <w:top w:val="single" w:sz="8" w:color="CFF0FC"/>
            </w:tcBorders>
            <w:shd w:val="clear" w:color="auto" w:fill="CFF0FC"/>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FOR</w:t>
            </w: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60" w:type="dxa"/>
            <w:vAlign w:val="bottom"/>
            <w:tcBorders>
              <w:top w:val="single" w:sz="8" w:color="auto"/>
              <w:lef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60" w:type="dxa"/>
            <w:vAlign w:val="bottom"/>
            <w:tcBorders>
              <w:left w:val="single" w:sz="8" w:color="CFF0FC"/>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FF0FC"/>
              <w:right w:val="single" w:sz="8" w:color="auto"/>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0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780" w:type="dxa"/>
            <w:vAlign w:val="bottom"/>
            <w:gridSpan w:val="2"/>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Borders>
              <w:lef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w:t>
            </w:r>
          </w:p>
        </w:tc>
        <w:tc>
          <w:tcPr>
            <w:tcW w:w="7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780" w:type="dxa"/>
            <w:vAlign w:val="bottom"/>
            <w:tcBorders>
              <w:top w:val="single" w:sz="8" w:color="CFF0FC"/>
              <w:bottom w:val="single" w:sz="8" w:color="CFF0FC"/>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collectively</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5"/>
              </w:rPr>
              <w:t>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right w:val="single" w:sz="8" w:color="auto"/>
            </w:tcBorders>
          </w:tcPr>
          <w:p>
            <w:pPr>
              <w:spacing w:after="0"/>
              <w:rPr>
                <w:sz w:val="23"/>
                <w:szCs w:val="23"/>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Borders>
              <w:right w:val="single" w:sz="8" w:color="auto"/>
            </w:tcBorders>
          </w:tcPr>
          <w:p>
            <w:pPr>
              <w:spacing w:after="0"/>
              <w:rPr>
                <w:sz w:val="23"/>
                <w:szCs w:val="23"/>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28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top w:val="single" w:sz="8" w:color="CFF0FC"/>
            </w:tcBorders>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loans</w:t>
            </w: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60" w:type="dxa"/>
            <w:vAlign w:val="bottom"/>
            <w:tcBorders>
              <w:top w:val="single" w:sz="8" w:color="auto"/>
              <w:left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deteriorated</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quality</w:t>
            </w: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FINANCING</w:t>
            </w: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395,805</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198,033</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118,504</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847,110</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240,138</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1,857,419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780" w:type="dxa"/>
            <w:vAlign w:val="bottom"/>
            <w:tcBorders>
              <w:top w:val="single" w:sz="8" w:color="CFF0FC"/>
              <w:bottom w:val="single" w:sz="8" w:color="CFF0FC"/>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individually</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5"/>
              </w:rPr>
              <w:t>evaluated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right w:val="single" w:sz="8" w:color="auto"/>
            </w:tcBorders>
          </w:tcPr>
          <w:p>
            <w:pPr>
              <w:spacing w:after="0"/>
              <w:rPr>
                <w:sz w:val="23"/>
                <w:szCs w:val="23"/>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Borders>
              <w:right w:val="single" w:sz="8" w:color="auto"/>
            </w:tcBorders>
          </w:tcPr>
          <w:p>
            <w:pPr>
              <w:spacing w:after="0"/>
              <w:rPr>
                <w:sz w:val="23"/>
                <w:szCs w:val="23"/>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06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780" w:type="dxa"/>
            <w:vAlign w:val="bottom"/>
            <w:tcBorders>
              <w:top w:val="single" w:sz="8" w:color="CFF0FC"/>
            </w:tcBorders>
            <w:gridSpan w:val="2"/>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60" w:type="dxa"/>
            <w:vAlign w:val="bottom"/>
            <w:tcBorders>
              <w:top w:val="single" w:sz="8" w:color="auto"/>
              <w:left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w:t>
            </w:r>
          </w:p>
        </w:tc>
        <w:tc>
          <w:tcPr>
            <w:tcW w:w="7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5"/>
              </w:rPr>
              <w:t>evaluated</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Borders>
              <w:lef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394,489</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191,107</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118,484</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843,299</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238,849</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57,803</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1,844,031</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Borders>
              <w:top w:val="single" w:sz="8" w:color="CFF0FC"/>
              <w:bottom w:val="single" w:sz="8" w:color="CFF0FC"/>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deteriorated</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right w:val="single" w:sz="8" w:color="auto"/>
            </w:tcBorders>
          </w:tcPr>
          <w:p>
            <w:pPr>
              <w:spacing w:after="0"/>
              <w:rPr>
                <w:sz w:val="20"/>
                <w:szCs w:val="20"/>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4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NOTE 4 LOANS (Continued)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Unfunded</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Loan</w:t>
            </w: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Commitment</w:t>
            </w: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11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&amp; Letters of</w:t>
            </w: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100" w:type="dxa"/>
            <w:vAlign w:val="bottom"/>
            <w:tcBorders>
              <w:bottom w:val="single" w:sz="8" w:color="auto"/>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104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Real Estate</w:t>
            </w:r>
          </w:p>
        </w:tc>
        <w:tc>
          <w:tcPr>
            <w:tcW w:w="11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Industrial</w:t>
            </w:r>
          </w:p>
        </w:tc>
        <w:tc>
          <w:tcPr>
            <w:tcW w:w="9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780" w:type="dxa"/>
            <w:vAlign w:val="bottom"/>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7,668</w:t>
            </w: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2,608</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2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15,477</w:t>
            </w:r>
          </w:p>
        </w:tc>
        <w:tc>
          <w:tcPr>
            <w:tcW w:w="0" w:type="dxa"/>
            <w:vAlign w:val="bottom"/>
          </w:tcPr>
          <w:p>
            <w:pPr>
              <w:spacing w:after="0"/>
              <w:rPr>
                <w:sz w:val="1"/>
                <w:szCs w:val="1"/>
                <w:color w:val="auto"/>
              </w:rPr>
            </w:pPr>
          </w:p>
        </w:tc>
      </w:tr>
      <w:tr>
        <w:trPr>
          <w:trHeight w:val="230"/>
        </w:trPr>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auto"/>
            </w:tcBorders>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16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auto"/>
            </w:tcBorders>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1"/>
        </w:trPr>
        <w:tc>
          <w:tcPr>
            <w:tcW w:w="1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Non-interest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1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16,232</w:t>
            </w: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tcBorders>
              <w:left w:val="single" w:sz="8" w:color="CFF0FC"/>
            </w:tcBorders>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8,706</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15,076</w:t>
            </w: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 loans</w:t>
            </w:r>
          </w:p>
        </w:tc>
        <w:tc>
          <w:tcPr>
            <w:tcW w:w="1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tcBorders>
              <w:left w:val="single" w:sz="8" w:color="CFF0FC"/>
            </w:tcBorders>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deteriorated credit</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1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194,574</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189,426</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100,905</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689,728</w:t>
            </w: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227,256</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56,534</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1,458,423</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6,522</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3,246</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12,039</w:t>
            </w: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78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20" w:type="dxa"/>
            <w:vAlign w:val="bottom"/>
            <w:tcBorders>
              <w:left w:val="single" w:sz="8" w:color="CFF0FC"/>
            </w:tcBorders>
            <w:shd w:val="clear" w:color="auto" w:fill="CFF0FC"/>
          </w:tcPr>
          <w:p>
            <w:pPr>
              <w:spacing w:after="0"/>
              <w:rPr>
                <w:sz w:val="16"/>
                <w:szCs w:val="16"/>
                <w:color w:val="auto"/>
              </w:rPr>
            </w:pPr>
          </w:p>
        </w:tc>
        <w:tc>
          <w:tcPr>
            <w:tcW w:w="70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tcBorders>
              <w:left w:val="single" w:sz="8" w:color="CFF0FC"/>
            </w:tcBorders>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193,741</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181,923</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100,657</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686,172</w:t>
            </w: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225,635</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56,517</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FF0FC"/>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1,444,645</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balance: loans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deteriorated credit</w:t>
            </w: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12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70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Unfunded</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Loan</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Commitment</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1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&amp; Letters of</w:t>
            </w: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11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11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and Industrial</w:t>
            </w:r>
          </w:p>
        </w:tc>
        <w:tc>
          <w:tcPr>
            <w:tcW w:w="9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08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Six  Months</w:t>
            </w:r>
          </w:p>
        </w:tc>
        <w:tc>
          <w:tcPr>
            <w:tcW w:w="640" w:type="dxa"/>
            <w:vAlign w:val="bottom"/>
            <w:tcBorders>
              <w:top w:val="single" w:sz="8" w:color="CFF0FC"/>
            </w:tcBorders>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Ended</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left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1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Recoveries</w:t>
            </w: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auto"/>
            </w:tcBorders>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Non-interest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unfunded</w:t>
            </w: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auto"/>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Borders>
              <w:bottom w:val="single" w:sz="8" w:color="CFF0FC"/>
              <w:right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Borders>
              <w:bottom w:val="single" w:sz="8" w:color="CFF0FC"/>
            </w:tcBorders>
          </w:tcPr>
          <w:p>
            <w:pPr>
              <w:spacing w:after="0"/>
              <w:rPr>
                <w:sz w:val="22"/>
                <w:szCs w:val="22"/>
                <w:color w:val="auto"/>
              </w:rPr>
            </w:pPr>
          </w:p>
        </w:tc>
        <w:tc>
          <w:tcPr>
            <w:tcW w:w="4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0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640" w:type="dxa"/>
            <w:vAlign w:val="bottom"/>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balance:</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tcBorders>
              <w:left w:val="single" w:sz="8" w:color="CFF0FC"/>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23"/>
                <w:szCs w:val="23"/>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720" w:type="dxa"/>
            <w:vAlign w:val="bottom"/>
            <w:tcBorders>
              <w:top w:val="single" w:sz="8" w:color="CFF0FC"/>
            </w:tcBorders>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 balance: loans</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left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deteriorated credit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6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6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410,468</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199,650</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127,340</w:t>
            </w:r>
          </w:p>
        </w:tc>
        <w:tc>
          <w:tcPr>
            <w:tcW w:w="100" w:type="dxa"/>
            <w:vAlign w:val="bottom"/>
            <w:tcBorders>
              <w:right w:val="single" w:sz="8" w:color="auto"/>
            </w:tcBorders>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977,588</w:t>
            </w:r>
          </w:p>
        </w:tc>
        <w:tc>
          <w:tcPr>
            <w:tcW w:w="120" w:type="dxa"/>
            <w:vAlign w:val="bottom"/>
            <w:tcBorders>
              <w:right w:val="single" w:sz="8" w:color="auto"/>
            </w:tcBorders>
            <w:shd w:val="clear" w:color="auto" w:fill="CFF0FC"/>
          </w:tcPr>
          <w:p>
            <w:pPr>
              <w:spacing w:after="0"/>
              <w:rPr>
                <w:sz w:val="19"/>
                <w:szCs w:val="19"/>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264,124</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55,648</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Borders>
              <w:lef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2,034,818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64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balance:</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Borders>
              <w:right w:val="single" w:sz="8" w:color="auto"/>
            </w:tcBorders>
          </w:tcPr>
          <w:p>
            <w:pPr>
              <w:spacing w:after="0"/>
              <w:rPr>
                <w:sz w:val="23"/>
                <w:szCs w:val="23"/>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Borders>
              <w:right w:val="single" w:sz="8" w:color="auto"/>
            </w:tcBorders>
          </w:tcPr>
          <w:p>
            <w:pPr>
              <w:spacing w:after="0"/>
              <w:rPr>
                <w:sz w:val="23"/>
                <w:szCs w:val="23"/>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108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640" w:type="dxa"/>
            <w:vAlign w:val="bottom"/>
            <w:tcBorders>
              <w:top w:val="single" w:sz="8" w:color="CFF0FC"/>
            </w:tcBorders>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w w:val="96"/>
              </w:rPr>
              <w:t>balance: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right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left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left w:val="single" w:sz="8" w:color="CFF0FC"/>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409,318</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197,039</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126,044</w:t>
            </w:r>
          </w:p>
        </w:tc>
        <w:tc>
          <w:tcPr>
            <w:tcW w:w="10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973,258</w:t>
            </w:r>
          </w:p>
        </w:tc>
        <w:tc>
          <w:tcPr>
            <w:tcW w:w="1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261,854</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55,628</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480" w:type="dxa"/>
            <w:vAlign w:val="bottom"/>
            <w:tcBorders>
              <w:lef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2,023,141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Ending balance: loans</w:t>
            </w: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deteriorated credit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64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right w:val="single" w:sz="8" w:color="auto"/>
            </w:tcBorders>
          </w:tcPr>
          <w:p>
            <w:pPr>
              <w:spacing w:after="0"/>
              <w:rPr>
                <w:sz w:val="20"/>
                <w:szCs w:val="2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NOTE 4 LOANS (Continued)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Unfunded</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Loan</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Commitment</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120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&amp; Letters of</w:t>
            </w: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0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and Industrial</w:t>
            </w:r>
          </w:p>
        </w:tc>
        <w:tc>
          <w:tcPr>
            <w:tcW w:w="9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Credit</w:t>
            </w:r>
          </w:p>
        </w:tc>
        <w:tc>
          <w:tcPr>
            <w:tcW w:w="110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1"/>
        </w:trPr>
        <w:tc>
          <w:tcPr>
            <w:tcW w:w="1180" w:type="dxa"/>
            <w:vAlign w:val="bottom"/>
            <w:tcBorders>
              <w:top w:val="single" w:sz="8" w:color="CFF0FC"/>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Six  Months</w:t>
            </w:r>
          </w:p>
        </w:tc>
        <w:tc>
          <w:tcPr>
            <w:tcW w:w="600" w:type="dxa"/>
            <w:vAlign w:val="bottom"/>
            <w:tcBorders>
              <w:top w:val="single" w:sz="8" w:color="CFF0FC"/>
            </w:tcBorders>
            <w:shd w:val="clear" w:color="auto" w:fill="CFF0FC"/>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5"/>
              </w:rPr>
              <w:t>Ended</w:t>
            </w: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Charge Offs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Recoveries</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Borders>
              <w:left w:val="single" w:sz="8" w:color="auto"/>
            </w:tcBorders>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Provision (Credit)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Borders>
              <w:left w:val="single" w:sz="8" w:color="auto"/>
            </w:tcBorders>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Non-interest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 related to</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unfunded</w:t>
            </w:r>
          </w:p>
        </w:tc>
        <w:tc>
          <w:tcPr>
            <w:tcW w:w="6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FF0FC"/>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tcBorders>
              <w:bottom w:val="single" w:sz="8" w:color="CFF0FC"/>
              <w:right w:val="single" w:sz="8" w:color="auto"/>
            </w:tcBorders>
          </w:tcPr>
          <w:p>
            <w:pPr>
              <w:spacing w:after="0"/>
              <w:rPr>
                <w:sz w:val="22"/>
                <w:szCs w:val="22"/>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tcBorders>
              <w:bottom w:val="single" w:sz="8" w:color="CFF0FC"/>
              <w:right w:val="single" w:sz="8" w:color="auto"/>
            </w:tcBorders>
          </w:tcPr>
          <w:p>
            <w:pPr>
              <w:spacing w:after="0"/>
              <w:rPr>
                <w:sz w:val="22"/>
                <w:szCs w:val="22"/>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Borders>
              <w:bottom w:val="single" w:sz="8" w:color="CFF0FC"/>
            </w:tcBorders>
          </w:tcPr>
          <w:p>
            <w:pPr>
              <w:spacing w:after="0"/>
              <w:rPr>
                <w:sz w:val="22"/>
                <w:szCs w:val="22"/>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FF0FC"/>
              <w:right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tcBorders>
              <w:lef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80" w:type="dxa"/>
            <w:vAlign w:val="bottom"/>
            <w:tcBorders>
              <w:bottom w:val="single" w:sz="8" w:color="CFF0FC"/>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color w:val="auto"/>
              </w:rPr>
              <w:t>balance: loans</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tcBorders>
              <w:lef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7"/>
              </w:rPr>
              <w:t>deteriorated</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quality</w:t>
            </w:r>
          </w:p>
        </w:tc>
        <w:tc>
          <w:tcPr>
            <w:tcW w:w="6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189,426</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689,728</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227,256</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56,534</w:t>
            </w:r>
          </w:p>
        </w:tc>
        <w:tc>
          <w:tcPr>
            <w:tcW w:w="100" w:type="dxa"/>
            <w:vAlign w:val="bottom"/>
            <w:tcBorders>
              <w:bottom w:val="single" w:sz="8" w:color="CFF0FC"/>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1,458,423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780" w:type="dxa"/>
            <w:vAlign w:val="bottom"/>
            <w:tcBorders>
              <w:bottom w:val="single" w:sz="8" w:color="CFF0FC"/>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FF0FC"/>
              <w:right w:val="single" w:sz="8" w:color="auto"/>
            </w:tcBorders>
          </w:tcPr>
          <w:p>
            <w:pPr>
              <w:spacing w:after="0"/>
              <w:rPr>
                <w:sz w:val="23"/>
                <w:szCs w:val="2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bottom w:val="single" w:sz="8" w:color="CFF0FC"/>
              <w:right w:val="single" w:sz="8" w:color="auto"/>
            </w:tcBorders>
          </w:tcPr>
          <w:p>
            <w:pPr>
              <w:spacing w:after="0"/>
              <w:rPr>
                <w:sz w:val="23"/>
                <w:szCs w:val="23"/>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bottom w:val="single" w:sz="8" w:color="CFF0FC"/>
              <w:right w:val="single" w:sz="8" w:color="auto"/>
            </w:tcBorders>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3"/>
                <w:szCs w:val="23"/>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shd w:val="clear" w:color="auto" w:fill="CFF0FC"/>
          </w:tcPr>
          <w:p>
            <w:pPr>
              <w:jc w:val="right"/>
              <w:ind w:right="10"/>
              <w:spacing w:after="0" w:line="192" w:lineRule="exact"/>
              <w:rPr>
                <w:sz w:val="20"/>
                <w:szCs w:val="20"/>
                <w:color w:val="auto"/>
              </w:rPr>
            </w:pPr>
            <w:r>
              <w:rPr>
                <w:rFonts w:ascii="Times New Roman" w:cs="Times New Roman" w:eastAsia="Times New Roman" w:hAnsi="Times New Roman"/>
                <w:sz w:val="18"/>
                <w:szCs w:val="18"/>
                <w:color w:val="auto"/>
              </w:rPr>
              <w:t>balance:</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right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tcBorders>
              <w:lef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collectively evaluated</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impairment</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193,741</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181,923</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100,657</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686,172</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225,635</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56,517</w:t>
            </w:r>
          </w:p>
        </w:tc>
        <w:tc>
          <w:tcPr>
            <w:tcW w:w="100" w:type="dxa"/>
            <w:vAlign w:val="bottom"/>
            <w:tcBorders>
              <w:bottom w:val="single" w:sz="8" w:color="CFF0FC"/>
              <w:right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1,444,645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balance: loans</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7"/>
              </w:rPr>
              <w:t>deteriorated</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credit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quality</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right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 5 EARNINGS PER SHARE</w:t>
      </w:r>
    </w:p>
    <w:p>
      <w:pPr>
        <w:spacing w:after="0" w:line="225"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54"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in each year.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On June 3, 2022, twelve Directors each received $10,013 which equated to 240 shares. The use of stock for Directors’ retainer, does not have an effect on diluted earnings per share as it is immediately vested.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(in thousands of dollars)</w:t>
            </w:r>
          </w:p>
        </w:tc>
        <w:tc>
          <w:tcPr>
            <w:tcW w:w="120" w:type="dxa"/>
            <w:vAlign w:val="bottom"/>
          </w:tcPr>
          <w:p>
            <w:pPr>
              <w:spacing w:after="0"/>
              <w:rPr>
                <w:sz w:val="19"/>
                <w:szCs w:val="19"/>
                <w:color w:val="auto"/>
              </w:rPr>
            </w:pPr>
          </w:p>
        </w:tc>
        <w:tc>
          <w:tcPr>
            <w:tcW w:w="288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9"/>
                <w:szCs w:val="19"/>
                <w:color w:val="auto"/>
              </w:rPr>
            </w:pPr>
          </w:p>
        </w:tc>
        <w:tc>
          <w:tcPr>
            <w:tcW w:w="28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June 30, 2021</w:t>
            </w:r>
          </w:p>
        </w:tc>
        <w:tc>
          <w:tcPr>
            <w:tcW w:w="12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June 30, 2022</w:t>
            </w:r>
          </w:p>
        </w:tc>
        <w:tc>
          <w:tcPr>
            <w:tcW w:w="1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June 30, 2021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17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12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26"/>
        </w:trPr>
        <w:tc>
          <w:tcPr>
            <w:tcW w:w="50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13,065,975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11,191,043</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13,066,123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11,194,011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(84,125)</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(85,353)</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11,106,918</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12,956,119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11,108,658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320" w:hanging="105"/>
        <w:spacing w:after="0"/>
        <w:tabs>
          <w:tab w:leader="none" w:pos="4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50"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June 30, 2022 and December 31, 2021 are reflected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Time deposits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Deposits</w:t>
      </w:r>
    </w:p>
    <w:p>
      <w:pPr>
        <w:spacing w:after="0" w:line="252" w:lineRule="exact"/>
        <w:rPr>
          <w:sz w:val="20"/>
          <w:szCs w:val="20"/>
          <w:color w:val="auto"/>
        </w:rPr>
      </w:pPr>
    </w:p>
    <w:p>
      <w:pPr>
        <w:ind w:left="380" w:right="620" w:hanging="134"/>
        <w:spacing w:after="0" w:line="261" w:lineRule="auto"/>
        <w:rPr>
          <w:sz w:val="20"/>
          <w:szCs w:val="20"/>
          <w:color w:val="auto"/>
        </w:rPr>
      </w:pPr>
      <w:r>
        <w:rPr>
          <w:rFonts w:ascii="Times New Roman" w:cs="Times New Roman" w:eastAsia="Times New Roman" w:hAnsi="Times New Roman"/>
          <w:sz w:val="18"/>
          <w:szCs w:val="18"/>
          <w:color w:val="auto"/>
        </w:rPr>
        <w:t>Federal funds purchased and securities sold under agreement to repurchase</w:t>
      </w:r>
    </w:p>
    <w:p>
      <w:pPr>
        <w:ind w:left="260"/>
        <w:spacing w:after="0"/>
        <w:rPr>
          <w:sz w:val="20"/>
          <w:szCs w:val="20"/>
          <w:color w:val="auto"/>
        </w:rPr>
      </w:pPr>
      <w:r>
        <w:rPr>
          <w:rFonts w:ascii="Times New Roman" w:cs="Times New Roman" w:eastAsia="Times New Roman" w:hAnsi="Times New Roman"/>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borrowings</w:t>
      </w:r>
    </w:p>
    <w:p>
      <w:pPr>
        <w:spacing w:after="0" w:line="23" w:lineRule="exact"/>
        <w:rPr>
          <w:sz w:val="20"/>
          <w:szCs w:val="20"/>
          <w:color w:val="auto"/>
        </w:rPr>
      </w:pPr>
    </w:p>
    <w:p>
      <w:pPr>
        <w:ind w:left="260" w:right="320"/>
        <w:spacing w:after="0" w:line="292" w:lineRule="auto"/>
        <w:rPr>
          <w:sz w:val="20"/>
          <w:szCs w:val="20"/>
          <w:color w:val="auto"/>
        </w:rPr>
      </w:pPr>
      <w:r>
        <w:rPr>
          <w:rFonts w:ascii="Times New Roman" w:cs="Times New Roman" w:eastAsia="Times New Roman" w:hAnsi="Times New Roman"/>
          <w:sz w:val="18"/>
          <w:szCs w:val="18"/>
          <w:color w:val="auto"/>
        </w:rPr>
        <w:t>Subordinated notes, net of unamortized issuance costs Interest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Interest-bearing time deposits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Securities - available-for-sale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securities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Loans held for sale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Loans, net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Non-interest bearing deposits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Time deposits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Deposits</w:t>
      </w:r>
    </w:p>
    <w:p>
      <w:pPr>
        <w:spacing w:after="0" w:line="252" w:lineRule="exact"/>
        <w:rPr>
          <w:sz w:val="20"/>
          <w:szCs w:val="20"/>
          <w:color w:val="auto"/>
        </w:rPr>
      </w:pPr>
    </w:p>
    <w:p>
      <w:pPr>
        <w:ind w:left="380" w:right="620" w:hanging="134"/>
        <w:spacing w:after="0" w:line="261" w:lineRule="auto"/>
        <w:rPr>
          <w:sz w:val="20"/>
          <w:szCs w:val="20"/>
          <w:color w:val="auto"/>
        </w:rPr>
      </w:pPr>
      <w:r>
        <w:rPr>
          <w:rFonts w:ascii="Times New Roman" w:cs="Times New Roman" w:eastAsia="Times New Roman" w:hAnsi="Times New Roman"/>
          <w:sz w:val="18"/>
          <w:szCs w:val="18"/>
          <w:color w:val="auto"/>
        </w:rPr>
        <w:t>Federal funds purchased and securities sold under agreement to repurchase</w:t>
      </w:r>
    </w:p>
    <w:p>
      <w:pPr>
        <w:ind w:left="260"/>
        <w:spacing w:after="0"/>
        <w:rPr>
          <w:sz w:val="20"/>
          <w:szCs w:val="20"/>
          <w:color w:val="auto"/>
        </w:rPr>
      </w:pPr>
      <w:r>
        <w:rPr>
          <w:rFonts w:ascii="Times New Roman" w:cs="Times New Roman" w:eastAsia="Times New Roman" w:hAnsi="Times New Roman"/>
          <w:sz w:val="18"/>
          <w:szCs w:val="18"/>
          <w:color w:val="auto"/>
        </w:rPr>
        <w:t>Federal Home Loan Bank advances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borrowings</w:t>
      </w:r>
    </w:p>
    <w:p>
      <w:pPr>
        <w:spacing w:after="0" w:line="23" w:lineRule="exact"/>
        <w:rPr>
          <w:sz w:val="20"/>
          <w:szCs w:val="20"/>
          <w:color w:val="auto"/>
        </w:rPr>
      </w:pPr>
    </w:p>
    <w:p>
      <w:pPr>
        <w:ind w:left="260" w:right="320"/>
        <w:spacing w:after="0" w:line="292" w:lineRule="auto"/>
        <w:rPr>
          <w:sz w:val="20"/>
          <w:szCs w:val="20"/>
          <w:color w:val="auto"/>
        </w:rPr>
      </w:pPr>
      <w:r>
        <w:rPr>
          <w:rFonts w:ascii="Times New Roman" w:cs="Times New Roman" w:eastAsia="Times New Roman" w:hAnsi="Times New Roman"/>
          <w:sz w:val="18"/>
          <w:szCs w:val="18"/>
          <w:color w:val="auto"/>
        </w:rPr>
        <w:t>Subordinated notes, net of unamortized issuance costs Interest payable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780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3</w:t>
            </w:r>
          </w:p>
        </w:tc>
      </w:tr>
      <w:tr>
        <w:trPr>
          <w:trHeight w:val="44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2,042,904</w:t>
            </w:r>
          </w:p>
        </w:tc>
      </w:tr>
      <w:tr>
        <w:trPr>
          <w:trHeight w:val="234"/>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68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1,288,006</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1,288,006</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416,076</w:t>
            </w:r>
          </w:p>
        </w:tc>
      </w:tr>
      <w:tr>
        <w:trPr>
          <w:trHeight w:val="228"/>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2,207,477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1,704,082</w:t>
            </w:r>
          </w:p>
        </w:tc>
      </w:tr>
      <w:tr>
        <w:trPr>
          <w:trHeight w:val="665"/>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71,944</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42,930</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391"/>
        </w:trPr>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8"/>
        </w:trPr>
        <w:tc>
          <w:tcPr>
            <w:tcW w:w="12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3</w:t>
            </w:r>
          </w:p>
        </w:tc>
      </w:tr>
      <w:tr>
        <w:trPr>
          <w:trHeight w:val="44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180,832</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1,864,386</w:t>
            </w:r>
          </w:p>
        </w:tc>
      </w:tr>
      <w:tr>
        <w:trPr>
          <w:trHeight w:val="234"/>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r>
      <w:tr>
        <w:trPr>
          <w:trHeight w:val="68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1,248,044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1,248,044</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475,810</w:t>
            </w:r>
          </w:p>
        </w:tc>
      </w:tr>
      <w:tr>
        <w:trPr>
          <w:trHeight w:val="228"/>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1,723,854</w:t>
            </w:r>
          </w:p>
        </w:tc>
      </w:tr>
      <w:tr>
        <w:trPr>
          <w:trHeight w:val="665"/>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29,268</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w:t>
            </w:r>
          </w:p>
        </w:tc>
      </w:tr>
      <w:tr>
        <w:trPr>
          <w:trHeight w:val="230"/>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-6840220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-6539865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-6248400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-5956935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-5665470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-5374005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-5082540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-4782820</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-4354195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-4062730</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-3068320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-2767965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-2476500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-2185035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-1893570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-1602105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-1310640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-1010920</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-582295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-290830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460" w:space="720"/>
            <w:col w:w="606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Available-for-sale securities, when quoted prices are available in an active market, securities are valued using the quoted price and are classified as Level 1.</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5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June 30, 2022 and December 31, 2021, segregated by level or the valuation inputs within the fair value hierarchy utilized to measure fair value:</w:t>
      </w: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36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June 30, 2022</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6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299,173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Unobservable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Inputs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December 31, 2021</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6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5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335,981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5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six month periods ended June 30, 2022 and June 30, 2021. For the three month period ended March 31, 2022, there was one security transfer from Level 3 to Level 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gridSpan w:val="3"/>
          </w:tcPr>
          <w:p>
            <w:pPr>
              <w:jc w:val="center"/>
              <w:ind w:right="140"/>
              <w:spacing w:after="0" w:line="205" w:lineRule="exact"/>
              <w:rPr>
                <w:sz w:val="20"/>
                <w:szCs w:val="20"/>
                <w:color w:val="auto"/>
              </w:rPr>
            </w:pPr>
            <w:r>
              <w:rPr>
                <w:rFonts w:ascii="Times New Roman" w:cs="Times New Roman" w:eastAsia="Times New Roman" w:hAnsi="Times New Roman"/>
                <w:sz w:val="18"/>
                <w:szCs w:val="18"/>
                <w:color w:val="auto"/>
                <w:w w:val="98"/>
              </w:rPr>
              <w:t>State and Local</w:t>
            </w:r>
          </w:p>
        </w:tc>
        <w:tc>
          <w:tcPr>
            <w:tcW w:w="1340" w:type="dxa"/>
            <w:vAlign w:val="bottom"/>
            <w:gridSpan w:val="4"/>
          </w:tcPr>
          <w:p>
            <w:pPr>
              <w:jc w:val="center"/>
              <w:ind w:right="6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22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April 1, 2022</w:t>
            </w:r>
          </w:p>
        </w:tc>
        <w:tc>
          <w:tcPr>
            <w:tcW w:w="1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&amp; Adjustments</w:t>
            </w:r>
          </w:p>
        </w:tc>
        <w:tc>
          <w:tcPr>
            <w:tcW w:w="17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gridSpan w:val="3"/>
          </w:tcPr>
          <w:p>
            <w:pPr>
              <w:jc w:val="center"/>
              <w:ind w:right="140"/>
              <w:spacing w:after="0" w:line="205" w:lineRule="exact"/>
              <w:rPr>
                <w:sz w:val="20"/>
                <w:szCs w:val="20"/>
                <w:color w:val="auto"/>
              </w:rPr>
            </w:pPr>
            <w:r>
              <w:rPr>
                <w:rFonts w:ascii="Times New Roman" w:cs="Times New Roman" w:eastAsia="Times New Roman" w:hAnsi="Times New Roman"/>
                <w:sz w:val="18"/>
                <w:szCs w:val="18"/>
                <w:color w:val="auto"/>
                <w:w w:val="98"/>
              </w:rPr>
              <w:t>State and Local</w:t>
            </w:r>
          </w:p>
        </w:tc>
        <w:tc>
          <w:tcPr>
            <w:tcW w:w="1340" w:type="dxa"/>
            <w:vAlign w:val="bottom"/>
            <w:gridSpan w:val="4"/>
          </w:tcPr>
          <w:p>
            <w:pPr>
              <w:jc w:val="center"/>
              <w:ind w:right="6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22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April 1, 2021</w:t>
            </w:r>
          </w:p>
        </w:tc>
        <w:tc>
          <w:tcPr>
            <w:tcW w:w="17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&amp; Adjustments</w:t>
            </w:r>
          </w:p>
        </w:tc>
        <w:tc>
          <w:tcPr>
            <w:tcW w:w="17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gridSpan w:val="3"/>
          </w:tcPr>
          <w:p>
            <w:pPr>
              <w:jc w:val="center"/>
              <w:ind w:right="140"/>
              <w:spacing w:after="0" w:line="205" w:lineRule="exact"/>
              <w:rPr>
                <w:sz w:val="20"/>
                <w:szCs w:val="20"/>
                <w:color w:val="auto"/>
              </w:rPr>
            </w:pPr>
            <w:r>
              <w:rPr>
                <w:rFonts w:ascii="Times New Roman" w:cs="Times New Roman" w:eastAsia="Times New Roman" w:hAnsi="Times New Roman"/>
                <w:sz w:val="18"/>
                <w:szCs w:val="18"/>
                <w:color w:val="auto"/>
                <w:w w:val="98"/>
              </w:rPr>
              <w:t>State and Local</w:t>
            </w:r>
          </w:p>
        </w:tc>
        <w:tc>
          <w:tcPr>
            <w:tcW w:w="1340" w:type="dxa"/>
            <w:vAlign w:val="bottom"/>
            <w:gridSpan w:val="4"/>
          </w:tcPr>
          <w:p>
            <w:pPr>
              <w:jc w:val="center"/>
              <w:ind w:right="6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22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&amp; Adjustments</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8"/>
          </w:tcPr>
          <w:p>
            <w:pPr>
              <w:jc w:val="center"/>
              <w:ind w:left="5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gridSpan w:val="3"/>
          </w:tcPr>
          <w:p>
            <w:pPr>
              <w:jc w:val="center"/>
              <w:ind w:right="140"/>
              <w:spacing w:after="0" w:line="205" w:lineRule="exact"/>
              <w:rPr>
                <w:sz w:val="20"/>
                <w:szCs w:val="20"/>
                <w:color w:val="auto"/>
              </w:rPr>
            </w:pPr>
            <w:r>
              <w:rPr>
                <w:rFonts w:ascii="Times New Roman" w:cs="Times New Roman" w:eastAsia="Times New Roman" w:hAnsi="Times New Roman"/>
                <w:sz w:val="18"/>
                <w:szCs w:val="18"/>
                <w:color w:val="auto"/>
                <w:w w:val="98"/>
              </w:rPr>
              <w:t>State and Local</w:t>
            </w:r>
          </w:p>
        </w:tc>
        <w:tc>
          <w:tcPr>
            <w:tcW w:w="1340" w:type="dxa"/>
            <w:vAlign w:val="bottom"/>
            <w:gridSpan w:val="4"/>
          </w:tcPr>
          <w:p>
            <w:pPr>
              <w:jc w:val="center"/>
              <w:ind w:right="6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122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Governments</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Governments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Tax-Exempt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Taxable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4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&amp; Adjustments</w:t>
            </w:r>
          </w:p>
        </w:tc>
        <w:tc>
          <w:tcPr>
            <w:tcW w:w="14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June 30, 2022 and December 31, 2021,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5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fair value of collateral dependent impaired loans categorized as Level 3 was $2.6 million and $8.5 million, respectively. The specific allocation for impaired loans was $2.4 million and $2.2 million as of June 30, 2022 and December 31, 2021, respectively, which are accounted for in the allowance for loan losses (see Note 4).</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During 2021, impairment was recognized on mortgage servicing rights based upon the independent third party’s quarterly valuations. A valuation allowance was established by strata to quantify the likely impairment of the value of the mortgage servicing rights to the Company. If the carrying amount of an individual strata exceeds the fair value, impairment was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ind w:right="298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50"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recorded on that strata so the servicing asset was carried at fair value. Impairment was $189 thousand at June 30, 2022 and $414 thousand at December 31, 2021.</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18"/>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Fair Value at</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4"/>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2022</w:t>
            </w:r>
          </w:p>
        </w:tc>
        <w:tc>
          <w:tcPr>
            <w:tcW w:w="24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Valuation Technique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Unobservable Inputs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05"/>
        </w:trPr>
        <w:tc>
          <w:tcPr>
            <w:tcW w:w="25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4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1.84-4.08%</w:t>
            </w:r>
          </w:p>
        </w:tc>
      </w:tr>
      <w:tr>
        <w:trPr>
          <w:trHeight w:val="234"/>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entity / Discount rate</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(3.35%)</w:t>
            </w: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 dependent</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 based</w:t>
            </w:r>
          </w:p>
        </w:tc>
        <w:tc>
          <w:tcPr>
            <w:tcW w:w="100" w:type="dxa"/>
            <w:vAlign w:val="bottom"/>
            <w:shd w:val="clear" w:color="auto" w:fill="CFF0FC"/>
          </w:tcPr>
          <w:p>
            <w:pPr>
              <w:spacing w:after="0"/>
              <w:rPr>
                <w:sz w:val="18"/>
                <w:szCs w:val="18"/>
                <w:color w:val="auto"/>
              </w:rPr>
            </w:pPr>
          </w:p>
        </w:tc>
        <w:tc>
          <w:tcPr>
            <w:tcW w:w="366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22.18%</w:t>
            </w:r>
          </w:p>
        </w:tc>
      </w:tr>
      <w:tr>
        <w:trPr>
          <w:trHeight w:val="234"/>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(22.05%)</w:t>
            </w: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15.24-</w:t>
            </w:r>
          </w:p>
        </w:tc>
      </w:tr>
      <w:tr>
        <w:trPr>
          <w:trHeight w:val="216"/>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6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Constant prepayment rate and probability of</w:t>
            </w: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55.96%</w:t>
            </w:r>
          </w:p>
        </w:tc>
      </w:tr>
      <w:tr>
        <w:trPr>
          <w:trHeight w:val="234"/>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shd w:val="clear" w:color="auto" w:fill="CFF0FC"/>
          </w:tcPr>
          <w:p>
            <w:pPr>
              <w:spacing w:after="0"/>
              <w:rPr>
                <w:sz w:val="20"/>
                <w:szCs w:val="20"/>
                <w:color w:val="auto"/>
              </w:rPr>
            </w:pPr>
          </w:p>
        </w:tc>
        <w:tc>
          <w:tcPr>
            <w:tcW w:w="366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default / Discount rate</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(17.30%)</w:t>
            </w:r>
          </w:p>
        </w:tc>
      </w:tr>
      <w:tr>
        <w:trPr>
          <w:trHeight w:val="945"/>
        </w:trPr>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18"/>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Fair Value at</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34"/>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Valuation Technique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Unobservable Inputs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05"/>
        </w:trPr>
        <w:tc>
          <w:tcPr>
            <w:tcW w:w="25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520" w:type="dxa"/>
            <w:vAlign w:val="bottom"/>
            <w:tcBorders>
              <w:top w:val="single" w:sz="8" w:color="auto"/>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0.21-1.77%</w:t>
            </w:r>
          </w:p>
        </w:tc>
      </w:tr>
      <w:tr>
        <w:trPr>
          <w:trHeight w:val="234"/>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entity / Discount rate</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r>
      <w:tr>
        <w:trPr>
          <w:trHeight w:val="21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 dependent</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 based</w:t>
            </w: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53.95%</w:t>
            </w:r>
          </w:p>
        </w:tc>
      </w:tr>
      <w:tr>
        <w:trPr>
          <w:trHeight w:val="234"/>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measurements</w:t>
            </w: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(34.78%)</w:t>
            </w:r>
          </w:p>
        </w:tc>
      </w:tr>
      <w:tr>
        <w:trPr>
          <w:trHeight w:val="229"/>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Constant prepayment rate and probability of</w:t>
            </w:r>
          </w:p>
        </w:tc>
        <w:tc>
          <w:tcPr>
            <w:tcW w:w="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27.70%</w:t>
            </w:r>
          </w:p>
        </w:tc>
      </w:tr>
      <w:tr>
        <w:trPr>
          <w:trHeight w:val="234"/>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default / Discount rate</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(18.44%)</w:t>
            </w:r>
          </w:p>
        </w:tc>
      </w:tr>
      <w:tr>
        <w:trPr>
          <w:trHeight w:val="230"/>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1"/>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real estate owned -</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Discount to reflect current</w:t>
            </w:r>
          </w:p>
        </w:tc>
        <w:tc>
          <w:tcPr>
            <w:tcW w:w="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32.72%</w:t>
            </w:r>
          </w:p>
        </w:tc>
      </w:tr>
      <w:tr>
        <w:trPr>
          <w:trHeight w:val="234"/>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Appraisals</w:t>
            </w:r>
          </w:p>
        </w:tc>
        <w:tc>
          <w:tcPr>
            <w:tcW w:w="376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(32.72%)</w:t>
            </w:r>
          </w:p>
        </w:tc>
      </w:tr>
      <w:tr>
        <w:trPr>
          <w:trHeight w:val="1107"/>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ind w:right="2420"/>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pacing w:after="0" w:line="39"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color w:val="auto"/>
        </w:rPr>
        <w:t>NOTE 6 FAIR VALUE OF FINANCIAL INSTRUMENTS (Continued)</w:t>
      </w:r>
    </w:p>
    <w:p>
      <w:pPr>
        <w:spacing w:after="0" w:line="200" w:lineRule="exact"/>
        <w:rPr>
          <w:sz w:val="20"/>
          <w:szCs w:val="20"/>
          <w:color w:val="auto"/>
        </w:rPr>
      </w:pP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June 30, 2022 and December 31, 2021:</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00" w:type="dxa"/>
            <w:vAlign w:val="bottom"/>
            <w:gridSpan w:val="11"/>
          </w:tcPr>
          <w:p>
            <w:pPr>
              <w:jc w:val="center"/>
              <w:ind w:right="30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June 30, 2022</w:t>
            </w:r>
          </w:p>
        </w:tc>
      </w:tr>
      <w:tr>
        <w:trPr>
          <w:trHeight w:val="218"/>
        </w:trPr>
        <w:tc>
          <w:tcPr>
            <w:tcW w:w="3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June 30, 2022</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(Level 3)</w:t>
            </w:r>
          </w:p>
        </w:tc>
      </w:tr>
      <w:tr>
        <w:trPr>
          <w:trHeight w:val="205"/>
        </w:trPr>
        <w:tc>
          <w:tcPr>
            <w:tcW w:w="30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Collateral dependent</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66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FF0FC"/>
          </w:tcPr>
          <w:p>
            <w:pPr>
              <w:spacing w:after="0"/>
              <w:rPr>
                <w:sz w:val="20"/>
                <w:szCs w:val="20"/>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19"/>
                <w:szCs w:val="19"/>
                <w:color w:val="auto"/>
              </w:rPr>
            </w:pP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real estate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owned - residential</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716"/>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00" w:type="dxa"/>
            <w:vAlign w:val="bottom"/>
            <w:gridSpan w:val="11"/>
          </w:tcPr>
          <w:p>
            <w:pPr>
              <w:jc w:val="center"/>
              <w:ind w:right="28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2021</w:t>
            </w:r>
          </w:p>
        </w:tc>
      </w:tr>
      <w:tr>
        <w:trPr>
          <w:trHeight w:val="218"/>
        </w:trPr>
        <w:tc>
          <w:tcPr>
            <w:tcW w:w="3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Quoted Prices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Markets for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Balance at</w:t>
            </w:r>
          </w:p>
        </w:tc>
        <w:tc>
          <w:tcPr>
            <w:tcW w:w="240" w:type="dxa"/>
            <w:vAlign w:val="bottom"/>
          </w:tcPr>
          <w:p>
            <w:pPr>
              <w:spacing w:after="0"/>
              <w:rPr>
                <w:sz w:val="18"/>
                <w:szCs w:val="18"/>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Observable 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Unobservable Inputs</w:t>
            </w:r>
          </w:p>
        </w:tc>
      </w:tr>
      <w:tr>
        <w:trPr>
          <w:trHeight w:val="234"/>
        </w:trPr>
        <w:tc>
          <w:tcPr>
            <w:tcW w:w="30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(Level 3)</w:t>
            </w:r>
          </w:p>
        </w:tc>
      </w:tr>
      <w:tr>
        <w:trPr>
          <w:trHeight w:val="205"/>
        </w:trPr>
        <w:tc>
          <w:tcPr>
            <w:tcW w:w="30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Collateral dependent</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impaired loans</w:t>
            </w: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66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shd w:val="clear" w:color="auto" w:fill="CFF0FC"/>
          </w:tcPr>
          <w:p>
            <w:pPr>
              <w:spacing w:after="0"/>
              <w:rPr>
                <w:sz w:val="20"/>
                <w:szCs w:val="20"/>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real estate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owned - residential</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right="2900" w:hanging="1325"/>
        <w:spacing w:after="0" w:line="767" w:lineRule="auto"/>
        <w:tabs>
          <w:tab w:leader="none" w:pos="4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Remainder of this page intentionally left blank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FEDERAL FUNDS PURCHASED AND SECURITIES SOLD UNDER AGREEMENTS TO REPURCHASE</w:t>
      </w:r>
    </w:p>
    <w:p>
      <w:pPr>
        <w:spacing w:after="0" w:line="25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had $39.1 million in federal funds purchased as of June 30, 2022 and no federal funds purchased as of December 31, 2021. During the same time periods, the Company had $32.9 million and $29.3 million in securities sold under agreement to repurchase.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 2022</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60" w:type="dxa"/>
            <w:vAlign w:val="bottom"/>
            <w:tcBorders>
              <w:bottom w:val="single" w:sz="8" w:color="auto"/>
            </w:tcBorders>
            <w:gridSpan w:val="18"/>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Remaining Contractual Maturity of the Agreements (In Thousands)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8"/>
              </w:rPr>
              <w:t>30-90 days</w:t>
            </w:r>
          </w:p>
        </w:tc>
        <w:tc>
          <w:tcPr>
            <w:tcW w:w="20" w:type="dxa"/>
            <w:vAlign w:val="bottom"/>
          </w:tcPr>
          <w:p>
            <w:pPr>
              <w:spacing w:after="0"/>
              <w:rPr>
                <w:sz w:val="24"/>
                <w:szCs w:val="24"/>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Greater Than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90 days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39,055</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40,504</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19"/>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Contractual Maturity of the Agreements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8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Overnight &amp;</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30-90 days</w:t>
            </w:r>
          </w:p>
        </w:tc>
        <w:tc>
          <w:tcPr>
            <w:tcW w:w="20" w:type="dxa"/>
            <w:vAlign w:val="bottom"/>
          </w:tcPr>
          <w:p>
            <w:pPr>
              <w:spacing w:after="0"/>
              <w:rPr>
                <w:sz w:val="24"/>
                <w:szCs w:val="24"/>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Greater Than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Continuous</w:t>
            </w:r>
          </w:p>
        </w:tc>
        <w:tc>
          <w:tcPr>
            <w:tcW w:w="2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Up to 30 days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90 days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760" w:type="dxa"/>
            <w:vAlign w:val="bottom"/>
            <w:gridSpan w:val="2"/>
            <w:shd w:val="clear" w:color="auto" w:fill="CFF0FC"/>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24,306</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24,306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SUBORDINATED NOTES</w:t>
      </w:r>
    </w:p>
    <w:p>
      <w:pPr>
        <w:spacing w:after="0" w:line="25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The Company intended to use the net proceeds from the Offering for general corporate purposes, including financing acquisitions and organic growth.</w:t>
      </w:r>
    </w:p>
    <w:p>
      <w:pPr>
        <w:spacing w:after="0" w:line="15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will accrue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6"/>
          </w:tcPr>
          <w:p>
            <w:pPr>
              <w:jc w:val="right"/>
              <w:ind w:right="1316"/>
              <w:spacing w:after="0"/>
              <w:rPr>
                <w:sz w:val="20"/>
                <w:szCs w:val="20"/>
                <w:color w:val="auto"/>
              </w:rPr>
            </w:pPr>
            <w:r>
              <w:rPr>
                <w:rFonts w:ascii="Times New Roman" w:cs="Times New Roman" w:eastAsia="Times New Roman" w:hAnsi="Times New Roman"/>
                <w:sz w:val="18"/>
                <w:szCs w:val="18"/>
                <w:color w:val="auto"/>
              </w:rPr>
              <w:t>June 30, 2022</w:t>
            </w: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Unamortized Note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Note</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496"/>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Costs</w:t>
            </w:r>
          </w:p>
        </w:tc>
      </w:tr>
      <w:tr>
        <w:trPr>
          <w:trHeight w:val="223"/>
        </w:trPr>
        <w:tc>
          <w:tcPr>
            <w:tcW w:w="2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top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4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PROPOSED BUSINESS COMBINATION</w:t>
      </w:r>
    </w:p>
    <w:p>
      <w:pPr>
        <w:spacing w:after="0" w:line="25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June 14, 2022, Farmers &amp; Merchants Bancorp, Inc., an Ohio corporation (“F&amp;M”) entered into an Agreement and Plan of Merger (the “Merger Agreement”) with Peoples-Sidney Financial Corporation, a Delaware corporation (“PPSF”), which provides for the merger of PPSF with and into F&amp;M (the “Merger”) and the merger of PPSF’s wholly-owned banking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NOTE 9 PROPOSED BUSINESS COMBINATION (Continued)</w:t>
      </w:r>
    </w:p>
    <w:p>
      <w:pPr>
        <w:spacing w:after="0" w:line="234" w:lineRule="exact"/>
        <w:rPr>
          <w:sz w:val="20"/>
          <w:szCs w:val="20"/>
          <w:color w:val="auto"/>
        </w:rPr>
      </w:pPr>
    </w:p>
    <w:p>
      <w:pPr>
        <w:jc w:val="both"/>
        <w:ind w:left="700"/>
        <w:spacing w:after="0" w:line="266" w:lineRule="auto"/>
        <w:rPr>
          <w:sz w:val="20"/>
          <w:szCs w:val="20"/>
          <w:color w:val="auto"/>
        </w:rPr>
      </w:pPr>
      <w:r>
        <w:rPr>
          <w:rFonts w:ascii="Times New Roman" w:cs="Times New Roman" w:eastAsia="Times New Roman" w:hAnsi="Times New Roman"/>
          <w:sz w:val="18"/>
          <w:szCs w:val="18"/>
          <w:color w:val="auto"/>
        </w:rPr>
        <w:t>subsidiary, Peoples Federal Savings and Loan Association (“Peoples Bank”), with and into F&amp;M’s wholly-owned banking subsidiary, The Farmers &amp; Merchants State Bank (“F&amp;M Bank”). All of the outstanding shares of PPSF’s common stock will be converted into the right to receive the cash or stock consideration as described in, and subject to, the terms and conditions of the Merger Agreement.</w:t>
      </w:r>
    </w:p>
    <w:p>
      <w:pPr>
        <w:spacing w:after="0" w:line="135" w:lineRule="exact"/>
        <w:rPr>
          <w:sz w:val="20"/>
          <w:szCs w:val="20"/>
          <w:color w:val="auto"/>
        </w:rPr>
      </w:pPr>
    </w:p>
    <w:p>
      <w:pPr>
        <w:jc w:val="both"/>
        <w:ind w:left="700"/>
        <w:spacing w:after="0" w:line="282" w:lineRule="auto"/>
        <w:rPr>
          <w:sz w:val="20"/>
          <w:szCs w:val="20"/>
          <w:color w:val="auto"/>
        </w:rPr>
      </w:pPr>
      <w:r>
        <w:rPr>
          <w:rFonts w:ascii="Times New Roman" w:cs="Times New Roman" w:eastAsia="Times New Roman" w:hAnsi="Times New Roman"/>
          <w:sz w:val="18"/>
          <w:szCs w:val="18"/>
          <w:color w:val="auto"/>
        </w:rPr>
        <w:t>Based on the closing price of F&amp;M’s common stock on June 14, 2022, of $34.28 per share, the transaction value for the shares of common stock and cash to be paid is approximately $27 million.</w:t>
      </w:r>
    </w:p>
    <w:p>
      <w:pPr>
        <w:spacing w:after="0" w:line="135" w:lineRule="exact"/>
        <w:rPr>
          <w:sz w:val="20"/>
          <w:szCs w:val="20"/>
          <w:color w:val="auto"/>
        </w:rPr>
      </w:pPr>
    </w:p>
    <w:p>
      <w:pPr>
        <w:jc w:val="both"/>
        <w:ind w:left="700"/>
        <w:spacing w:after="0" w:line="261" w:lineRule="auto"/>
        <w:rPr>
          <w:sz w:val="20"/>
          <w:szCs w:val="20"/>
          <w:color w:val="auto"/>
        </w:rPr>
      </w:pPr>
      <w:r>
        <w:rPr>
          <w:rFonts w:ascii="Times New Roman" w:cs="Times New Roman" w:eastAsia="Times New Roman" w:hAnsi="Times New Roman"/>
          <w:sz w:val="18"/>
          <w:szCs w:val="18"/>
          <w:color w:val="auto"/>
        </w:rPr>
        <w:t>The transaction is expected to be a tax-free stock exchange for PPSF’s shareholders who will be receiving F&amp;M’s common stock pursuant to the Merger. Subject to PPSF’s shareholders’ approval of the Merger, regulatory approvals and other customary closing conditions, the parties anticipate completing the Merger in the third or fourth quarter of 2022. A copy of the Merger Agreement is filed as Exhibit 2.1 and incorporated herein by reference.</w:t>
      </w:r>
    </w:p>
    <w:p>
      <w:pPr>
        <w:spacing w:after="0" w:line="139" w:lineRule="exact"/>
        <w:rPr>
          <w:sz w:val="20"/>
          <w:szCs w:val="20"/>
          <w:color w:val="auto"/>
        </w:rPr>
      </w:pPr>
    </w:p>
    <w:p>
      <w:pPr>
        <w:jc w:val="both"/>
        <w:ind w:left="700"/>
        <w:spacing w:after="0" w:line="266" w:lineRule="auto"/>
        <w:rPr>
          <w:sz w:val="20"/>
          <w:szCs w:val="20"/>
          <w:color w:val="auto"/>
        </w:rPr>
      </w:pPr>
      <w:r>
        <w:rPr>
          <w:rFonts w:ascii="Times New Roman" w:cs="Times New Roman" w:eastAsia="Times New Roman" w:hAnsi="Times New Roman"/>
          <w:sz w:val="18"/>
          <w:szCs w:val="18"/>
          <w:color w:val="auto"/>
        </w:rPr>
        <w:t>The Boards of Directors of each of F&amp;M and PPSF have approved the Merger Agreement. The members of the Board of Directors of PPSF have entered into a Voting Agreement pursuant to which each of them has agreed to vote their shares of PPSF common stock in favor of the Merger. A copy of the form of Voting Agreement is attached to the Merger Agreement as Exhibit B.</w:t>
      </w:r>
    </w:p>
    <w:p>
      <w:pPr>
        <w:spacing w:after="0" w:line="135"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upon the completion of the Merger, PPSF shareholders will have the opportunity to elect to receive either 0.6597 shares of FMAO stock or $24.00 per share in cash for each PPSF share owned, subject to a requirement under the Merger Agreement that the minimum number of PPSF Shares exchanged for F&amp;M Shares in the Merger shall be no less than 758,566. Fractional shares of F&amp;M common stock will not be issued in respect of fractional interests arising from the Merger but will be paid in cash pursuant to the Merger Agreement.</w:t>
      </w:r>
    </w:p>
    <w:p>
      <w:pPr>
        <w:spacing w:after="0" w:line="3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 10 RECENT ACCOUNTING PRONOUNCEMENTS</w:t>
      </w:r>
    </w:p>
    <w:p>
      <w:pPr>
        <w:spacing w:after="0" w:line="252" w:lineRule="exact"/>
        <w:rPr>
          <w:sz w:val="20"/>
          <w:szCs w:val="20"/>
          <w:color w:val="auto"/>
        </w:rPr>
      </w:pPr>
    </w:p>
    <w:p>
      <w:pPr>
        <w:jc w:val="both"/>
        <w:ind w:left="70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51"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18"/>
          <w:szCs w:val="18"/>
          <w:color w:val="auto"/>
        </w:rPr>
        <w:t>The ASU is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143"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18"/>
          <w:szCs w:val="18"/>
          <w:color w:val="auto"/>
        </w:rPr>
        <w:t>The Company began working with a third-party service provider to review methodology options starting in June 2019. At the end of first quarter 2022, the Company evaluated and refined its methodology and produced a parallel report for the calculation of the ALLL under the ASU guidance. Management intends to continue its evaluation during the third quarter, including analysis of the effects of the pending acquisition, and will refine the methodology as necessary as the Company works towards ASU implementation and adoption. The Company will adopt ASU 2016-13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has continued its tremendous start to 2022 by carrying forward the momentum from 2021. The first six months have been the first post-acquisitions months since the acquisitions of Ossian and Perpetual which gives us a picture of our core business going forward. Organic loan growth increased 19.9%, which excludes acquisition and PPP balances, on a year-over-year basis with second quarter being the fourth consecutive quarter with organic loan growth greater than 10%.</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the Bank officially celebrated its 125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birthday in each of the locations with management delivering treats for employees and customers. A committee has been formed within the Bank to promote the Bank’s birthday and continue the celebration with special events throughout the year. In July, in conjunction with the five year anniversary of being traded on NASDAQ, the Company will ring the closing bell in New York.</w:t>
      </w:r>
    </w:p>
    <w:p>
      <w:pPr>
        <w:spacing w:after="0" w:line="13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On June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Farmers &amp; Merchants Bancorp, Inc., entered into an Agreement and Plan of Merger with Peoples-Sidney Financial Corporation, a Delaware corporation (“PPSF”), which provides for the merger of PPSF with and into F&amp;M and the merger of PPSF’s wholly-owned banking subsidiary, Peoples Federal Savings and Loan Association (“Peoples Bank”), with and into F&amp;M’s wholly-owned banking subsidiary, The Farmers &amp; Merchants State Bank (“F&amp;M Bank”). All of the outstanding shares of PPSF’s common stock will be converted into the right to receive the cash or stock consideration as described in, and subject to, the terms and conditions of the Merger Agreement. Refer to Note 9 Proposed Business Combination for additional detail on the merger.</w:t>
      </w:r>
    </w:p>
    <w:p>
      <w:pPr>
        <w:spacing w:after="0" w:line="14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F&amp;M Commercial Banking Division entered the second quarter 2022 with a strong loan pipeline and demand throughout F&amp;M’s footprint. Client performance results from 2021 and year to date 2022 remain good. As second quarter 2022 came to an end, client concerns about availability of workforce, interruptions and delays in the supply chain and concerns over energy prices remained. Rising interest rates were also a concern for clients, but to date have not dramatically slowed commercial activity. Credit quality of the portfolio remains good, past dues and delinquencies remained low at the end of the quarter. Second quarter fee income remained solid and kept pace with first quarter.</w:t>
      </w:r>
    </w:p>
    <w:p>
      <w:pPr>
        <w:spacing w:after="0" w:line="15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agriculture sector saw favorable planting conditions for 2022, and growing conditions have been acceptable to date. Commodity prices remain high and at levels that remain profitable for our farm customers. Our ag clients are closely watching higher input costs and potential supply issues. Agri-business continues to remain stable. With rising interest rates, it is anticipated that our clients will carefully evaluate borrowing decisions. The agriculture portfolio remains sound.</w:t>
      </w:r>
    </w:p>
    <w:p>
      <w:pPr>
        <w:spacing w:after="0" w:line="139"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8"/>
          <w:szCs w:val="18"/>
          <w:color w:val="auto"/>
        </w:rPr>
        <w:t xml:space="preserve">Home loan rates have continued to increase and the volume of refinancing loans has slowed as compared to the same time in 2021. Turn times have become more manageable and the Bank is focusing on home equity lines as an opportunity for growth. Limited inventory and the demand for homes remain strong. During the quarter, 266 loans, including home equity and lines of credit, were closed totaling $32.1 million which compares to 297 loans and $33.0 million during the second quarter in 2021. The second quarter gain on 1-4 family mortgage sales was down by approximately 64.3% compared to second quarter 2021. </w:t>
      </w:r>
      <w:r>
        <w:rPr>
          <w:rFonts w:ascii="Times New Roman" w:cs="Times New Roman" w:eastAsia="Times New Roman" w:hAnsi="Times New Roman"/>
          <w:sz w:val="18"/>
          <w:szCs w:val="18"/>
          <w:color w:val="202124"/>
        </w:rPr>
        <w:t>According to ATTOM's latest home affordability analysis, the portion of average wages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required for major home-ownership expenses nationwide rose in Q2 2022 to 31.5 percent, as the median price of a single-family home hit a new high of $349,000 and 30-year mortgage rates shot up above 5 percent. </w:t>
      </w:r>
      <w:r>
        <w:rPr>
          <w:rFonts w:ascii="Times New Roman" w:cs="Times New Roman" w:eastAsia="Times New Roman" w:hAnsi="Times New Roman"/>
          <w:sz w:val="18"/>
          <w:szCs w:val="18"/>
          <w:color w:val="000000"/>
        </w:rPr>
        <w:t>Increased lumber prices have impacted remodeling costs and new</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construction; however, we have seen input prices begin to decrease.</w:t>
      </w:r>
    </w:p>
    <w:p>
      <w:pPr>
        <w:spacing w:after="0" w:line="144"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Net interest earnings increased by $10.6 million as compared to first six months of 2021. The improvement was primarily due to growth in the balance sheet as the Company continues to operate in the low rate environment following the national prime rate drop of 150 basis points in the first quarter of 2020. Interest rates have increased as the national prime rate increased 25 basis points this March, 50 basis points in May and 75 basis points in June. Year to date net interest margin increased 3 basis points compared to year to date 2021. For second quarter, net interest margin increased 26 basis points compared to same quarter prior year and 33 basis points compared to first quarter 2022. The asset yield increased by 2 basis points compared to prior year to date, 26 basis points for second quarter compared to prior year second quarter and 32 basis points compared to first quarter 2022. Loan interest for 2021 included the impact of the PPP origination fees. Cost of funds decreased 4 basis points on a year to date basis, remained constant when comparing second quarter 2022 to prior year second quarter and decreased 1 basis point when comparing second quarter to first quarter 2022. Interest expense has been positively impacted with the time deposit and FHLB borrowing accretions resulting from the acquisitions as a reduction to interest expense. Further discussion of the balance sheet composition movements and the impact on the earnings can be viewed in the Material Results of Operations section that follows.</w:t>
      </w:r>
    </w:p>
    <w:p>
      <w:pPr>
        <w:spacing w:after="0" w:line="16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Net income improved 65.5% in comparing the first half of 2022 to the first half of 2021 and earnings per share increased 42.0% in the same comparison. The higher net income was mainly driven by higher interest income. Interest income on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year to date basis increased 33.6% or $11.5 million compared to 2021. Interest income included $776 thousand of net loan accretion income resulting from the acquisitions year to date and $403 thousand for second quarter. As mentioned previously, interest expense was offset by acquisition accretions for time deposits and FHLB borrowings which equaled $1.3 million year to date and $640 thousand for the quarter. Interest expense increased by 26.8% and $881 thousand on a year to date basis compared to first six months 2021 on 33.0% higher average balances in 2022. Provision expense decreased $133 thousand. Noninterest income decreased 15.0% or $1.4 million over the same period 2021. Decreased gain on sales of both 1-4 family mortgage loans and fixed rate agricultural loans along with gain on sale of available-for-sale securities were the biggest contributors. 1-4 family mortgage activity remains strong though has slowed compared to 2021 activity. We expect additional slowing in 2022 as refinancing has slowed, housing prices had increased, inventory of available homes is low due to quick turnover throughout most of the Bank’s market area due to the increase in interest rates. The Bank has increased the number of Home Loan Originators (HLOs) due to a larger footprint which we hope stabilizes the activity. Noninterest expenses increased $1.3 million or 5.1% with salaries and wages increasing $1.9 million.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worked diligently to manage during volatile times and the increase in our size and footprint has helped establish diversity of revenue streams and insulate our earnings. While we report and recognize the many one-time costs incurred by our strategic focus, we continue to realize the long-term benefits of our strategies. Our historical prudent approach to lending has continued to demonstrate its benefits in our credit quality. Past dues over 30 days as of June 30, 2022 were 0.20% of total loans outstanding. We continue to strengthen relationships with our customers, employees, shareholders and communities in support of our mission to “help people live their best lives.” The Company remains well capitalized and plans to continue in our strategic vision of expansion to be a $3 billion bank by the end of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subsidiaries are The Farmers &amp; Merchants State Bank (the “Bank”), a local independent community bank that has been primarily serving Northwest Ohio and Northeast Indiana since 1897, and Farmers &amp; Merchants Risk Management, Inc., a captive insurance company formed in December 2014 and located in Nevada. We report our financial condition and net income on a consolidated basis and we have only one segment.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 full-service banking offices throughout Northwest Ohio and Northeast Indiana and a drive-up facility in Archbold. The Bank also operates four Loan Production Offices (LPOs), two in Ohio and one in Indiana and Michigan.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primarily located in Northwest Ohio and Northeast Indiana, a substantial amount of the loan portfolio is comprised of loans made to customers in the farming industry for such items as farm 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in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quarter of 2021, the Bank saw an increase in fixed rate, long-term mortgage loans to our portfolio from that banking service area.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11" w:lineRule="exact"/>
        <w:rPr>
          <w:sz w:val="20"/>
          <w:szCs w:val="20"/>
          <w:color w:val="auto"/>
        </w:rPr>
      </w:pPr>
    </w:p>
    <w:p>
      <w:pPr>
        <w:ind w:left="640" w:hanging="27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ind w:left="640" w:hanging="272"/>
        <w:spacing w:after="0" w:line="23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ind w:left="640" w:hanging="272"/>
        <w:spacing w:after="0" w:line="23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ind w:left="640" w:hanging="272"/>
        <w:spacing w:after="0" w:line="23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ind w:left="640" w:hanging="27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 w:lineRule="exact"/>
        <w:rPr>
          <w:sz w:val="20"/>
          <w:szCs w:val="20"/>
          <w:color w:val="auto"/>
        </w:rPr>
      </w:pPr>
    </w:p>
    <w:p>
      <w:pPr>
        <w:ind w:left="1020" w:hanging="287"/>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Inventory:</w:t>
      </w:r>
    </w:p>
    <w:p>
      <w:pPr>
        <w:spacing w:after="0" w:line="8" w:lineRule="exact"/>
        <w:rPr>
          <w:sz w:val="20"/>
          <w:szCs w:val="20"/>
          <w:color w:val="auto"/>
        </w:rPr>
      </w:pPr>
    </w:p>
    <w:p>
      <w:pPr>
        <w:ind w:left="1020" w:hanging="28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ind w:left="1760" w:hanging="366"/>
        <w:spacing w:after="0" w:line="222" w:lineRule="auto"/>
        <w:tabs>
          <w:tab w:leader="none" w:pos="176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ind w:left="1000" w:hanging="267"/>
        <w:spacing w:after="0" w:line="23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ind w:left="1760" w:hanging="366"/>
        <w:spacing w:after="0" w:line="218" w:lineRule="auto"/>
        <w:tabs>
          <w:tab w:leader="none" w:pos="176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Maximum LTV of 50% on raw and finished goods.</w:t>
      </w:r>
    </w:p>
    <w:p>
      <w:pPr>
        <w:ind w:left="1000" w:hanging="267"/>
        <w:spacing w:after="0" w:line="23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ind w:left="1760" w:hanging="366"/>
        <w:spacing w:after="0" w:line="218" w:lineRule="auto"/>
        <w:tabs>
          <w:tab w:leader="none" w:pos="176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New/used vehicles to 100% of wholesale.</w:t>
      </w:r>
    </w:p>
    <w:p>
      <w:pPr>
        <w:ind w:left="1760" w:hanging="366"/>
        <w:spacing w:after="0" w:line="231" w:lineRule="auto"/>
        <w:tabs>
          <w:tab w:leader="none" w:pos="176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Equipment:</w:t>
      </w:r>
    </w:p>
    <w:p>
      <w:pPr>
        <w:spacing w:after="0" w:line="11" w:lineRule="exact"/>
        <w:rPr>
          <w:sz w:val="20"/>
          <w:szCs w:val="20"/>
          <w:color w:val="auto"/>
        </w:rPr>
      </w:pPr>
    </w:p>
    <w:p>
      <w:pPr>
        <w:ind w:left="1000" w:hanging="26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NTE 80% of invoice, used NTE 50% of listed book or 75% of appraised value.</w:t>
      </w:r>
    </w:p>
    <w:p>
      <w:pPr>
        <w:ind w:left="1000" w:hanging="267"/>
        <w:spacing w:after="0" w:line="234"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ind w:left="1000" w:hanging="26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Real Estate:</w:t>
      </w:r>
    </w:p>
    <w:p>
      <w:pPr>
        <w:ind w:left="1000" w:hanging="267"/>
        <w:spacing w:after="0" w:line="23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ind w:left="1000" w:hanging="26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Champaign, Defiance, Fulton, Hancock, Henry, Lucas, Williams, Wood and in the Indiana counties of Adams, Allen, DeKalb, Jay, Steuben and Wells. In our banking activities, we compete directly with other commercial banks, credit unions, farm credit services, and savings and loan institutions in each of our operating localities. In a number of our locations, we compete against entities which are much larger</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than us. The primary factors in competing for loans and deposits are the rates charged as well as location and quality of the services provided.</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we had 390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remains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spread of the Coronavirus (COVID-19) and resulting declaration of a world-wide pandemic have impacted the financial services industry and banking operations in the United States (US) and world-wide. The financial services sector is identified as a Critical Infrastructure Sector by the Department of Homeland Security during the COVID-19 response efforts. How basic business operations can be conducted has undergone a rapid and dramatic change. At the same time continuity of business operations involves promoting safety and security of customers and employees, providing a quality customer experience, and maintaining effective delivery systems and channels of communication. Regulatory guidance has been issued to manage and mitigate the unprecedented impact of the COVID-19 pandemic on business operations. Regulatory agencies promote prudent and practical efforts to assist customers and communities during this national emergency. Such assistance to alleviate the financial impact on affected customers involved modification of loan terms for existing borrowers, waiver of certain fees and charges, providing small dollar loans, and offering forbearance and payment deferrals on mortgage loan obligations due to financial hardship. Legislation enacted in March 2020 has provided the CARES Act. The CARES Act, among other matters, resulted in expansion of SBA Lending Programs; provided for a financial election to suspend GAAP principles and regulatory determinations for COVID-19 related loan modifications that would otherwise be deemed Troubled Debt Restructuring; gave the FDIC authority to establish a temporary Debt Guarantee Program for bank liabilities; delayed Current Expected Credit Losses (CECL) compliance; reduced the Community Bank Leverage Ratio to 8% to eliminate risk-based capital compliance for banks under $10 billion; required credit furnishers that agree to deferred loan payments, forbearance on a delinquent account, or any other relief during the national emergency to report accounts as current to Credit Reporting Agencies; and defined forbearance requirements and terms for single family and multi-family loans backed by federal government agencies or government sponsored entities due to COVID-19 financial hardship. Of immediate and significant importance was the rollout of the SBA Paycheck Protection Program (PPP). The PPP authorized lending of up to $350 billion in 100% guaranteed 7(a) loans to cover payroll costs, interest on mortgage payments, rent obligations, and utilities. The PPP provided a guaranteed loan for which a portion of the loan up to or equal to 8 weeks of covered payroll and specific operating expenses can be forgiven. The maximum loan size was capped at the lessor of 250% of the average monthly payroll costs or $10 million.</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legislation known as the Paycheck Protection Program and Health Care Enhancement Act provided additional funding to replenish and supplement key programs under the CARES Act. Included in this legislation was the extension of the PPP with an additional $320 billion in funding. At least $60 billion of this funding was to be set aside for small and midsize banks and community lenders. Since April, the SBA has issued various Interim Final Rules to supplement and clarify matters involving the PPP. The Paycheck Protection Program Flexibility Act of 2020 (PPPFA) was enacted in early June 2020. This provided more flexibility to Borrowers regarding use of PPP loan funds. Certain provisions were retroactive to the date of the CARES Act and all PPP loans. Among these provisions were the extension of the covered period of the loan, extension of the forgiveness period, deferral of payments based on the loan forgiveness period, reduction in the minimum that must be spent for payroll costs, extended date by which employees must be rehired, and removal of restrictions on payroll tax deferral. The term for subsequent PPO loans made after enactment of the PPPFA was extended to five years from two. A primary focus is now directed to aiding PPP borrowers in navigating the loan forgiveness process.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FFCRA requirements to provide paid leave to employees ended on December 31, 2020. Due to the extended duration of the COVID-19 pandemic, employers subject to FFCRA could voluntarily extend the paid leave option until March 31, 2021. If the employer has elected to voluntarily apply the FFCRA extension, employees eligible for leave in 2020 and did not use the leave may take the leave in 2021. Under the American Rescue Plan of 2021 enacted in March 2021, for those employers who voluntarily extend the paid leave option, paid leave was reset starting April 1, 2021. If employees previously exhausted their paid leave under FFCRA, they may be entitled to an additional 10 days/80 hours for use. Additionally, the PPP was reauthorized with passage of the Economic Aid to Hard-Hit Small Businesses, Nonprofits, and Venues Act. It was originally</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intended to run through March 31, 2021 and was subsequently extended to May 31, 2021. Under the new legislation, $284 billion in funding for first and second-time PPP loan borrowers was provided to the SBA. Three categories of businesses are eligible to apply for PPP: 1) qualified business that did not receive a PPP loan during the first funding round; 2) previous PPP loan recipients who need a second loan and meet certain criteria; previous PPP loan recipients who returned all or a portion of their original loans and want to apply to additional funding. To be eligible, any business applying for PPP must have been in operation since at least February 15, 2020. Specific eligibility criteria apply to first-time PPP borrowers and previous PPP loan recipients. For 2021, PPP provides expanded coverage for expenditures in addition to covered payroll and specific operating expenses. For second-time loan recipients, the maximum loan amount was reduced from $10 million to $2 million. A loan recipient is eligible for full loan forgiveness if at least 60% of the loan amount is spent on payroll costs. Funds must be spent over a covered period of the loan recipients’ choosing between eight and 24 weeks after loan origination to be eligible for forgiveness. Depending on the continued duration of COVID-19 spread, further legislation and regulatory guidance may continue due to the economic impact on customers, businesses, communities, and industry sectors.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Coronavirus Response and Relief Supplemental Appropriations Act, passed by Congress in December 2020, extended certain provisions of the CARES Act affecting the Company into 2021. Key banking provisions under this legislation include the following:</w:t>
      </w:r>
    </w:p>
    <w:p>
      <w:pPr>
        <w:spacing w:after="0" w:line="121" w:lineRule="exact"/>
        <w:rPr>
          <w:sz w:val="20"/>
          <w:szCs w:val="20"/>
          <w:color w:val="auto"/>
        </w:rPr>
      </w:pPr>
    </w:p>
    <w:p>
      <w:pPr>
        <w:ind w:left="740" w:right="20" w:hanging="372"/>
        <w:spacing w:after="0" w:line="261"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additional $284.6 billion in Paycheck Protection Program (PPP) funding for loans to small businesses, including for borrowers who have previously received a PPP loan.</w:t>
      </w:r>
    </w:p>
    <w:p>
      <w:pPr>
        <w:ind w:left="740" w:hanging="372"/>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one-page simplified forgiveness process for PPP loans under $150,000.</w:t>
      </w:r>
    </w:p>
    <w:p>
      <w:pPr>
        <w:spacing w:after="0" w:line="9" w:lineRule="exact"/>
        <w:rPr>
          <w:rFonts w:ascii="Times New Roman" w:cs="Times New Roman" w:eastAsia="Times New Roman" w:hAnsi="Times New Roman"/>
          <w:sz w:val="18"/>
          <w:szCs w:val="18"/>
          <w:color w:val="auto"/>
        </w:rPr>
      </w:pPr>
    </w:p>
    <w:p>
      <w:pPr>
        <w:ind w:left="740" w:hanging="372"/>
        <w:spacing w:after="0" w:line="250"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to various CARES Act provisions, the tax treatment of PPP expenses, lender responsibilities for agent fees, and lender “hold harmless” protections under the PPP and other laws.</w:t>
      </w:r>
    </w:p>
    <w:p>
      <w:pPr>
        <w:jc w:val="both"/>
        <w:ind w:left="740" w:hanging="372"/>
        <w:spacing w:after="0" w:line="250"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delay in Troubled Debt Restructuring (TDR) accounting until 60 days after the termination of the national emergency, or January 1, 2022. During third quarter 2021, there was one loan modification for $3.1 million that would have been previously treated as TDR under the guidance in ASC 310-40.</w:t>
      </w:r>
    </w:p>
    <w:p>
      <w:pPr>
        <w:spacing w:after="0" w:line="1"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optional delay in Current Expected Credit Loss (CECL) accounting until January 1, 2022.</w:t>
      </w:r>
    </w:p>
    <w:p>
      <w:pPr>
        <w:spacing w:after="0" w:line="9" w:lineRule="exact"/>
        <w:rPr>
          <w:rFonts w:ascii="Times New Roman" w:cs="Times New Roman" w:eastAsia="Times New Roman" w:hAnsi="Times New Roman"/>
          <w:sz w:val="18"/>
          <w:szCs w:val="18"/>
          <w:color w:val="auto"/>
        </w:rPr>
      </w:pPr>
    </w:p>
    <w:p>
      <w:pPr>
        <w:ind w:left="740" w:hanging="372"/>
        <w:spacing w:after="0" w:line="250"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round of Economic Impact Payments (EIPs) for consumers, with aggressive distribution timelines and new exemptions from garnishments.</w:t>
      </w:r>
    </w:p>
    <w:p>
      <w:pPr>
        <w:ind w:left="740" w:hanging="372"/>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added support for Community Development Financial Institutions (CDFIs) and Minority Depository Institutions (MDIs).</w:t>
      </w:r>
    </w:p>
    <w:p>
      <w:pPr>
        <w:spacing w:after="0" w:line="9" w:lineRule="exact"/>
        <w:rPr>
          <w:rFonts w:ascii="Times New Roman" w:cs="Times New Roman" w:eastAsia="Times New Roman" w:hAnsi="Times New Roman"/>
          <w:sz w:val="18"/>
          <w:szCs w:val="18"/>
          <w:color w:val="auto"/>
        </w:rPr>
      </w:pPr>
    </w:p>
    <w:p>
      <w:pPr>
        <w:ind w:left="740" w:hanging="372"/>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for agricultural support programs and for renter assistance programs.</w:t>
      </w:r>
    </w:p>
    <w:p>
      <w:pPr>
        <w:spacing w:after="0" w:line="9" w:lineRule="exact"/>
        <w:rPr>
          <w:rFonts w:ascii="Times New Roman" w:cs="Times New Roman" w:eastAsia="Times New Roman" w:hAnsi="Times New Roman"/>
          <w:sz w:val="18"/>
          <w:szCs w:val="18"/>
          <w:color w:val="auto"/>
        </w:rPr>
      </w:pPr>
    </w:p>
    <w:p>
      <w:pPr>
        <w:ind w:left="740" w:hanging="372"/>
        <w:spacing w:after="0" w:line="260"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Federal Reserve emergency lending authority under the CARES Act, while preserving the Fed’s general 13(3) emergency authority existing prior to that Act.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new Qualified Mortgage (QM) Definition rules were issued by the Consumer Financial Protection Bureau. One set of rules revised the General QM definition and another set added the definition of a Seasoned QM Loan. Both QM Loan rules had an effective date of March 1, 2021. The revised General QM rule replaced the General QM loans definition of a 43% debt-to-income (DTI) limit with a focus on the loan pricing and whether the Annual Percentage Rate exceeds the average prime offer rate by less than 2.25 percentage points. Compliance with the revised General QM Loan rule had a mandatory compliance date of July 1, 2021. The existing Temporary Government Sponsored Entity (GSE) QM option was set to expire as of the mandatory compliance date for the revised General QM Rule. Subsequently, the CFPB issued a final rule published in the Federal Register on April 30, 2021 which delayed and extended the mandatory compliance date for the revised General QM rule to October 1, 2022. At the present time, the Company has the option to comply with either the original DTI-based General QM Loan definition or the revised price-based new General QM Loan definition. Since the Company sells fixed rate consumer mortgage loans to the Federal Home Loan Mortgage Corporation, it must remain attentive to their current loan underwriting requirements and how they evolve in the extended interim period.</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18"/>
          <w:szCs w:val="18"/>
          <w:color w:val="auto"/>
        </w:rPr>
        <w:t>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income from operations of foreclosed real estate held for sale is reported either in noninterest income or noninterest expense depending upon whether the property is in a gain or loss position overall. At June 30, 2022 there were no OREO property holdings. OREO totaled $159 thousand and $198 thousand as of December 31, 2021 and June 30, 2021 respectively.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Inherent in most estimates is imprecision. The Bank’s ALLL may include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 For more information regarding the estimates and calculations used to establish the ALLL please see Note 4 to the consolidated financial statements provided herewith.</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is also required to estimate the value of its mortgage servicing rights. The Bank’s mortgage servicing rights relating to fixed rate single-family mortgage loans that it has sold without recourse but services for others for a fee represent an asset on the Bank’s balance sheet. The valuation is completed by an independent third party.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Bank’s mortgage servicing rights relating to loans serviced for others represent an asset. This asset is initially capitalized and included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6" w:name="page57"/>
    <w:bookmarkEnd w:id="56"/>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stratum,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plans to continue in its growth mode in 2022 led by loan growth from within our newer markets. The Bank is focused on funding the loan growth with the least expensive source of deposits, sale of securities or borrowings. Growing deposits will also be a focus especially in our newer markets. The Bank offers the Insured Cash Sweep (“ICS”) product accessed through the Promontory network of financial institutions which helps to reduce the amount of pledged securities. This has provided more availability for runoff of securities by the Bank if warranted to fund loan growth.</w:t>
      </w:r>
    </w:p>
    <w:p>
      <w:pPr>
        <w:spacing w:after="0" w:line="1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Liquidity in terms of cash and cash equivalents ended $109.4 million lower as of June 30, 2022 than it was at yearend December 31, 2021. Prior year’s excess liquidity along with an increase in deposits of $30.6 million helped to fund the $175.2 million increase in net loans since year end 2021. All loan portfolios with the exception of the consumer and other portfolios increased compared to December 31, 2021 with the largest increase in the commercial real estate portfolio.</w:t>
      </w:r>
    </w:p>
    <w:p>
      <w:pPr>
        <w:spacing w:after="0" w:line="15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In comparing to the same prior year period, the June 30, 2022 (net of deferred fees and cost) loan balances of approximately $2.0 billion accounted for $576.4 million or 39.5% increase when compared to 2021’s $1.5 billion. The year over year improvement was made up of a combined increase of 50.7% in commercial and industrial related loans (comprised of 41.7% in commercial real estate loans and 9.0% in non-real estate commercial loans). PPP loans of approximately $8 thousand and $47.1 million are included in the non-real estate commercial portfolio as of June 30, 2022 and June 30, 2021, respectively. Consumer real estate loans increased by 111.0% and other loans by 130.6%. Consumer loans decreased by 1.6%. Agricultural related loans increased 31.6% year over year (comprised of 5.4% in agricultural real estate and 26.2% in non-real estate agricultural loans). The Company credits the growth not only to the OFSI and PFSB acquisitions but also to the strong team of lenders focused on providing customers valuable localized services and thereby increasing our market share.</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chart below shows the breakdown of the loan portfolio category as of June 30, for the last three years, net of deferred fees and costs.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June 30, 2022</w:t>
            </w: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June 30, 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June 30, 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410,468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232,881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Loans, net of deferred fees and costs</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1,458,423</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bottom w:val="single" w:sz="8" w:color="CFF0FC"/>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18"/>
          <w:szCs w:val="18"/>
          <w:color w:val="auto"/>
        </w:rPr>
        <w:t>The following is a contractual maturity schedule by major category of loans excluding fair value adjustments as of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After One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Within</w:t>
            </w:r>
          </w:p>
        </w:tc>
        <w:tc>
          <w:tcPr>
            <w:tcW w:w="26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 Within</w:t>
            </w:r>
          </w:p>
        </w:tc>
        <w:tc>
          <w:tcPr>
            <w:tcW w:w="34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After</w:t>
            </w:r>
          </w:p>
        </w:tc>
      </w:t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One Year</w:t>
            </w:r>
          </w:p>
        </w:tc>
        <w:tc>
          <w:tcPr>
            <w:tcW w:w="26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Five Years</w:t>
            </w:r>
          </w:p>
        </w:tc>
        <w:tc>
          <w:tcPr>
            <w:tcW w:w="34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Five Years</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191,897</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643,569</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92,114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57,302</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29,553</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for the last three years, additional sources have been cultivated during 2020, 2021, and 2022. The security portfolio decreased $30.2 million in the first six months of 2022 from year end 2021 due to an increase of gross unrealized losses of $35.5 million. The security portfolio decreased $7.8 million from June 2021 due to an increase of gross unrealized losses of $40.5 million. The amount of pledged investment securities increased by $15.0 million as compared to year end and $51.6 million as compared to June 30, 2021. Liquidity is improved with the additional option of selling unpledged investment securities if needed to fund loan growth or other initiatives. As of June 30, 2022, pledged investment securities totaled $130.0 million. The current portfolio is in a net unrealized loss position of $39.6 million.</w:t>
      </w:r>
    </w:p>
    <w:p>
      <w:pPr>
        <w:spacing w:after="0" w:line="14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the Bank, an additional $68.3 million is also available from the Federal Home Loan Bank based on current amounts of pledged collateral. At the present time, only 1-4 family and home equity portfolios are pledged. Additional borrowings would be available if additional portfolios (i.e. commercial real estate) were pledged.</w:t>
      </w:r>
    </w:p>
    <w:p>
      <w:pPr>
        <w:spacing w:after="0" w:line="14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 The Company used the net proceeds from the Offering for general corporate purposes, including financing acquisitions and organic growth.</w:t>
      </w:r>
    </w:p>
    <w:p>
      <w:pPr>
        <w:spacing w:after="0" w:line="14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is due quarterly and accrues at a rate 2.50% per annum with reporting and capital covenants included. The structure of the acquisition required all accounting of the transaction to be recorded at the Bank level as Perpetual did not have a holding company. Therefore, the Company advanced funds from the Bank to the Company to facilitate payoff of the term note. The term note and the line of credit balance were paid off in the second quarter of 2022. The line of credit remains open for future liquidity needs.</w:t>
      </w:r>
    </w:p>
    <w:p>
      <w:pPr>
        <w:spacing w:after="0" w:line="14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Management feels confident that liquidity needs for future growth can be met through additional maturities and/or sales from the security portfolio, increased deposits and additional borrowings. For short term needs, the Bank has $69 million of unsecured borrowing capacity through its correspondent banks as of June 30, 2022 and June 30, 2021. The Bank also had access to $130.4 million and $94.2 million through a Cash Management Advance with the Federal Home Loan Bank as of June 30, 2022 and June 30, 2021, respectively.</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Overall total assets increased 1.4% since year end 2021 and grew 23.4% since June 30, 2021. The largest growth in both periods was in the loan portfolios. Securities and goodwill also increased significantly compared to June 30, 2021. Refer to Note 2 for information on assets acquired from OFSI and PFSB.</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Federal Home Loan Bank advances accounted for the largest growth within liabilities, up 77.2% or $18.6 million since year end and 138.6% or $24.8 million over June 30, 2021 balances. Deposits also experienced growth, up 1.4% or $30.6 million since year end 2021 and 20.0% or $370 million over June 30, 2021. Refer to Note 2 for information on liabilities acquired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from OFSI and PFSB. The growth of deposits correlated to a flight to safety as the stock market continues to experience some volatility. Core deposits continue to drive the increase which provide the opportunity to generate additional noninterest income. This growth aided the Company’s liquidity position and helped to fund the loan growth for the periods along with usage of Federal Home Loan Bank advances and federal funds purchased.</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equity decreased by $16.3 million as of the second quarter of 2022 compared to year end 2021. Earnings exceeded dividend declarations during the six months ended June 30, 2022. Accumulated other comprehensive loss increased in unrealized loss position by $28.1 million from December 2021 to an unrealized loss of $31.3 million on June 30, 2022. The increase in unrealized loss position has no impact on regulatory tangible book price. The available-for-sale security portfolio is used as a protection to falling rates. If there is an unrealized loss in our security portfolio due to rising interest rates, it bodes well for our adjustable rate loan portfolio and new loan production to price up. Dividends declared increased over the previous quarter by $0.0125 per share to $0.2025 per share from $0.19 per share. Compared to June 30, 2021, shareholders’ equity increased 12.1% or $30.3 million mostly attributable to the issuance of stock in the Perpetual acquisition as discussed in Note 2. Profits were higher year to date June 2022 than year to date June 2021 by $6.5 million.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The total buffer requirement increased to 2.5% for calendar year 2019. As of June 30, 2022, the Company and the Bank are both positioned well above the 2019 requirement.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Holding Company has sufficient liquidity to maintain its dividend policy without relying on the upstreaming of dividends from the Bank.</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June 30, 2022 in accordance with Federal regulatory capital requirements as the capital ratios below show:</w:t>
      </w:r>
    </w:p>
    <w:p>
      <w:pPr>
        <w:spacing w:after="0" w:line="207" w:lineRule="exact"/>
        <w:rPr>
          <w:sz w:val="20"/>
          <w:szCs w:val="20"/>
          <w:color w:val="auto"/>
        </w:rPr>
      </w:pPr>
    </w:p>
    <w:tbl>
      <w:tblPr>
        <w:tblLayout w:type="fixed"/>
        <w:tblInd w:w="1500" w:type="dxa"/>
        <w:tblCellMar>
          <w:top w:w="0" w:type="dxa"/>
          <w:left w:w="0" w:type="dxa"/>
          <w:bottom w:w="0" w:type="dxa"/>
          <w:right w:w="0" w:type="dxa"/>
        </w:tblCellMar>
      </w:tblP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comparing second quarter 2022 to second quarter 2021, average loan balances with the acquisitions of OFSI and PFSB grew $579.8 million with average quarterly PPP loans decreasing $52.8 million. This represented a 40.8% increase in a one-year time period. Interest income on loan balances experienced an increase of $6.1 million as compared to the quarter ended June 30, 2021. This increase was primarily the result of the significant growth in the end of period loan balances between periods, 19.7% of which was directly attributable to the Company’s recent acquisitions and 19.9% of which was due to organic loan growth within the Bank’s broader markets. Net fee income for the PPP loans was recognized on a straight line basis over 24 months for the first draw and 60 months for the second draw and was accelerated upon payoff. PPP loan balances at the end of June 2022 were $8 thousand compared to $47.1 million at the end of June 2021. PPP loan income for the quarter included interest income of $0.3 thousand and net fee income of $9.8 thousand compared to $134.7 thousand of loan interest income and $615.4 thousand of net fee income for 2021.</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$59.4 million when comparing to the previous year while the income increased $237 thousand over second quarter. Federal funds sold and interest-bearing deposits decreased in average balances by $106.5 million as compared to the same quarter in 2021 with increased income of $15 thousand for the current quarter. Refer to Note 2 Business Combination and Asset Purchase for information on assets acquired from OFSI and PFSB.</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$532.7 million and interest income for the quarter comparisons was higher for second quarter 2022 by 36.4% or $6.4 million as compared to second quarter 2021. Increases in the prime lending rate between periods has contributed to an increase in rate yield.</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59" w:name="page60"/>
    <w:bookmarkEnd w:id="59"/>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Annualized yield, for the quarter ended June 30, 2022, was 3.79% as compared to 3.53% for the quarter ended June 30, 2021. The following charts demonstrate the value of increased loan balances in the balance sheet mix, as well as the impact on the changes in interest rates. The yields on tax-exempt securities and the portion of the tax-exempt IDB loans included in loans have been tax adjusted based on a 21% tax rate in the charts to follow.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center"/>
              <w:ind w:left="270"/>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Quarter to Date Ended June 30, 2022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2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23"/>
        </w:trPr>
        <w:tc>
          <w:tcPr>
            <w:tcW w:w="36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June 30, 2021</w:t>
            </w:r>
          </w:p>
        </w:tc>
        <w:tc>
          <w:tcPr>
            <w:tcW w:w="180" w:type="dxa"/>
            <w:vAlign w:val="bottom"/>
            <w:tcBorders>
              <w:bottom w:val="single" w:sz="8" w:color="CFF0FC"/>
            </w:tcBorders>
          </w:tcPr>
          <w:p>
            <w:pPr>
              <w:spacing w:after="0"/>
              <w:rPr>
                <w:sz w:val="19"/>
                <w:szCs w:val="19"/>
                <w:color w:val="auto"/>
              </w:rPr>
            </w:pPr>
          </w:p>
        </w:tc>
      </w:tr>
      <w:tr>
        <w:trPr>
          <w:trHeight w:val="223"/>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1,999,357</w:t>
            </w: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36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r>
        <w:trPr>
          <w:trHeight w:val="223"/>
        </w:trPr>
        <w:tc>
          <w:tcPr>
            <w:tcW w:w="36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114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500" w:type="dxa"/>
            <w:vAlign w:val="bottom"/>
            <w:gridSpan w:val="19"/>
          </w:tcPr>
          <w:p>
            <w:pPr>
              <w:ind w:left="1780"/>
              <w:spacing w:after="0"/>
              <w:rPr>
                <w:sz w:val="20"/>
                <w:szCs w:val="20"/>
                <w:color w:val="auto"/>
              </w:rPr>
            </w:pPr>
            <w:r>
              <w:rPr>
                <w:rFonts w:ascii="Times New Roman" w:cs="Times New Roman" w:eastAsia="Times New Roman" w:hAnsi="Times New Roman"/>
                <w:sz w:val="18"/>
                <w:szCs w:val="18"/>
                <w:color w:val="auto"/>
              </w:rPr>
              <w:t>Change in Interest Income Quarter to Date June 30, 2022 Compared to June 30, 2021</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3"/>
        </w:trPr>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5"/>
        </w:trPr>
        <w:tc>
          <w:tcPr>
            <w:tcW w:w="1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4"/>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40" w:type="dxa"/>
            <w:vAlign w:val="bottom"/>
          </w:tcPr>
          <w:p>
            <w:pPr>
              <w:spacing w:after="0"/>
              <w:rPr>
                <w:sz w:val="17"/>
                <w:szCs w:val="17"/>
                <w:color w:val="auto"/>
              </w:rPr>
            </w:pPr>
          </w:p>
        </w:tc>
        <w:tc>
          <w:tcPr>
            <w:tcW w:w="1460" w:type="dxa"/>
            <w:vAlign w:val="bottom"/>
            <w:gridSpan w:val="6"/>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120" w:type="dxa"/>
            <w:vAlign w:val="bottom"/>
            <w:gridSpan w:val="2"/>
          </w:tcPr>
          <w:p>
            <w:pPr>
              <w:spacing w:after="0"/>
              <w:rPr>
                <w:sz w:val="17"/>
                <w:szCs w:val="17"/>
                <w:color w:val="auto"/>
              </w:rPr>
            </w:pPr>
          </w:p>
        </w:tc>
      </w:tr>
      <w:tr>
        <w:trPr>
          <w:trHeight w:val="234"/>
        </w:trPr>
        <w:tc>
          <w:tcPr>
            <w:tcW w:w="36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Interest Earning Assets:</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Change</w:t>
            </w:r>
          </w:p>
        </w:tc>
        <w:tc>
          <w:tcPr>
            <w:tcW w:w="60" w:type="dxa"/>
            <w:vAlign w:val="bottom"/>
          </w:tcPr>
          <w:p>
            <w:pPr>
              <w:spacing w:after="0"/>
              <w:rPr>
                <w:sz w:val="20"/>
                <w:szCs w:val="20"/>
                <w:color w:val="auto"/>
              </w:rPr>
            </w:pPr>
          </w:p>
        </w:tc>
        <w:tc>
          <w:tcPr>
            <w:tcW w:w="14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6"/>
              </w:rPr>
              <w:t>to Volume</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to Rate</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24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6,129</w:t>
            </w:r>
          </w:p>
        </w:tc>
        <w:tc>
          <w:tcPr>
            <w:tcW w:w="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6,643</w:t>
            </w:r>
          </w:p>
        </w:tc>
        <w:tc>
          <w:tcPr>
            <w:tcW w:w="560" w:type="dxa"/>
            <w:vAlign w:val="bottom"/>
            <w:tcBorders>
              <w:top w:val="single" w:sz="8" w:color="auto"/>
            </w:tcBorders>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4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20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4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0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6,778</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Offsetting the higher interest income for the quarter was an increase in interest expense in 2022 of $493 thousand or 31.7% compared to second quarter 2021. Since 2021, average interest-bearing deposit balances have increased $374.1 million or 27.2% and the Company recognized $103 thousand more in interest expense for the most recent quarter. The prime rate dropped 150 basis points in March of 2020 and management adjusted deposit rates accordingly. March 2022 saw the first rate change since 2020 with an increase of 25 basis points which was followed by increases of 50 and 75 basis points in May and June respectively. Interest expense on FHLB borrowings and other borrowings increased $103 thousand in the second quarter 2022 over the same time frame in 2021 due to borrowings taken on from the Perpetual acquisition and new FHLB borrowings of $20 million in May 2022 used to fund loan growth. Interest expense on fed funds purchased and securities sold under agreement to repurchase increased $3 thousand compared to second quarter 2021. Interest expense on subordinated notes was $284 thousand for the most recent quarter. Refer to Note 8 for additional information on subordinated notes. Liabilities assumed from OFSI and PFSB can be seen in Note 2.</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center"/>
              <w:ind w:left="23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Quarter to Date Ended June 30, 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4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June 30, 2021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1,312,444</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1,856,476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CFF0FC"/>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tbl>
      <w:tblPr>
        <w:tblLayout w:type="fixed"/>
        <w:tblInd w:w="380" w:type="dxa"/>
        <w:tblCellMar>
          <w:top w:w="0" w:type="dxa"/>
          <w:left w:w="0" w:type="dxa"/>
          <w:bottom w:w="0" w:type="dxa"/>
          <w:right w:w="0" w:type="dxa"/>
        </w:tblCellMar>
      </w:tblPr>
      <w:tr>
        <w:trPr>
          <w:trHeight w:val="207"/>
        </w:trPr>
        <w:tc>
          <w:tcPr>
            <w:tcW w:w="8040" w:type="dxa"/>
            <w:vAlign w:val="bottom"/>
            <w:gridSpan w:val="10"/>
          </w:tcPr>
          <w:p>
            <w:pPr>
              <w:ind w:left="1760"/>
              <w:spacing w:after="0"/>
              <w:rPr>
                <w:sz w:val="20"/>
                <w:szCs w:val="20"/>
                <w:color w:val="auto"/>
              </w:rPr>
            </w:pPr>
            <w:r>
              <w:rPr>
                <w:rFonts w:ascii="Times New Roman" w:cs="Times New Roman" w:eastAsia="Times New Roman" w:hAnsi="Times New Roman"/>
                <w:sz w:val="18"/>
                <w:szCs w:val="18"/>
                <w:color w:val="auto"/>
              </w:rPr>
              <w:t>Change in Interest Expense Quarter to Date June 30, 2022 Compared to June 30, 2021</w:t>
            </w:r>
          </w:p>
        </w:tc>
        <w:tc>
          <w:tcPr>
            <w:tcW w:w="940" w:type="dxa"/>
            <w:vAlign w:val="bottom"/>
          </w:tcPr>
          <w:p>
            <w:pPr>
              <w:spacing w:after="0"/>
              <w:rPr>
                <w:sz w:val="17"/>
                <w:szCs w:val="17"/>
                <w:color w:val="auto"/>
              </w:rPr>
            </w:pPr>
          </w:p>
        </w:tc>
      </w:tr>
      <w:tr>
        <w:trPr>
          <w:trHeight w:val="493"/>
        </w:trPr>
        <w:tc>
          <w:tcPr>
            <w:tcW w:w="176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5"/>
        </w:trPr>
        <w:tc>
          <w:tcPr>
            <w:tcW w:w="17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7"/>
                <w:szCs w:val="17"/>
                <w:color w:val="auto"/>
              </w:rPr>
            </w:pPr>
          </w:p>
        </w:tc>
        <w:tc>
          <w:tcPr>
            <w:tcW w:w="1140" w:type="dxa"/>
            <w:vAlign w:val="bottom"/>
            <w:gridSpan w:val="3"/>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Change Due</w:t>
            </w:r>
          </w:p>
        </w:tc>
      </w:tr>
      <w:tr>
        <w:trPr>
          <w:trHeight w:val="234"/>
        </w:trPr>
        <w:tc>
          <w:tcPr>
            <w:tcW w:w="5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to Volume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 Rate</w:t>
            </w:r>
          </w:p>
        </w:tc>
      </w:tr>
      <w:tr>
        <w:trPr>
          <w:trHeight w:val="223"/>
        </w:trPr>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4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40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0"/>
        </w:trPr>
        <w:tc>
          <w:tcPr>
            <w:tcW w:w="1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net interest spread for the second quarter 2022 was 26 basis points higher than last year. As the following chart indicates, the improvement in yields on interest earning assets was solely responsible for the increase in net interest spread as cost of funds remained constant when comparing to the same period a year ago.</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June 30, 2022</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June 30, 2021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June 30, 2020</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4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4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4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increased $5.9 million for the second quarter 2022 over the same time frame in 2021 with the increase in interest income of $6.4 million offset by the higher interest expense of $493 thousand, as previously mentioned. As the new loans added in 2021 and 2022 generate more income, management expects the benefits of the Company’s strategy of repositioning the balance sheet to continue to increase net interest income. In terms of net interest margin rate, the Bank recognizes competition for deposits may again increase and put pressure on the margin which may lead to a tightening.</w:t>
      </w:r>
    </w:p>
    <w:p>
      <w:pPr>
        <w:spacing w:after="0" w:line="152" w:lineRule="exact"/>
        <w:rPr>
          <w:sz w:val="20"/>
          <w:szCs w:val="20"/>
          <w:color w:val="auto"/>
        </w:rPr>
      </w:pPr>
    </w:p>
    <w:p>
      <w:pPr>
        <w:ind w:right="248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Noninterest Results of Operations for three month periods ended June 30, 2022 and 2021 </w:t>
      </w:r>
      <w:r>
        <w:rPr>
          <w:rFonts w:ascii="Times New Roman" w:cs="Times New Roman" w:eastAsia="Times New Roman" w:hAnsi="Times New Roman"/>
          <w:sz w:val="18"/>
          <w:szCs w:val="18"/>
          <w:b w:val="1"/>
          <w:bCs w:val="1"/>
          <w:color w:val="auto"/>
        </w:rPr>
        <w:t>Provision Expense</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Loan and Lease Losses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consumer loan portfolio accounted for the largest component of charge-offs and recoveries for second quarter of 2022 and 2021. The commercial real estate portfolio is currently creating a large impact on the ALLL due to the loan growth.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provision for loan losses was $987 thousand higher for the second quarter 2022 as compared to the same quarter 2021. Provision for loan loss has stabilized beginning in third quarter of 2021 and the provision expense for the second quarter of 2022 was adequate. There is still some lingering uncertainty regarding COVID-19; therefore, it is prudent to incorporate the impact of COVID-19 in the evaluation of the adequacy of ALLL. The restaurant and hospitality sectors have been hit especially hard. Risk in the Consumer and 1-4 Family Portfolio has also increased. Management continues to monitor asset quality, making adjustments to the provision as necessary. The impact of higher interest rates and inflation will be taken into consideration when reviewing qualitative factors. Loan charge-offs were $79 thousand higher in second quarter 2022 than the same quarter 2021. Recoveries were $83 thousand higher in second quarter 2022 as compared to second quarter 2021. Combined net charge-offs were $4 thousand lower in second quarter 2022 than the same time period 2021.</w:t>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Past due loans, which include no deferrals related to COVID-19, increased $2.4 million at June 30, 2022 as compared to June 30, 2021. The largest changes were attributed to the increase of past due balances in the agricultural real estate portfolio and consumer real estate portfolio.</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67" w:right="339" w:bottom="1440" w:gutter="0" w:footer="0" w:header="0"/>
        </w:sectPr>
      </w:pPr>
    </w:p>
    <w:bookmarkStart w:id="61" w:name="page62"/>
    <w:bookmarkEnd w:id="61"/>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2022,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June 30, 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June 30, 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 2020</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1,458,423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1,999,357</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1,419,531</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1,321,405</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 January 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80" w:type="dxa"/>
            <w:vAlign w:val="bottom"/>
          </w:tcPr>
          <w:p>
            <w:pPr>
              <w:spacing w:after="0"/>
              <w:rPr>
                <w:sz w:val="19"/>
                <w:szCs w:val="19"/>
                <w:color w:val="auto"/>
              </w:rPr>
            </w:pPr>
          </w:p>
        </w:tc>
        <w:tc>
          <w:tcPr>
            <w:tcW w:w="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Charged off:</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 Recoveries: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Charge Offs: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Provision for loan loss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Acquisition provision for loan loss</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&amp; Lease Losses - June 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 - June 30,</w:t>
            </w:r>
          </w:p>
        </w:tc>
        <w:tc>
          <w:tcPr>
            <w:tcW w:w="3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Allowance for Credit Losses - June 30,</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192"/>
        </w:trPr>
        <w:tc>
          <w:tcPr>
            <w:tcW w:w="432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Ratio of the Allowance for Loan &amp; Lease Losses</w:t>
            </w:r>
          </w:p>
        </w:tc>
        <w:tc>
          <w:tcPr>
            <w:tcW w:w="3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Loans</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Ratio of the Allowance for Loan &amp; Lease Losses to</w:t>
            </w: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Nonaccrual Loans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351.44%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214.58%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117.24%</w:t>
            </w:r>
          </w:p>
        </w:tc>
        <w:tc>
          <w:tcPr>
            <w:tcW w:w="0" w:type="dxa"/>
            <w:vAlign w:val="bottom"/>
          </w:tcPr>
          <w:p>
            <w:pPr>
              <w:spacing w:after="0"/>
              <w:rPr>
                <w:sz w:val="1"/>
                <w:szCs w:val="1"/>
                <w:color w:val="auto"/>
              </w:rPr>
            </w:pPr>
          </w:p>
        </w:tc>
      </w:tr>
      <w:tr>
        <w:trPr>
          <w:trHeight w:val="192"/>
        </w:trPr>
        <w:tc>
          <w:tcPr>
            <w:tcW w:w="432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Ratio of the Allowance for Loan &amp; Lease Losses to</w:t>
            </w:r>
          </w:p>
        </w:tc>
        <w:tc>
          <w:tcPr>
            <w:tcW w:w="3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351.44%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117.24%</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40" w:right="2100" w:hanging="4790"/>
        <w:spacing w:after="0" w:line="532" w:lineRule="auto"/>
        <w:tabs>
          <w:tab w:leader="none" w:pos="11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are defined as all loans on nonaccrual, plus any loans 90 days past due not on nonaccrual.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of a loan, whether partial loan balance or full loan balance. The Bank is also following the guidelines established under the CARES Act.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6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Loans classified as nonaccrual were lower as of June 30, 2022 at $5.2 million as compared to $7.0 million as of June 30, 2021. The consumer real estate portfolio decreased $68 thousand while the commercial real estate portfolio decreased $504 thousand. The agricultural real estate decreased $3.0 million as compared to June 30, 2021 while the agricultural portfolio increased $1.2 million for the same period of comparison.</w:t>
      </w:r>
    </w:p>
    <w:p>
      <w:pPr>
        <w:spacing w:after="0" w:line="135"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3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balances for allowance for loan losses by loan type at six months ended June 30, 2022 and June 30,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19"/>
                <w:szCs w:val="19"/>
                <w:color w:val="auto"/>
              </w:rPr>
            </w:pPr>
          </w:p>
        </w:tc>
      </w:tr>
      <w:tr>
        <w:trPr>
          <w:trHeight w:val="234"/>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June 30, 2022</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June 30, 2021</w:t>
            </w:r>
          </w:p>
        </w:tc>
        <w:tc>
          <w:tcPr>
            <w:tcW w:w="1460" w:type="dxa"/>
            <w:vAlign w:val="bottom"/>
          </w:tcPr>
          <w:p>
            <w:pPr>
              <w:spacing w:after="0"/>
              <w:rPr>
                <w:sz w:val="20"/>
                <w:szCs w:val="20"/>
                <w:color w:val="auto"/>
              </w:rPr>
            </w:pPr>
          </w:p>
        </w:tc>
      </w:tr>
      <w:tr>
        <w:trPr>
          <w:trHeight w:val="205"/>
        </w:trPr>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jc w:val="right"/>
              <w:ind w:right="230"/>
              <w:spacing w:after="0" w:line="205" w:lineRule="exact"/>
              <w:rPr>
                <w:sz w:val="20"/>
                <w:szCs w:val="20"/>
                <w:color w:val="auto"/>
              </w:rPr>
            </w:pPr>
            <w:r>
              <w:rPr>
                <w:rFonts w:ascii="Times New Roman" w:cs="Times New Roman" w:eastAsia="Times New Roman" w:hAnsi="Times New Roman"/>
                <w:sz w:val="18"/>
                <w:szCs w:val="18"/>
                <w:color w:val="auto"/>
              </w:rPr>
              <w:t>% of Loan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 of Loan</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Category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Amount</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Category</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c>
          <w:tcPr>
            <w:tcW w:w="160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top w:val="single" w:sz="8" w:color="auto"/>
            </w:tcBorders>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10,427</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4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Allowance for Loan &amp; Lease Losses</w:t>
            </w:r>
          </w:p>
        </w:tc>
        <w:tc>
          <w:tcPr>
            <w:tcW w:w="1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18,424</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15,087</w:t>
            </w:r>
          </w:p>
        </w:tc>
        <w:tc>
          <w:tcPr>
            <w:tcW w:w="146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c>
          <w:tcPr>
            <w:tcW w:w="146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19,591</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16,232</w:t>
            </w:r>
          </w:p>
        </w:tc>
        <w:tc>
          <w:tcPr>
            <w:tcW w:w="14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Noninterest income was down $707 thousand for the second quarter 2022 over the same time frame in 2021. The Company has seen a decrease in its mortgage production volume and the gain on the sale of these loans was $791 thousand lower for the second quarter 2022 over the same period in 2021. Loan originations on loans held for sale for the second quarter 2022 were $20.9 million with proceeds from sale at $22.9 million for 2022 compared to 2021’s second quarter activity of $29.5 million in originations and $29.9 million in sales. Loan originations driven by the refinance activity associated with the reduction in interest rates has slowed. The mortgages sold were both 1-4 family and agricultural real estate loans originated for sale.</w:t>
      </w:r>
    </w:p>
    <w:p>
      <w:pPr>
        <w:spacing w:after="0" w:line="1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756"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Combined service fees decreased by $84 thousand as compared to second quarter 2021. Debit card income increased by $95 thousand and bank owned life insurance cash surrender value increased $19 thousand. Also contributing to the increase was overdraft and returned check charges which increased $291 thousand compared to first quarter 2021. Service fee income for 1-4 family and agricultural real estate loans increased by $30 thousand while servicing rights income decreased $501 thousand.</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second quarter of 2022 and 2021, mortgage servicing rights caused a net $1 thousand in expense and $19 thousand in income, respectively. The lower capitalized additions for 2022 are attributed to a lower loan origination level of 1-4 families. A low interest rate environment has helped to generate the mortgage refinance activity. For loans of 15 years and less, the market value of the mortgage servicing rights was 0.970% in the second quarter 2022 versus 1.131% in second quarter 2021. For loans over 15 years, the value was 1.099% versus a higher 1.191% for the same periods respectively. The carrying value is greater than the market value of $3.4 million. A valuation allowance of $414 thousand was established during 2021. During first quarter 2022, $134 thousand of the valuation allowance was reversed. An additional $91 thousand of the valuation allowance was reversed during the second quarter of 2022.</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Three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Six Months</w:t>
            </w:r>
          </w:p>
        </w:tc>
      </w:tr>
      <w:tr>
        <w:trPr>
          <w:trHeight w:val="234"/>
        </w:trPr>
        <w:tc>
          <w:tcPr>
            <w:tcW w:w="3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3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FF0FC"/>
            </w:tcBorders>
          </w:tcPr>
          <w:p>
            <w:pPr>
              <w:spacing w:after="0"/>
              <w:rPr>
                <w:sz w:val="19"/>
                <w:szCs w:val="19"/>
                <w:color w:val="auto"/>
              </w:rPr>
            </w:pP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shd w:val="clear" w:color="auto" w:fill="CFF0FC"/>
          </w:tcPr>
          <w:p>
            <w:pPr>
              <w:spacing w:after="0"/>
              <w:rPr>
                <w:sz w:val="19"/>
                <w:szCs w:val="19"/>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June 30,</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Pr>
          <w:p>
            <w:pPr>
              <w:spacing w:after="0"/>
              <w:rPr>
                <w:sz w:val="19"/>
                <w:szCs w:val="19"/>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 June 30,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second quarter 2022, noninterest expenses were $175 thousand higher than for the same quarter in 2021. Salaries, wages, and employee benefits (includes normal merit increases, restricted stock expense, incentive payout and all employee benefits) increased $406 thousand in total. This was comprised of increased salaries of $775 thousand partially offset by decreased benefits of $369 thousand. The second quarter of 2022 also saw the effects of the minimum living wage at $13.50 per hour as compared to $12.50 per hour for the second quarter in 2021. Consulting fees decreased $161 thousand during the second quarter 2022 due to acquisition activity in 2021 of $292 thousand that was not repeated in 2022. Legal fees decreased $183 thousand. Ohio Financial Institution Tax increased $463 thousand over second quarter 2021 due to overall growth.. Data processing expenses also increased $226 thousand. Other general and administrative expenses increased $15 thousand as compared to second quarter 2021 primarily attributable to the Company’s overall growth for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$731 thousand higher for the second quarter 2022 compared to the same quarter in 2021. Effective tax rates were 19.86% and 20.92% for second quarter 2022 and 2021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overall, net income in the second quarter of 2022 was up $3.3 million as compared to the same quarter last year. Although second quarter 2022 included an increase of $987 thousand of loan loss provision as compared to second quarter 2021, net interest income after provision for loan losses increased $4.9 million during the same period of comparison. The Company has done an exceptional job of growing loans while keeping past dues low.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64" w:name="page65"/>
    <w:bookmarkEnd w:id="64"/>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six month periods ended June 30, 2022 and 2021</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Higher loan balances of $579.4 million created an improvement in the interest income for the first six months of 2022 as compared to the first six months of 2021. PPP average loan balances decreased $46.9 million year over year. Interest income in total rose 33.6% or $11.5 million with interest income from loans accounting for $11.0 million of the increase. Contributing to the overall improvement was also an increase in securities income of $493 thousand and an increase from fed funds sold and interest-bearing deposits of $50 thousand over 2021. The asset yield increased by 2 basis points to 3.63% for the first six months of 2022 compared to the first six months of 2021’s 3.61%.</w:t>
      </w:r>
    </w:p>
    <w:p>
      <w:pPr>
        <w:spacing w:after="0" w:line="143" w:lineRule="exact"/>
        <w:rPr>
          <w:sz w:val="20"/>
          <w:szCs w:val="20"/>
          <w:color w:val="auto"/>
        </w:rPr>
      </w:pPr>
    </w:p>
    <w:p>
      <w:pPr>
        <w:jc w:val="both"/>
        <w:ind w:left="760" w:hanging="3"/>
        <w:spacing w:after="0" w:line="266" w:lineRule="auto"/>
        <w:tabs>
          <w:tab w:leader="none" w:pos="11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interest income recognized was $2.2 thousand for the first six months of 2022 with net fee income of $77.2 thousand compared to $234.7 thousand of loan interest income and $1.5 million of net fee income for 2021. The growth factor contribution is shown in the charts which follow.</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average interest earning asset base was $622.3 million higher in the first six months 2022 than the first six months of 2021, an increase of approximately 32.7%. Refer to Note 2 Business Combination and Asset Purchase for information on assets acquired from OFSI and PFSB.</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yields on tax-exempt securities and the portion of the tax-exempt IDB loans included in loans have been tax adjusted based on a 21% tax rate in the charts to follow.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8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Year to Date Ended June 30, 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10"/>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23"/>
        </w:trPr>
        <w:tc>
          <w:tcPr>
            <w:tcW w:w="3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June 30, 2021</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1,953,671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42,843</w:t>
            </w:r>
          </w:p>
        </w:tc>
        <w:tc>
          <w:tcPr>
            <w:tcW w:w="100" w:type="dxa"/>
            <w:vAlign w:val="bottom"/>
            <w:shd w:val="clear" w:color="auto" w:fill="CFF0FC"/>
          </w:tcPr>
          <w:p>
            <w:pPr>
              <w:spacing w:after="0"/>
              <w:rPr>
                <w:sz w:val="19"/>
                <w:szCs w:val="19"/>
                <w:color w:val="auto"/>
              </w:rPr>
            </w:pPr>
          </w:p>
        </w:tc>
        <w:tc>
          <w:tcPr>
            <w:tcW w:w="178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426,189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8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80" w:type="dxa"/>
            <w:vAlign w:val="bottom"/>
            <w:gridSpan w:val="8"/>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3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124,050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80" w:type="dxa"/>
            <w:vAlign w:val="bottom"/>
            <w:tcBorders>
              <w:bottom w:val="single" w:sz="8" w:color="CFF0FC"/>
            </w:tcBorders>
            <w:gridSpan w:val="8"/>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r>
      <w:tr>
        <w:trPr>
          <w:trHeight w:val="223"/>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2,524,029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45,810</w:t>
            </w:r>
          </w:p>
        </w:tc>
        <w:tc>
          <w:tcPr>
            <w:tcW w:w="220" w:type="dxa"/>
            <w:vAlign w:val="bottom"/>
            <w:gridSpan w:val="2"/>
            <w:shd w:val="clear" w:color="auto" w:fill="CFF0FC"/>
          </w:tcPr>
          <w:p>
            <w:pPr>
              <w:spacing w:after="0"/>
              <w:rPr>
                <w:sz w:val="19"/>
                <w:szCs w:val="19"/>
                <w:color w:val="auto"/>
              </w:rPr>
            </w:pPr>
          </w:p>
        </w:tc>
        <w:tc>
          <w:tcPr>
            <w:tcW w:w="166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30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399"/>
        </w:trPr>
        <w:tc>
          <w:tcPr>
            <w:tcW w:w="3040" w:type="dxa"/>
            <w:vAlign w:val="bottom"/>
          </w:tcPr>
          <w:p>
            <w:pPr>
              <w:spacing w:after="0"/>
              <w:rPr>
                <w:sz w:val="24"/>
                <w:szCs w:val="24"/>
                <w:color w:val="auto"/>
              </w:rPr>
            </w:pPr>
          </w:p>
        </w:tc>
        <w:tc>
          <w:tcPr>
            <w:tcW w:w="62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Change in Interest Income Year to Date June 30, 2022 Compared to June 30, 2021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30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gridSpan w:val="3"/>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3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5"/>
          </w:tcPr>
          <w:p>
            <w:pPr>
              <w:jc w:val="center"/>
              <w:ind w:right="46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ind w:left="22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7"/>
                <w:szCs w:val="17"/>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6"/>
              </w:rPr>
              <w:t>to Volume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to Rate</w:t>
            </w: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13,442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r>
      <w:tr>
        <w:trPr>
          <w:trHeight w:val="23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r>
      <w:tr>
        <w:trPr>
          <w:trHeight w:val="223"/>
        </w:trPr>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Interest expense was higher for the first six months of 2022 compared to the first six months of 2021. At $4.2 million, the first six months of 2022 was up $881 thousand as compared to the same time period 2021 or 26.8%.</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average balance of interest-bearing liabilities was higher by $504.1 million in 2022 than the first six months of 2021. Interest bearing deposits increased $434.1 million while Fed Funds purchased and securities sold under agreement to repurchase increased by a combined $2.1 million. Other borrowed money and subordinated notes increased $33.3 million and $34.5 million, respectively as compared to a year ago. The higher balance coupled with the slight variation of the balance sheet mix, resulted in a 4 basis point decrease in the cost of funds at 0.44% for the first six months of 2022 as compared to 2021’s 0.48%. Liabilities assumed from OFSI and PFSB can be seen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65" w:name="page66"/>
    <w:bookmarkEnd w:id="65"/>
    <w:p>
      <w:pPr>
        <w:ind w:left="760"/>
        <w:spacing w:after="0"/>
        <w:rPr>
          <w:sz w:val="20"/>
          <w:szCs w:val="20"/>
          <w:color w:val="auto"/>
        </w:rPr>
      </w:pPr>
      <w:r>
        <w:rPr>
          <w:rFonts w:ascii="Times New Roman" w:cs="Times New Roman" w:eastAsia="Times New Roman" w:hAnsi="Times New Roman"/>
          <w:sz w:val="18"/>
          <w:szCs w:val="18"/>
          <w:color w:val="auto"/>
        </w:rPr>
        <w:t>The change chart below shows the increased cost was driven more by volume than rate.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right"/>
              <w:ind w:right="134"/>
              <w:spacing w:after="0"/>
              <w:rPr>
                <w:sz w:val="20"/>
                <w:szCs w:val="20"/>
                <w:color w:val="auto"/>
              </w:rPr>
            </w:pPr>
            <w:r>
              <w:rPr>
                <w:rFonts w:ascii="Times New Roman" w:cs="Times New Roman" w:eastAsia="Times New Roman" w:hAnsi="Times New Roman"/>
                <w:sz w:val="18"/>
                <w:szCs w:val="18"/>
                <w:color w:val="auto"/>
              </w:rPr>
              <w:t>Year to Date Ended June 30, 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23"/>
        </w:trPr>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4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June 30, 2021</w:t>
            </w:r>
          </w:p>
        </w:tc>
        <w:tc>
          <w:tcPr>
            <w:tcW w:w="180" w:type="dxa"/>
            <w:vAlign w:val="bottom"/>
            <w:tcBorders>
              <w:bottom w:val="single" w:sz="8" w:color="CFF0FC"/>
            </w:tcBorders>
          </w:tcPr>
          <w:p>
            <w:pPr>
              <w:spacing w:after="0"/>
              <w:rPr>
                <w:sz w:val="19"/>
                <w:szCs w:val="19"/>
                <w:color w:val="auto"/>
              </w:rPr>
            </w:pP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2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1,867,333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6140" w:type="dxa"/>
            <w:vAlign w:val="bottom"/>
            <w:gridSpan w:val="11"/>
          </w:tcPr>
          <w:p>
            <w:pPr>
              <w:jc w:val="right"/>
              <w:ind w:right="50"/>
              <w:spacing w:after="0"/>
              <w:rPr>
                <w:sz w:val="20"/>
                <w:szCs w:val="20"/>
                <w:color w:val="auto"/>
              </w:rPr>
            </w:pPr>
            <w:r>
              <w:rPr>
                <w:rFonts w:ascii="Times New Roman" w:cs="Times New Roman" w:eastAsia="Times New Roman" w:hAnsi="Times New Roman"/>
                <w:sz w:val="18"/>
                <w:szCs w:val="18"/>
                <w:color w:val="auto"/>
                <w:w w:val="99"/>
              </w:rPr>
              <w:t>Change in Interest Expense Year to Date June 30, 2022 Compared to June 30, 2021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93"/>
        </w:trPr>
        <w:tc>
          <w:tcPr>
            <w:tcW w:w="186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18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7"/>
                <w:szCs w:val="17"/>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to Volume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 Rate</w:t>
            </w:r>
          </w:p>
        </w:tc>
      </w:tr>
      <w:tr>
        <w:trPr>
          <w:trHeight w:val="223"/>
        </w:trPr>
        <w:tc>
          <w:tcPr>
            <w:tcW w:w="5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400" w:type="dxa"/>
            <w:vAlign w:val="bottom"/>
            <w:tcBorders>
              <w:top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4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(1,309)</w:t>
            </w:r>
          </w:p>
        </w:tc>
      </w:tr>
      <w:tr>
        <w:trPr>
          <w:trHeight w:val="229"/>
        </w:trPr>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40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Overall, net interest spread figures for the first six months of 2022 were up from 2021 by 6 basis points and down 19 basis points from 2020. Net interest margin for the first six months of 2022 was higher than the same period of 2021 but lower than 2020. As the chart below illustrates, a slightly higher overall yield on interest earning assets aided by a lower overall cost of funds resulted in total net interest margin up 3 basis points since the first six months of 2021 and under the first six months of 2020 by 37 basis points.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June 30, 2022</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June 30, 2021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June 30, 2020</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4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4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4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Net interest income was up $10.6 million in the first six months of 2022 over the same time frame in 2021 due to the higher interest income offset by the increase in interest expense as previously mentioned. As the new loans added in 2021 and 2022 generate more income, management expects the benefits of the Company’s strategy of repositioning the balance sheet to continue to widen this margin as measured in dollars. In terms of net interest margin rate, the Bank recognizes competition for deposits may again increase and put pressure on the margin which may lead to a tightening.</w:t>
      </w:r>
    </w:p>
    <w:p>
      <w:pPr>
        <w:spacing w:after="0" w:line="139" w:lineRule="exact"/>
        <w:rPr>
          <w:sz w:val="20"/>
          <w:szCs w:val="20"/>
          <w:color w:val="auto"/>
        </w:rPr>
      </w:pPr>
    </w:p>
    <w:p>
      <w:pPr>
        <w:ind w:left="760" w:right="1860"/>
        <w:spacing w:after="0" w:line="46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Comparison of Results of Noninterest Results of Operations for six month periods ended June 30, 2022 and 2021 </w:t>
      </w:r>
      <w:r>
        <w:rPr>
          <w:rFonts w:ascii="Times New Roman" w:cs="Times New Roman" w:eastAsia="Times New Roman" w:hAnsi="Times New Roman"/>
          <w:sz w:val="18"/>
          <w:szCs w:val="18"/>
          <w:b w:val="1"/>
          <w:bCs w:val="1"/>
          <w:color w:val="auto"/>
        </w:rPr>
        <w:t>Provision Expense</w:t>
      </w: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Total provision for loan losses was $133 thousand lower for the first six months 2022 than for the first six months 2021 attributable primarily to the lessened uncertainties associated with COVID-19 and its effects on the ability of individuals, businesses and other entities to meet their financial obligations. Therefore, it is prudent to incorporate the impact of COVID-19 in the evaluation of the adequacy of Allowance for Loan and Lease Losses (ALLL). The restaurant and hospitality sectors have been hit especially hard. Risk in the Consumer and 1-4 Family Portfolio has increased but the full impact remains unknown. Increases to the Bank’s ALLL for the first six months of 2022, centered around current customers and businesses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that are particularly vulnerable and qualitative factors were adjusted accordingly. Management continues to monitor asset quality, making adjustments to the provision as necessary. Loan charge-offs were $840 thousand lower in the first six months of 2022 compared to the same period 2021. Recoveries were $60 thousand higher in the first six months of 2022 as compared to first six months of 2021. Combined net charge-offs were $900 thousand lower in the six months ended June 2022 as compared to the same time period 2021. Management continues to evaluate the potential financial implications resulting from COVID-19 and adjusts ALLL qualitative factors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Remainder of this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0" w:right="339" w:bottom="1440" w:gutter="0" w:footer="0" w:header="0"/>
        </w:sectPr>
      </w:pPr>
    </w:p>
    <w:bookmarkStart w:id="67" w:name="page68"/>
    <w:bookmarkEnd w:id="67"/>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six months ended June 30, 2021, 2020, and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Six Months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Six Months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rPr>
              <w:t>Six Months Ended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June 30, 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June 30, 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 2020</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1,458,423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1,953,671</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1,374,302</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1,279,127</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 January 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Loans Charged off:</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 Recoveries:</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right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Charge Offs:</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Provision for loan loss</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Acquisition provision for loan loss</w:t>
            </w:r>
          </w:p>
        </w:tc>
        <w:tc>
          <w:tcPr>
            <w:tcW w:w="1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&amp; Lease Losses - June 30,</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&amp; Letters of Credit - June 30,</w:t>
            </w:r>
          </w:p>
        </w:tc>
        <w:tc>
          <w:tcPr>
            <w:tcW w:w="16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Allowance for Credit Losses - June 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right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the Allowance for Loan &amp; Lease Losses to Loans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right w:val="single" w:sz="8" w:color="CFF0FC"/>
            </w:tcBorders>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w w:val="99"/>
              </w:rPr>
              <w:t>Ratio of the Allowance for Loan &amp; Lease Losses to Nonaccrual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3"/>
                <w:szCs w:val="23"/>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351.44%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214.58%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117.24%</w:t>
            </w:r>
          </w:p>
        </w:tc>
        <w:tc>
          <w:tcPr>
            <w:tcW w:w="0" w:type="dxa"/>
            <w:vAlign w:val="bottom"/>
          </w:tcPr>
          <w:p>
            <w:pPr>
              <w:spacing w:after="0"/>
              <w:rPr>
                <w:sz w:val="1"/>
                <w:szCs w:val="1"/>
                <w:color w:val="auto"/>
              </w:rPr>
            </w:pPr>
          </w:p>
        </w:tc>
      </w:tr>
      <w:tr>
        <w:trPr>
          <w:trHeight w:val="192"/>
        </w:trPr>
        <w:tc>
          <w:tcPr>
            <w:tcW w:w="4620" w:type="dxa"/>
            <w:vAlign w:val="bottom"/>
            <w:tcBorders>
              <w:top w:val="single" w:sz="8" w:color="CFF0FC"/>
              <w:right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Ratio of the Allowance for Loan &amp; Lease Losses to</w:t>
            </w:r>
          </w:p>
        </w:tc>
        <w:tc>
          <w:tcPr>
            <w:tcW w:w="160" w:type="dxa"/>
            <w:vAlign w:val="bottom"/>
            <w:tcBorders>
              <w:top w:val="single" w:sz="8" w:color="auto"/>
            </w:tcBorders>
            <w:shd w:val="clear" w:color="auto" w:fill="CFF0FC"/>
          </w:tcPr>
          <w:p>
            <w:pPr>
              <w:spacing w:after="0"/>
              <w:rPr>
                <w:sz w:val="16"/>
                <w:szCs w:val="16"/>
                <w:color w:val="auto"/>
              </w:rPr>
            </w:pPr>
          </w:p>
        </w:tc>
        <w:tc>
          <w:tcPr>
            <w:tcW w:w="1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351.44%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117.24%</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40" w:right="2100" w:hanging="4790"/>
        <w:spacing w:after="0" w:line="532" w:lineRule="auto"/>
        <w:tabs>
          <w:tab w:leader="none" w:pos="11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are defined as all loans on nonaccrual, plus any loans 90 days past due not on nonaccrual.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for the first six months of 2022 decreased over the first six months of 2021 by $1.4 million. Gain on sale of loans showed a $1.1 million decrease over the first six months of 2021. Combined service fees increased by $78 thousand with increased debit card income of $95 thousand and bank owned life insurance cash surrender value increases of $19 thousand. Servicing rights income decreased by $501 thousand. Service charge income increased by $1 thousand while overdraft and returned check income increased by $291 thousand. The Company did sell some of its available-for-sale securities in the first six months of 2021 and recognized a gain of $293 thousand that was not repeated in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first six months of 2022, noninterest expenses were $1.3 million higher than in the first six months of 2021. 2021 included $1.2 million of third party acquisition related costs incurred with the Ossian and Perpetual transactions that were not repeated in 2022. The six months of 2022 included an increase of $1.9 million in salaries and wages partially offset by a decrease of $309 thousand in employee benefits.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Data processing fees were $325 thousand higher than last year. Part of that increase was due to a credit for product upgrades in the amount of $100 thousand that was received during the first six months of 2021 that was not repeated in 2022. Consulting fees decreased $206 thousand due to acquisition activity in 2021 of $337 thousand that was not repeated in 2022. FDIC assessment expense decreased by $128 thousand due to a decreased assessment rate that has offset an increased assessment base.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Ohio Financial Institution Tax increased $435 thousand in the first six months of 2022 due to overall growth. General and administrative expenses increased $161 thousand over the first six months of 2021. Legal fees decreased $293 thousand over 2021 while loan and collection expense increased $114 thousand .</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was $1.6 million higher for the first six months of 2022 compared to the first six months of 2021. Effective tax rates were 19.64% and 19.39% for the first six months of 2022 and 2021 respectively. The slightly higher effective tax rate for the first six months of 2022 equaled an increase in income tax expense of $51 thousand with the remainder driven from increased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Overall, net income through the first six months of 2022 was up $6.5 million as compared to the first six months of 2021. Increased interest income of $11.5 million partially offset by increased interest expense was the largest contributor to the increased net income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7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including, but not limited to, the ongoing impact of the COVID-19 pandemic.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8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shocks presented below assume an immediate change of rate in the percentages and directions shown covering a twelve month period: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6"/>
          </w:tcPr>
          <w:p>
            <w:pPr>
              <w:jc w:val="center"/>
              <w:ind w:right="1500"/>
              <w:spacing w:after="0"/>
              <w:rPr>
                <w:sz w:val="20"/>
                <w:szCs w:val="20"/>
                <w:color w:val="auto"/>
              </w:rPr>
            </w:pPr>
            <w:r>
              <w:rPr>
                <w:rFonts w:ascii="Times New Roman" w:cs="Times New Roman" w:eastAsia="Times New Roman" w:hAnsi="Times New Roman"/>
                <w:sz w:val="18"/>
                <w:szCs w:val="18"/>
                <w:color w:val="auto"/>
                <w:w w:val="99"/>
              </w:rPr>
              <w:t>Interest Rate Shock</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6"/>
          </w:tcPr>
          <w:p>
            <w:pPr>
              <w:jc w:val="center"/>
              <w:ind w:right="1320"/>
              <w:spacing w:after="0"/>
              <w:rPr>
                <w:sz w:val="20"/>
                <w:szCs w:val="20"/>
                <w:color w:val="auto"/>
              </w:rPr>
            </w:pPr>
            <w:r>
              <w:rPr>
                <w:rFonts w:ascii="Times New Roman" w:cs="Times New Roman" w:eastAsia="Times New Roman" w:hAnsi="Times New Roman"/>
                <w:sz w:val="18"/>
                <w:szCs w:val="18"/>
                <w:color w:val="auto"/>
              </w:rPr>
              <w:t>Interest Rate Shock</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3020" w:type="dxa"/>
            <w:vAlign w:val="bottom"/>
            <w:gridSpan w:val="7"/>
          </w:tcPr>
          <w:p>
            <w:pPr>
              <w:jc w:val="center"/>
              <w:ind w:right="1380"/>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60" w:type="dxa"/>
            <w:vAlign w:val="bottom"/>
            <w:gridSpan w:val="7"/>
          </w:tcPr>
          <w:p>
            <w:pPr>
              <w:jc w:val="center"/>
              <w:ind w:right="1200"/>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r>
      <w:tr>
        <w:trPr>
          <w:trHeight w:val="20"/>
        </w:trPr>
        <w:tc>
          <w:tcPr>
            <w:tcW w:w="106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245"/>
        </w:trPr>
        <w:tc>
          <w:tcPr>
            <w:tcW w:w="20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Net Interest</w:t>
            </w:r>
          </w:p>
        </w:tc>
        <w:tc>
          <w:tcPr>
            <w:tcW w:w="20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8"/>
              </w:rPr>
              <w:t>% Change to</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Rate</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Rate</w:t>
            </w:r>
          </w:p>
        </w:tc>
        <w:tc>
          <w:tcPr>
            <w:tcW w:w="20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Cumulative</w:t>
            </w:r>
          </w:p>
        </w:tc>
        <w:tc>
          <w:tcPr>
            <w:tcW w:w="19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 Change to</w:t>
            </w:r>
          </w:p>
        </w:tc>
      </w:tr>
      <w:tr>
        <w:trPr>
          <w:trHeight w:val="234"/>
        </w:trPr>
        <w:tc>
          <w:tcPr>
            <w:tcW w:w="20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Margin (Ratio)</w:t>
            </w:r>
          </w:p>
        </w:tc>
        <w:tc>
          <w:tcPr>
            <w:tcW w:w="20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Flat Rate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Direction</w:t>
            </w: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Changes by</w:t>
            </w:r>
          </w:p>
        </w:tc>
        <w:tc>
          <w:tcPr>
            <w:tcW w:w="20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Total ($000)</w:t>
            </w:r>
          </w:p>
        </w:tc>
        <w:tc>
          <w:tcPr>
            <w:tcW w:w="19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Flat Rate</w:t>
            </w:r>
          </w:p>
        </w:tc>
      </w:tr>
      <w:tr>
        <w:trPr>
          <w:trHeight w:val="223"/>
        </w:trPr>
        <w:tc>
          <w:tcPr>
            <w:tcW w:w="1180" w:type="dxa"/>
            <w:vAlign w:val="bottom"/>
            <w:tcBorders>
              <w:top w:val="single" w:sz="8" w:color="auto"/>
            </w:tcBorders>
            <w:gridSpan w:val="2"/>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8"/>
              </w:rPr>
              <w:t>3.95%</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15.92%</w:t>
            </w:r>
          </w:p>
        </w:tc>
        <w:tc>
          <w:tcPr>
            <w:tcW w:w="3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Rising</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97,845</w:t>
            </w: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3.84%</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12.63%</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Rising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95,229</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r>
      <w:tr>
        <w:trPr>
          <w:trHeight w:val="230"/>
        </w:trPr>
        <w:tc>
          <w:tcPr>
            <w:tcW w:w="1180" w:type="dxa"/>
            <w:vAlign w:val="bottom"/>
            <w:gridSpan w:val="2"/>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8"/>
              </w:rPr>
              <w:t>3.68%</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7.95%</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Rising</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91,862</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6.34%</w:t>
            </w:r>
          </w:p>
        </w:tc>
        <w:tc>
          <w:tcPr>
            <w:tcW w:w="100" w:type="dxa"/>
            <w:vAlign w:val="bottom"/>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3.41%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Flat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86,388</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19"/>
                <w:szCs w:val="19"/>
                <w:color w:val="auto"/>
              </w:rPr>
            </w:pPr>
          </w:p>
        </w:tc>
      </w:tr>
      <w:tr>
        <w:trPr>
          <w:trHeight w:val="230"/>
        </w:trPr>
        <w:tc>
          <w:tcPr>
            <w:tcW w:w="1180" w:type="dxa"/>
            <w:vAlign w:val="bottom"/>
            <w:gridSpan w:val="2"/>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8"/>
              </w:rPr>
              <w:t>3.16%</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8"/>
              </w:rPr>
              <w:t>-7.38%</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Falling</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81,537</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-5.62%</w:t>
            </w:r>
          </w:p>
        </w:tc>
        <w:tc>
          <w:tcPr>
            <w:tcW w:w="100" w:type="dxa"/>
            <w:vAlign w:val="bottom"/>
            <w:shd w:val="clear" w:color="auto" w:fill="CFF0FC"/>
          </w:tcPr>
          <w:p>
            <w:pPr>
              <w:spacing w:after="0"/>
              <w:rPr>
                <w:sz w:val="19"/>
                <w:szCs w:val="19"/>
                <w:color w:val="auto"/>
              </w:rPr>
            </w:pPr>
          </w:p>
        </w:tc>
      </w:tr>
      <w:tr>
        <w:trPr>
          <w:trHeight w:val="229"/>
        </w:trPr>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2.95%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-13.33%</w:t>
            </w:r>
          </w:p>
        </w:tc>
        <w:tc>
          <w:tcPr>
            <w:tcW w:w="3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Falling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77,757</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100" w:type="dxa"/>
            <w:vAlign w:val="bottom"/>
          </w:tcPr>
          <w:p>
            <w:pPr>
              <w:spacing w:after="0"/>
              <w:rPr>
                <w:sz w:val="19"/>
                <w:szCs w:val="19"/>
                <w:color w:val="auto"/>
              </w:rPr>
            </w:pPr>
          </w:p>
        </w:tc>
      </w:tr>
      <w:tr>
        <w:trPr>
          <w:trHeight w:val="230"/>
        </w:trPr>
        <w:tc>
          <w:tcPr>
            <w:tcW w:w="1180" w:type="dxa"/>
            <w:vAlign w:val="bottom"/>
            <w:gridSpan w:val="2"/>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8"/>
              </w:rPr>
              <w:t>2.74%</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-19.67%</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Falling</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73,684</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w:t>
      </w:r>
    </w:p>
    <w:p>
      <w:pPr>
        <w:spacing w:after="0" w:line="13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shock chart currently shows a widening in net interest margin over the next twelve months in a rising rate environment and a tightening in a falling rate environment. With the rate decreases in the first quarter of 2020, the model predicts an expansion of net interest income at any level in a rising rate environment. The rising rate scenarios are predicted to expand the net interest margin and produce higher levels of net interest income. Cost of funds are at 0.44% for the quarter and 0.44% for the year so the lowest shock of 100 basis points is where the Bank can take partial advantage and reprice some funds to match the level of shock. Once the shocks are falling over 100 basis points, the cost of funds cannot lower to match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212529"/>
        </w:rPr>
        <w:t xml:space="preserve">Except as otherwise noted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2021.</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Global Economic and Geopolitical Instability and Inflationary Risks</w:t>
      </w:r>
    </w:p>
    <w:p>
      <w:pPr>
        <w:spacing w:after="0" w:line="20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Instability in global economic conditions and geopolitical matters, as well as volatility in financial markets, could have a material adverse effect on the Company’s results of operations and financial condition. The macroeconomic environment in the United States is susceptible to global events and volatility in financial markets. For example, global demand for products continues to exceed supply during the economic recovery from the COVID-19 pandemic, creating significant inflationary pressures which, in turn, may adversely impact regional and global economic conditions, as well as the Company’s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Treasury stock repurchased the quarter ended June 30, 2022.</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2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2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Shares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2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yet be</w:t>
            </w:r>
          </w:p>
        </w:tc>
      </w:tr>
      <w:tr>
        <w:trPr>
          <w:trHeight w:val="216"/>
        </w:trPr>
        <w:tc>
          <w:tcPr>
            <w:tcW w:w="2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Publicly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under</w:t>
            </w:r>
          </w:p>
        </w:tc>
      </w:tr>
      <w:tr>
        <w:trPr>
          <w:trHeight w:val="216"/>
        </w:trPr>
        <w:tc>
          <w:tcPr>
            <w:tcW w:w="2440" w:type="dxa"/>
            <w:vAlign w:val="bottom"/>
          </w:tcPr>
          <w:p>
            <w:pPr>
              <w:spacing w:after="0"/>
              <w:rPr>
                <w:sz w:val="18"/>
                <w:szCs w:val="18"/>
                <w:color w:val="auto"/>
              </w:rPr>
            </w:pP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 Total Number of</w:t>
            </w:r>
          </w:p>
        </w:tc>
        <w:tc>
          <w:tcPr>
            <w:tcW w:w="360" w:type="dxa"/>
            <w:vAlign w:val="bottom"/>
          </w:tcPr>
          <w:p>
            <w:pPr>
              <w:spacing w:after="0"/>
              <w:rPr>
                <w:sz w:val="18"/>
                <w:szCs w:val="18"/>
                <w:color w:val="auto"/>
              </w:rPr>
            </w:pP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(b) Average 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Announced Plan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Plans or</w:t>
            </w:r>
          </w:p>
        </w:tc>
      </w:tr>
      <w:tr>
        <w:trPr>
          <w:trHeight w:val="234"/>
        </w:trPr>
        <w:tc>
          <w:tcPr>
            <w:tcW w:w="24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Shares Purchased</w:t>
            </w: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Paid per Share</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or Programs </w:t>
            </w:r>
            <w:r>
              <w:rPr>
                <w:rFonts w:ascii="Times New Roman" w:cs="Times New Roman" w:eastAsia="Times New Roman" w:hAnsi="Times New Roman"/>
                <w:sz w:val="15"/>
                <w:szCs w:val="15"/>
                <w:color w:val="auto"/>
                <w:w w:val="99"/>
              </w:rPr>
              <w:t>(1)</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Programs</w:t>
            </w:r>
          </w:p>
        </w:tc>
      </w:tr>
      <w:tr>
        <w:trPr>
          <w:trHeight w:val="22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4/1/2022 to 4/30/2022</w:t>
            </w:r>
          </w:p>
        </w:tc>
        <w:tc>
          <w:tcPr>
            <w:tcW w:w="2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2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5/1/2022 to 5/31/2022</w:t>
            </w:r>
          </w:p>
        </w:tc>
        <w:tc>
          <w:tcPr>
            <w:tcW w:w="2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978</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39.59</w:t>
            </w:r>
          </w:p>
        </w:tc>
        <w:tc>
          <w:tcPr>
            <w:tcW w:w="17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2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2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6/1/2022 to 6/30/2022</w:t>
            </w:r>
          </w:p>
        </w:tc>
        <w:tc>
          <w:tcPr>
            <w:tcW w:w="2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6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36.14</w:t>
            </w:r>
          </w:p>
        </w:tc>
        <w:tc>
          <w:tcPr>
            <w:tcW w:w="176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38.57</w:t>
            </w:r>
          </w:p>
        </w:tc>
        <w:tc>
          <w:tcPr>
            <w:tcW w:w="17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r>
    </w:tbl>
    <w:p>
      <w:pPr>
        <w:spacing w:after="0" w:line="225" w:lineRule="exact"/>
        <w:rPr>
          <w:sz w:val="20"/>
          <w:szCs w:val="20"/>
          <w:color w:val="auto"/>
        </w:rPr>
      </w:pPr>
    </w:p>
    <w:p>
      <w:pPr>
        <w:jc w:val="both"/>
        <w:ind w:left="1120" w:hanging="370"/>
        <w:spacing w:after="0" w:line="257"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25, 2022. On that date, the Board of Directors authorized the repurchase of 600,000 common shares between January 25, 2022 and December 31, 2022.</w:t>
      </w:r>
    </w:p>
    <w:p>
      <w:pPr>
        <w:spacing w:after="0" w:line="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52"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2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None</w:t>
            </w:r>
          </w:p>
        </w:tc>
      </w:tr>
      <w:tr>
        <w:trPr>
          <w:trHeight w:val="459"/>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ITEM 6 EXHIBITS</w:t>
            </w:r>
          </w:p>
        </w:tc>
      </w:tr>
      <w:tr>
        <w:trPr>
          <w:trHeight w:val="4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101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Agreement and Plan of Merger dated June 14, 2022 (incorporated by reference to Exhibit 2.1 to Registrant’s Current Report on Form 8-K</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filed with the Commission on June 15, 2022).</w:t>
              </w:r>
            </w:hyperlink>
          </w:p>
        </w:tc>
        <w:tc>
          <w:tcPr>
            <w:tcW w:w="6800" w:type="dxa"/>
            <w:vAlign w:val="bottom"/>
            <w:gridSpan w:val="4"/>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 Articles of Incorporation of the Registrant (incorporated by reference to Exhibit 3.1 to Registrant’s Quarterly Report on Form 10-</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Q filed with the Commission on October 25, 2017).</w:t>
              </w:r>
            </w:hyperlink>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Amended and Restated Code of Regulations of the Registrant (incorporated by reference to Exhibit 3.2 to Registrant's Quarterly Report on</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10-Q filed with the Commission on July 26, 2017).</w:t>
              </w:r>
            </w:hyperlink>
          </w:p>
        </w:tc>
        <w:tc>
          <w:tcPr>
            <w:tcW w:w="5980" w:type="dxa"/>
            <w:vAlign w:val="bottom"/>
            <w:gridSpan w:val="2"/>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Description of Registrant’s Common Stock (incorporated by reference to Exhibit 4.1 to Registrant's Annual Report on Form 10-K filed with</w:t>
              </w:r>
            </w:hyperlink>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the Commission on February 26, 2020).</w:t>
              </w:r>
            </w:hyperlink>
          </w:p>
        </w:tc>
        <w:tc>
          <w:tcPr>
            <w:tcW w:w="72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Certification - CEO</w:t>
            </w:r>
          </w:p>
        </w:tc>
        <w:tc>
          <w:tcPr>
            <w:tcW w:w="7480" w:type="dxa"/>
            <w:vAlign w:val="bottom"/>
            <w:gridSpan w:val="6"/>
          </w:tcPr>
          <w:p>
            <w:pPr>
              <w:spacing w:after="0"/>
              <w:rPr>
                <w:sz w:val="17"/>
                <w:szCs w:val="17"/>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19"/>
                <w:szCs w:val="19"/>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Rule 13-a-14(a) Certification - CFO</w:t>
            </w: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19"/>
                <w:szCs w:val="19"/>
                <w:color w:val="auto"/>
              </w:rPr>
            </w:pPr>
          </w:p>
        </w:tc>
        <w:tc>
          <w:tcPr>
            <w:tcW w:w="24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1350 Certification - CEO</w:t>
            </w:r>
          </w:p>
        </w:tc>
        <w:tc>
          <w:tcPr>
            <w:tcW w:w="180" w:type="dxa"/>
            <w:vAlign w:val="bottom"/>
            <w:tcBorders>
              <w:top w:val="single" w:sz="8" w:color="0000EE"/>
            </w:tcBorders>
          </w:tcPr>
          <w:p>
            <w:pPr>
              <w:spacing w:after="0"/>
              <w:rPr>
                <w:sz w:val="19"/>
                <w:szCs w:val="19"/>
                <w:color w:val="auto"/>
              </w:rPr>
            </w:pPr>
          </w:p>
        </w:tc>
        <w:tc>
          <w:tcPr>
            <w:tcW w:w="7500" w:type="dxa"/>
            <w:vAlign w:val="bottom"/>
            <w:gridSpan w:val="7"/>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19"/>
                <w:szCs w:val="19"/>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Section 1350 Certification - CFO</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r>
      <w:tr>
        <w:trPr>
          <w:trHeight w:val="48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within the Inline XBRL document. </w:t>
            </w:r>
            <w:r>
              <w:rPr>
                <w:rFonts w:ascii="Times New Roman" w:cs="Times New Roman" w:eastAsia="Times New Roman" w:hAnsi="Times New Roman"/>
                <w:sz w:val="15"/>
                <w:szCs w:val="15"/>
                <w:color w:val="auto"/>
              </w:rPr>
              <w:t>(1)</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15"/>
                <w:szCs w:val="15"/>
                <w:color w:val="auto"/>
              </w:rPr>
              <w:t>(1)</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15"/>
                <w:szCs w:val="15"/>
                <w:color w:val="auto"/>
              </w:rPr>
              <w:t>(1)</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15"/>
                <w:szCs w:val="15"/>
                <w:color w:val="auto"/>
              </w:rPr>
              <w:t>(1)</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15"/>
                <w:szCs w:val="15"/>
                <w:color w:val="auto"/>
              </w:rPr>
              <w:t>(1)</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15"/>
                <w:szCs w:val="15"/>
                <w:color w:val="auto"/>
              </w:rPr>
              <w:t>(1)</w:t>
            </w:r>
          </w:p>
        </w:tc>
      </w:tr>
    </w:tbl>
    <w:p>
      <w:pPr>
        <w:spacing w:after="0" w:line="9" w:lineRule="exact"/>
        <w:rPr>
          <w:sz w:val="20"/>
          <w:szCs w:val="20"/>
          <w:color w:val="auto"/>
        </w:rPr>
      </w:pPr>
    </w:p>
    <w:p>
      <w:pPr>
        <w:ind w:left="1140" w:hanging="1132"/>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2022, has been formatted in Inline XBRL.</w:t>
      </w:r>
    </w:p>
    <w:p>
      <w:pPr>
        <w:spacing w:after="0" w:line="200" w:lineRule="exact"/>
        <w:rPr>
          <w:sz w:val="20"/>
          <w:szCs w:val="20"/>
          <w:color w:val="auto"/>
        </w:rPr>
      </w:pPr>
    </w:p>
    <w:p>
      <w:pPr>
        <w:spacing w:after="0" w:line="232" w:lineRule="exact"/>
        <w:rPr>
          <w:sz w:val="20"/>
          <w:szCs w:val="20"/>
          <w:color w:val="auto"/>
        </w:rPr>
      </w:pPr>
    </w:p>
    <w:p>
      <w:pPr>
        <w:jc w:val="both"/>
        <w:ind w:firstLine="8"/>
        <w:spacing w:after="0" w:line="266" w:lineRule="auto"/>
        <w:tabs>
          <w:tab w:leader="none" w:pos="23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26, 2022</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Lars B. Eller</w:t>
            </w:r>
          </w:p>
        </w:tc>
      </w:tr>
      <w:tr>
        <w:trPr>
          <w:trHeight w:val="218"/>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26, 2022</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Barbara J. Britenriker</w:t>
            </w:r>
          </w:p>
        </w:tc>
      </w:tr>
      <w:tr>
        <w:trPr>
          <w:trHeight w:val="218"/>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Barbara J. Britenriker</w:t>
            </w:r>
          </w:p>
        </w:tc>
      </w:tr>
      <w:tr>
        <w:trPr>
          <w:trHeight w:val="234"/>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Executive Vice-President and</w:t>
            </w:r>
          </w:p>
        </w:tc>
      </w:tr>
      <w:tr>
        <w:trPr>
          <w:trHeight w:val="243"/>
        </w:trPr>
        <w:tc>
          <w:tcPr>
            <w:tcW w:w="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5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52"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740" w:right="20" w:hanging="436"/>
        <w:spacing w:after="0" w:line="266"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July 26, 2022</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740" w:right="20" w:hanging="436"/>
        <w:spacing w:after="0" w:line="266"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40" w:right="20" w:hanging="436"/>
        <w:spacing w:after="0" w:line="282" w:lineRule="auto"/>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July 26, 2022</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18"/>
        </w:trPr>
        <w:tc>
          <w:tcPr>
            <w:tcW w:w="10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June 30, 2022,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July 26, 2022</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r>
      <w:tr>
        <w:trPr>
          <w:trHeight w:val="191"/>
        </w:trPr>
        <w:tc>
          <w:tcPr>
            <w:tcW w:w="10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Lars B. Eller</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June 30, 2022,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July 26, 2022</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18"/>
        </w:trPr>
        <w:tc>
          <w:tcPr>
            <w:tcW w:w="10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Barbara J. Britenriker</w:t>
            </w:r>
          </w:p>
        </w:tc>
      </w:tr>
      <w:tr>
        <w:trPr>
          <w:trHeight w:val="230"/>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3"/>
    </w:lvl>
    <w:lvl w:ilvl="1">
      <w:lvlJc w:val="left"/>
      <w:lvlText w:val="%2."/>
      <w:numFmt w:val="lowerLetter"/>
      <w:start w:val="1"/>
    </w:lvl>
  </w:abstractNum>
  <w:abstractNum w:abstractNumId="11">
    <w:nsid w:val="2443A858"/>
    <w:multiLevelType w:val="hybridMultilevel"/>
    <w:lvl w:ilvl="0">
      <w:lvlJc w:val="left"/>
      <w:lvlText w:val="%1."/>
      <w:numFmt w:val="decimal"/>
      <w:start w:val="8"/>
    </w:lvl>
    <w:lvl w:ilvl="1">
      <w:lvlJc w:val="left"/>
      <w:lvlText w:val="%2."/>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o"/>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upperLetter"/>
      <w:start w:val="68"/>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04"/>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7" Type="http://schemas.openxmlformats.org/officeDocument/2006/relationships/image" Target="media/image116.png"/><Relationship Id="rId123" Type="http://schemas.openxmlformats.org/officeDocument/2006/relationships/hyperlink" Target="http://www.sec.gov/Archives/edgar/data/792966/000119312522174225/d368190dex21.htm" TargetMode="External"/><Relationship Id="rId124" Type="http://schemas.openxmlformats.org/officeDocument/2006/relationships/hyperlink" Target="http://www.sec.gov/Archives/edgar/data/792966/000119312517318709/d447990dex31.htm" TargetMode="External"/><Relationship Id="rId125" Type="http://schemas.openxmlformats.org/officeDocument/2006/relationships/hyperlink" Target="http://www.sec.gov/Archives/edgar/data/792966/000119312517235925/d422994dex32.htm" TargetMode="External"/><Relationship Id="rId126" Type="http://schemas.openxmlformats.org/officeDocument/2006/relationships/hyperlink" Target="http://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2022-07-26T13:19:52Z</dcterms:created>
  <dcterms:modified xsi:type="dcterms:W3CDTF">2022-07-26T13:19:52Z</dcterms:modified>
</cp:coreProperties>
</file>