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45720</wp:posOffset>
            </wp:positionV>
            <wp:extent cx="20828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57785</wp:posOffset>
            </wp:positionV>
            <wp:extent cx="20828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14" w:lineRule="exact"/>
        <w:rPr>
          <w:sz w:val="24"/>
          <w:szCs w:val="24"/>
          <w:color w:val="auto"/>
        </w:rPr>
      </w:pPr>
    </w:p>
    <w:p>
      <w:pPr>
        <w:ind w:left="540" w:hanging="535"/>
        <w:spacing w:after="0"/>
        <w:tabs>
          <w:tab w:leader="none" w:pos="54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-100965</wp:posOffset>
            </wp:positionV>
            <wp:extent cx="93345" cy="94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345" cy="94615"/>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 w:lineRule="exact"/>
        <w:rPr>
          <w:sz w:val="24"/>
          <w:szCs w:val="24"/>
          <w:color w:val="auto"/>
        </w:rPr>
      </w:pPr>
    </w:p>
    <w:p>
      <w:pPr>
        <w:ind w:left="540" w:hanging="535"/>
        <w:spacing w:after="0"/>
        <w:tabs>
          <w:tab w:leader="none" w:pos="54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-111125</wp:posOffset>
            </wp:positionV>
            <wp:extent cx="93345" cy="94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3345" cy="946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3"/>
          </w:tcPr>
          <w:p>
            <w:pPr>
              <w:ind w:left="180"/>
              <w:spacing w:after="0"/>
              <w:rPr>
                <w:sz w:val="20"/>
                <w:szCs w:val="20"/>
                <w:color w:val="auto"/>
              </w:rPr>
            </w:pPr>
            <w:r>
              <w:rPr>
                <w:rFonts w:ascii="Arial" w:cs="Arial" w:eastAsia="Arial" w:hAnsi="Arial"/>
                <w:sz w:val="16"/>
                <w:szCs w:val="16"/>
                <w:b w:val="1"/>
                <w:bCs w:val="1"/>
                <w:color w:val="auto"/>
                <w:w w:val="91"/>
              </w:rPr>
              <w:t>For the transition period from</w:t>
            </w:r>
          </w:p>
        </w:tc>
        <w:tc>
          <w:tcPr>
            <w:tcW w:w="320" w:type="dxa"/>
            <w:vAlign w:val="bottom"/>
            <w:tcBorders>
              <w:bottom w:val="single" w:sz="8" w:color="auto"/>
            </w:tcBorders>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300" w:type="dxa"/>
            <w:vAlign w:val="bottom"/>
            <w:tcBorders>
              <w:bottom w:val="single" w:sz="8" w:color="auto"/>
            </w:tcBorders>
          </w:tcPr>
          <w:p>
            <w:pPr>
              <w:spacing w:after="0"/>
              <w:rPr>
                <w:sz w:val="15"/>
                <w:szCs w:val="15"/>
                <w:color w:val="auto"/>
              </w:rPr>
            </w:pPr>
          </w:p>
        </w:tc>
        <w:tc>
          <w:tcPr>
            <w:tcW w:w="840" w:type="dxa"/>
            <w:vAlign w:val="bottom"/>
            <w:gridSpan w:val="3"/>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40" w:type="dxa"/>
            <w:vAlign w:val="bottom"/>
            <w:gridSpan w:val="9"/>
          </w:tcPr>
          <w:p>
            <w:pPr>
              <w:jc w:val="center"/>
              <w:ind w:right="640"/>
              <w:spacing w:after="0"/>
              <w:rPr>
                <w:sz w:val="20"/>
                <w:szCs w:val="20"/>
                <w:color w:val="auto"/>
              </w:rPr>
            </w:pPr>
            <w:r>
              <w:rPr>
                <w:rFonts w:ascii="Arial" w:cs="Arial" w:eastAsia="Arial" w:hAnsi="Arial"/>
                <w:sz w:val="16"/>
                <w:szCs w:val="16"/>
                <w:b w:val="1"/>
                <w:bCs w:val="1"/>
                <w:color w:val="auto"/>
                <w:w w:val="89"/>
              </w:rPr>
              <w:t>Commission File Number 001-38084</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0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gridSpan w:val="2"/>
          </w:tcPr>
          <w:p>
            <w:pPr>
              <w:spacing w:after="0"/>
              <w:rPr>
                <w:sz w:val="6"/>
                <w:szCs w:val="6"/>
                <w:color w:val="auto"/>
              </w:rPr>
            </w:pPr>
          </w:p>
        </w:tc>
        <w:tc>
          <w:tcPr>
            <w:tcW w:w="15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8"/>
        </w:trPr>
        <w:tc>
          <w:tcPr>
            <w:tcW w:w="1160" w:type="dxa"/>
            <w:vAlign w:val="bottom"/>
          </w:tcPr>
          <w:p>
            <w:pPr>
              <w:spacing w:after="0"/>
              <w:rPr>
                <w:sz w:val="24"/>
                <w:szCs w:val="24"/>
                <w:color w:val="auto"/>
              </w:rPr>
            </w:pPr>
          </w:p>
        </w:tc>
        <w:tc>
          <w:tcPr>
            <w:tcW w:w="10080" w:type="dxa"/>
            <w:vAlign w:val="bottom"/>
            <w:gridSpan w:val="16"/>
          </w:tcPr>
          <w:p>
            <w:pPr>
              <w:jc w:val="center"/>
              <w:ind w:right="1160"/>
              <w:spacing w:after="0"/>
              <w:rPr>
                <w:sz w:val="20"/>
                <w:szCs w:val="20"/>
                <w:color w:val="auto"/>
              </w:rPr>
            </w:pPr>
            <w:r>
              <w:rPr>
                <w:rFonts w:ascii="Arial" w:cs="Arial" w:eastAsia="Arial" w:hAnsi="Arial"/>
                <w:sz w:val="35"/>
                <w:szCs w:val="35"/>
                <w:b w:val="1"/>
                <w:bCs w:val="1"/>
                <w:color w:val="auto"/>
                <w:w w:val="99"/>
              </w:rPr>
              <w:t>FARMERS &amp; MERCHANTS BANCORP, INC.</w:t>
            </w:r>
          </w:p>
        </w:tc>
        <w:tc>
          <w:tcPr>
            <w:tcW w:w="0" w:type="dxa"/>
            <w:vAlign w:val="bottom"/>
          </w:tcPr>
          <w:p>
            <w:pPr>
              <w:spacing w:after="0"/>
              <w:rPr>
                <w:sz w:val="1"/>
                <w:szCs w:val="1"/>
                <w:color w:val="auto"/>
              </w:rPr>
            </w:pPr>
          </w:p>
        </w:tc>
      </w:tr>
      <w:tr>
        <w:trPr>
          <w:trHeight w:val="52"/>
        </w:trPr>
        <w:tc>
          <w:tcPr>
            <w:tcW w:w="1160" w:type="dxa"/>
            <w:vAlign w:val="bottom"/>
          </w:tcPr>
          <w:p>
            <w:pPr>
              <w:spacing w:after="0"/>
              <w:rPr>
                <w:sz w:val="4"/>
                <w:szCs w:val="4"/>
                <w:color w:val="auto"/>
              </w:rPr>
            </w:pPr>
          </w:p>
        </w:tc>
        <w:tc>
          <w:tcPr>
            <w:tcW w:w="1920" w:type="dxa"/>
            <w:vAlign w:val="bottom"/>
            <w:gridSpan w:val="2"/>
            <w:vMerge w:val="restart"/>
          </w:tcPr>
          <w:p>
            <w:pPr>
              <w:jc w:val="center"/>
              <w:ind w:right="480"/>
              <w:spacing w:after="0"/>
              <w:rPr>
                <w:sz w:val="20"/>
                <w:szCs w:val="20"/>
                <w:color w:val="auto"/>
              </w:rPr>
            </w:pPr>
            <w:r>
              <w:rPr>
                <w:rFonts w:ascii="Arial" w:cs="Arial" w:eastAsia="Arial" w:hAnsi="Arial"/>
                <w:sz w:val="16"/>
                <w:szCs w:val="16"/>
                <w:b w:val="1"/>
                <w:bCs w:val="1"/>
                <w:color w:val="auto"/>
              </w:rPr>
              <w:t>OHIO</w:t>
            </w: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34-1469491</w:t>
            </w: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vMerge w:val="continue"/>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vMerge w:val="continue"/>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3080" w:type="dxa"/>
            <w:vAlign w:val="bottom"/>
            <w:gridSpan w:val="3"/>
          </w:tcPr>
          <w:p>
            <w:pPr>
              <w:jc w:val="center"/>
              <w:ind w:left="608"/>
              <w:spacing w:after="0" w:line="119" w:lineRule="exact"/>
              <w:rPr>
                <w:sz w:val="20"/>
                <w:szCs w:val="20"/>
                <w:color w:val="auto"/>
              </w:rPr>
            </w:pPr>
            <w:r>
              <w:rPr>
                <w:rFonts w:ascii="Arial" w:cs="Arial" w:eastAsia="Arial" w:hAnsi="Arial"/>
                <w:sz w:val="13"/>
                <w:szCs w:val="13"/>
                <w:b w:val="1"/>
                <w:bCs w:val="1"/>
                <w:color w:val="auto"/>
                <w:w w:val="98"/>
              </w:rPr>
              <w:t>(State or other jurisdiction of</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rPr>
              <w:t>(IRS Employer</w:t>
            </w:r>
          </w:p>
        </w:tc>
        <w:tc>
          <w:tcPr>
            <w:tcW w:w="0" w:type="dxa"/>
            <w:vAlign w:val="bottom"/>
          </w:tcPr>
          <w:p>
            <w:pPr>
              <w:spacing w:after="0"/>
              <w:rPr>
                <w:sz w:val="1"/>
                <w:szCs w:val="1"/>
                <w:color w:val="auto"/>
              </w:rPr>
            </w:pPr>
          </w:p>
        </w:tc>
      </w:tr>
      <w:tr>
        <w:trPr>
          <w:trHeight w:val="183"/>
        </w:trPr>
        <w:tc>
          <w:tcPr>
            <w:tcW w:w="3080" w:type="dxa"/>
            <w:vAlign w:val="bottom"/>
            <w:gridSpan w:val="3"/>
          </w:tcPr>
          <w:p>
            <w:pPr>
              <w:jc w:val="center"/>
              <w:ind w:left="608"/>
              <w:spacing w:after="0"/>
              <w:rPr>
                <w:sz w:val="20"/>
                <w:szCs w:val="20"/>
                <w:color w:val="auto"/>
              </w:rPr>
            </w:pPr>
            <w:r>
              <w:rPr>
                <w:rFonts w:ascii="Arial" w:cs="Arial" w:eastAsia="Arial" w:hAnsi="Arial"/>
                <w:sz w:val="14"/>
                <w:szCs w:val="14"/>
                <w:b w:val="1"/>
                <w:bCs w:val="1"/>
                <w:color w:val="auto"/>
                <w:w w:val="92"/>
              </w:rPr>
              <w:t>incorporation or organization)</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234"/>
        </w:trPr>
        <w:tc>
          <w:tcPr>
            <w:tcW w:w="3080" w:type="dxa"/>
            <w:vAlign w:val="bottom"/>
            <w:gridSpan w:val="3"/>
          </w:tcPr>
          <w:p>
            <w:pPr>
              <w:jc w:val="center"/>
              <w:ind w:left="608"/>
              <w:spacing w:after="0"/>
              <w:rPr>
                <w:sz w:val="20"/>
                <w:szCs w:val="20"/>
                <w:color w:val="auto"/>
              </w:rPr>
            </w:pPr>
            <w:r>
              <w:rPr>
                <w:rFonts w:ascii="Arial" w:cs="Arial" w:eastAsia="Arial" w:hAnsi="Arial"/>
                <w:sz w:val="16"/>
                <w:szCs w:val="16"/>
                <w:b w:val="1"/>
                <w:bCs w:val="1"/>
                <w:color w:val="auto"/>
                <w:w w:val="90"/>
              </w:rPr>
              <w:t>307 North Defiance Street</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89"/>
              </w:rPr>
              <w:t>Archbold, Ohio</w:t>
            </w:r>
          </w:p>
        </w:tc>
        <w:tc>
          <w:tcPr>
            <w:tcW w:w="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6"/>
                <w:szCs w:val="16"/>
                <w:b w:val="1"/>
                <w:bCs w:val="1"/>
                <w:color w:val="auto"/>
              </w:rPr>
              <w:t>43502</w:t>
            </w: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19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8"/>
              </w:rPr>
              <w:t>(Address of principal</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rPr>
              <w:t>(Zip Code)</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Executive offices)</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40" w:type="dxa"/>
            <w:vAlign w:val="bottom"/>
            <w:gridSpan w:val="11"/>
          </w:tcPr>
          <w:p>
            <w:pPr>
              <w:jc w:val="center"/>
              <w:ind w:left="161"/>
              <w:spacing w:after="0"/>
              <w:rPr>
                <w:sz w:val="20"/>
                <w:szCs w:val="20"/>
                <w:color w:val="auto"/>
              </w:rPr>
            </w:pPr>
            <w:r>
              <w:rPr>
                <w:rFonts w:ascii="Arial" w:cs="Arial" w:eastAsia="Arial" w:hAnsi="Arial"/>
                <w:sz w:val="16"/>
                <w:szCs w:val="16"/>
                <w:b w:val="1"/>
                <w:bCs w:val="1"/>
                <w:color w:val="auto"/>
                <w:w w:val="88"/>
              </w:rPr>
              <w:t>Registrant’s telephone number, including area code (419) 446-2501</w:t>
            </w: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40" w:type="dxa"/>
            <w:vAlign w:val="bottom"/>
            <w:gridSpan w:val="11"/>
          </w:tcPr>
          <w:p>
            <w:pPr>
              <w:jc w:val="center"/>
              <w:ind w:left="181"/>
              <w:spacing w:after="0"/>
              <w:rPr>
                <w:sz w:val="20"/>
                <w:szCs w:val="20"/>
                <w:color w:val="auto"/>
              </w:rPr>
            </w:pPr>
            <w:r>
              <w:rPr>
                <w:rFonts w:ascii="Arial" w:cs="Arial" w:eastAsia="Arial" w:hAnsi="Arial"/>
                <w:sz w:val="16"/>
                <w:szCs w:val="16"/>
                <w:b w:val="1"/>
                <w:bCs w:val="1"/>
                <w:color w:val="auto"/>
                <w:w w:val="87"/>
              </w:rPr>
              <w:t>Securities registered pursuant to Section 12(b) of the Act:</w:t>
            </w: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0" w:type="dxa"/>
            <w:vAlign w:val="bottom"/>
            <w:gridSpan w:val="8"/>
          </w:tcPr>
          <w:p>
            <w:pPr>
              <w:jc w:val="center"/>
              <w:ind w:left="1001"/>
              <w:spacing w:after="0"/>
              <w:rPr>
                <w:sz w:val="20"/>
                <w:szCs w:val="20"/>
                <w:color w:val="auto"/>
              </w:rPr>
            </w:pPr>
            <w:r>
              <w:rPr>
                <w:rFonts w:ascii="Arial" w:cs="Arial" w:eastAsia="Arial" w:hAnsi="Arial"/>
                <w:sz w:val="16"/>
                <w:szCs w:val="16"/>
                <w:b w:val="1"/>
                <w:bCs w:val="1"/>
                <w:color w:val="auto"/>
                <w:w w:val="88"/>
              </w:rPr>
              <w:t>__________________________________</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160" w:type="dxa"/>
            <w:vAlign w:val="bottom"/>
          </w:tcPr>
          <w:p>
            <w:pPr>
              <w:spacing w:after="0"/>
              <w:rPr>
                <w:sz w:val="24"/>
                <w:szCs w:val="24"/>
                <w:color w:val="auto"/>
              </w:rPr>
            </w:pPr>
          </w:p>
        </w:tc>
        <w:tc>
          <w:tcPr>
            <w:tcW w:w="192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85"/>
              </w:rPr>
              <w:t>Title of each class</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Trading Symbol(s)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20" w:type="dxa"/>
            <w:vAlign w:val="bottom"/>
            <w:gridSpan w:val="3"/>
          </w:tcPr>
          <w:p>
            <w:pPr>
              <w:ind w:left="320"/>
              <w:spacing w:after="0"/>
              <w:rPr>
                <w:sz w:val="20"/>
                <w:szCs w:val="20"/>
                <w:color w:val="auto"/>
              </w:rPr>
            </w:pPr>
            <w:r>
              <w:rPr>
                <w:rFonts w:ascii="Arial" w:cs="Arial" w:eastAsia="Arial" w:hAnsi="Arial"/>
                <w:sz w:val="16"/>
                <w:szCs w:val="16"/>
                <w:b w:val="1"/>
                <w:bCs w:val="1"/>
                <w:color w:val="auto"/>
              </w:rPr>
              <w:t>Name of each exchange</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080" w:type="dxa"/>
            <w:vAlign w:val="bottom"/>
            <w:gridSpan w:val="3"/>
          </w:tcPr>
          <w:p>
            <w:pPr>
              <w:jc w:val="center"/>
              <w:ind w:left="348"/>
              <w:spacing w:after="0"/>
              <w:rPr>
                <w:sz w:val="20"/>
                <w:szCs w:val="20"/>
                <w:color w:val="auto"/>
              </w:rPr>
            </w:pPr>
            <w:r>
              <w:rPr>
                <w:rFonts w:ascii="Arial" w:cs="Arial" w:eastAsia="Arial" w:hAnsi="Arial"/>
                <w:sz w:val="14"/>
                <w:szCs w:val="14"/>
                <w:b w:val="1"/>
                <w:bCs w:val="1"/>
                <w:color w:val="auto"/>
                <w:w w:val="90"/>
              </w:rPr>
              <w:t>Common Stock, No Par Value</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FMAO</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Arial" w:cs="Arial" w:eastAsia="Arial" w:hAnsi="Arial"/>
                <w:sz w:val="14"/>
                <w:szCs w:val="14"/>
                <w:b w:val="1"/>
                <w:bCs w:val="1"/>
                <w:color w:val="auto"/>
              </w:rPr>
              <w:t>NASDAQ Capital Market</w:t>
            </w:r>
          </w:p>
        </w:tc>
        <w:tc>
          <w:tcPr>
            <w:tcW w:w="0" w:type="dxa"/>
            <w:vAlign w:val="bottom"/>
          </w:tcPr>
          <w:p>
            <w:pPr>
              <w:spacing w:after="0"/>
              <w:rPr>
                <w:sz w:val="1"/>
                <w:szCs w:val="1"/>
                <w:color w:val="auto"/>
              </w:rPr>
            </w:pPr>
          </w:p>
        </w:tc>
      </w:tr>
      <w:tr>
        <w:trPr>
          <w:trHeight w:val="295"/>
        </w:trPr>
        <w:tc>
          <w:tcPr>
            <w:tcW w:w="7920" w:type="dxa"/>
            <w:vAlign w:val="bottom"/>
            <w:gridSpan w:val="14"/>
          </w:tcPr>
          <w:p>
            <w:pPr>
              <w:spacing w:after="0" w:line="173" w:lineRule="exact"/>
              <w:rPr>
                <w:sz w:val="20"/>
                <w:szCs w:val="20"/>
                <w:color w:val="auto"/>
              </w:rPr>
            </w:pPr>
            <w:r>
              <w:rPr>
                <w:rFonts w:ascii="Arial" w:cs="Arial" w:eastAsia="Arial" w:hAnsi="Arial"/>
                <w:sz w:val="15"/>
                <w:szCs w:val="15"/>
                <w:color w:val="auto"/>
                <w:w w:val="92"/>
              </w:rPr>
              <w:t xml:space="preserve">Indicate by check mark if the registrant is a well-known seasoned issuer, as defined in Rule 405 of the Securities Act.  Yes </w:t>
            </w:r>
            <w:r>
              <w:rPr>
                <w:rFonts w:ascii="MS PGothic" w:cs="MS PGothic" w:eastAsia="MS PGothic" w:hAnsi="MS PGothic"/>
                <w:sz w:val="15"/>
                <w:szCs w:val="15"/>
                <w:color w:val="auto"/>
                <w:w w:val="92"/>
              </w:rPr>
              <w:t>☐</w:t>
            </w:r>
            <w:r>
              <w:rPr>
                <w:rFonts w:ascii="Arial" w:cs="Arial" w:eastAsia="Arial" w:hAnsi="Arial"/>
                <w:sz w:val="15"/>
                <w:szCs w:val="15"/>
                <w:color w:val="auto"/>
                <w:w w:val="92"/>
              </w:rPr>
              <w:t xml:space="preserve"> No</w:t>
            </w:r>
          </w:p>
        </w:tc>
        <w:tc>
          <w:tcPr>
            <w:tcW w:w="3320" w:type="dxa"/>
            <w:vAlign w:val="bottom"/>
            <w:gridSpan w:val="3"/>
          </w:tcPr>
          <w:p>
            <w:pPr>
              <w:ind w:left="6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90"/>
        </w:trPr>
        <w:tc>
          <w:tcPr>
            <w:tcW w:w="7920" w:type="dxa"/>
            <w:vAlign w:val="bottom"/>
            <w:gridSpan w:val="14"/>
          </w:tcPr>
          <w:p>
            <w:pPr>
              <w:spacing w:after="0"/>
              <w:rPr>
                <w:sz w:val="20"/>
                <w:szCs w:val="20"/>
                <w:color w:val="auto"/>
              </w:rPr>
            </w:pPr>
            <w:r>
              <w:rPr>
                <w:rFonts w:ascii="Arial" w:cs="Arial" w:eastAsia="Arial" w:hAnsi="Arial"/>
                <w:sz w:val="15"/>
                <w:szCs w:val="15"/>
                <w:color w:val="auto"/>
                <w:w w:val="92"/>
              </w:rPr>
              <w:t>Indicate by check mark if the registrant is not required to file reports pursuant to Section 13 or Section 15(d) of the Exchange Act.</w:t>
            </w:r>
          </w:p>
        </w:tc>
        <w:tc>
          <w:tcPr>
            <w:tcW w:w="3320" w:type="dxa"/>
            <w:vAlign w:val="bottom"/>
            <w:gridSpan w:val="3"/>
          </w:tcPr>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72" w:lineRule="exact"/>
        <w:rPr>
          <w:sz w:val="24"/>
          <w:szCs w:val="24"/>
          <w:color w:val="auto"/>
        </w:rPr>
      </w:pPr>
    </w:p>
    <w:p>
      <w:pPr>
        <w:jc w:val="both"/>
        <w:spacing w:after="0" w:line="18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jc w:val="both"/>
        <w:spacing w:after="0" w:line="18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spacing w:after="0" w:line="27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3" w:right="339" w:bottom="1440" w:gutter="0" w:footer="0" w:header="0"/>
        </w:sect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83" w:lineRule="exact"/>
        <w:rPr>
          <w:sz w:val="24"/>
          <w:szCs w:val="24"/>
          <w:color w:val="auto"/>
        </w:rPr>
      </w:pPr>
    </w:p>
    <w:p>
      <w:pPr>
        <w:sectPr>
          <w:pgSz w:w="11900" w:h="16838" w:orient="portrait"/>
          <w:cols w:equalWidth="0" w:num="2">
            <w:col w:w="7220" w:space="720"/>
            <w:col w:w="3300"/>
          </w:cols>
          <w:pgMar w:left="320" w:top="213" w:right="33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35" w:lineRule="exact"/>
        <w:rPr>
          <w:sz w:val="24"/>
          <w:szCs w:val="24"/>
          <w:color w:val="auto"/>
        </w:rPr>
      </w:pPr>
    </w:p>
    <w:p>
      <w:pPr>
        <w:sectPr>
          <w:pgSz w:w="11900" w:h="16838" w:orient="portrait"/>
          <w:cols w:equalWidth="0" w:num="2">
            <w:col w:w="7220" w:space="720"/>
            <w:col w:w="3300"/>
          </w:cols>
          <w:pgMar w:left="320" w:top="213" w:right="33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40"/>
          </w:cols>
          <w:pgMar w:left="320" w:top="213" w:right="339" w:bottom="1440" w:gutter="0" w:footer="0" w:header="0"/>
          <w:type w:val="continuous"/>
        </w:sectPr>
      </w:pPr>
    </w:p>
    <w:p>
      <w:pPr>
        <w:spacing w:after="0" w:line="107" w:lineRule="exact"/>
        <w:rPr>
          <w:sz w:val="24"/>
          <w:szCs w:val="24"/>
          <w:color w:val="auto"/>
        </w:rPr>
      </w:pPr>
    </w:p>
    <w:p>
      <w:pPr>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3" w:lineRule="exact"/>
        <w:rPr>
          <w:sz w:val="24"/>
          <w:szCs w:val="24"/>
          <w:color w:val="auto"/>
        </w:rPr>
      </w:pPr>
    </w:p>
    <w:p>
      <w:pPr>
        <w:spacing w:after="0" w:line="188"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58" w:lineRule="exact"/>
        <w:rPr>
          <w:sz w:val="24"/>
          <w:szCs w:val="24"/>
          <w:color w:val="auto"/>
        </w:rPr>
      </w:pPr>
    </w:p>
    <w:p>
      <w:pPr>
        <w:spacing w:after="0" w:line="173" w:lineRule="exact"/>
        <w:tabs>
          <w:tab w:leader="none" w:pos="6940" w:val="left"/>
          <w:tab w:leader="none" w:pos="75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32" w:lineRule="exact"/>
        <w:rPr>
          <w:sz w:val="24"/>
          <w:szCs w:val="24"/>
          <w:color w:val="auto"/>
        </w:rPr>
      </w:pPr>
    </w:p>
    <w:p>
      <w:pPr>
        <w:spacing w:after="0"/>
        <w:rPr>
          <w:sz w:val="20"/>
          <w:szCs w:val="20"/>
          <w:color w:val="auto"/>
        </w:rPr>
      </w:pPr>
      <w:r>
        <w:rPr>
          <w:rFonts w:ascii="Arial" w:cs="Arial" w:eastAsia="Arial" w:hAnsi="Arial"/>
          <w:sz w:val="15"/>
          <w:szCs w:val="15"/>
          <w:color w:val="auto"/>
        </w:rPr>
        <w:t>As of June 30, 2020, the aggregate market value of the registrant’s common stock held by non-affiliates of the registrant was $236,380,491.</w:t>
      </w:r>
    </w:p>
    <w:p>
      <w:pPr>
        <w:spacing w:after="0" w:line="91" w:lineRule="exact"/>
        <w:rPr>
          <w:sz w:val="24"/>
          <w:szCs w:val="24"/>
          <w:color w:val="auto"/>
        </w:rPr>
      </w:pPr>
    </w:p>
    <w:p>
      <w:pPr>
        <w:spacing w:after="0"/>
        <w:rPr>
          <w:sz w:val="20"/>
          <w:szCs w:val="20"/>
          <w:color w:val="auto"/>
        </w:rPr>
      </w:pPr>
      <w:r>
        <w:rPr>
          <w:rFonts w:ascii="Arial" w:cs="Arial" w:eastAsia="Arial" w:hAnsi="Arial"/>
          <w:sz w:val="15"/>
          <w:szCs w:val="15"/>
          <w:color w:val="auto"/>
        </w:rPr>
        <w:t>As of February 19, 2021, the Registrant had 12,230,000 shares of common stock issued of which 11,196,744 shares are outstanding.</w:t>
      </w:r>
    </w:p>
    <w:p>
      <w:pPr>
        <w:spacing w:after="0" w:line="245" w:lineRule="exact"/>
        <w:rPr>
          <w:sz w:val="24"/>
          <w:szCs w:val="24"/>
          <w:color w:val="auto"/>
        </w:rPr>
      </w:pPr>
    </w:p>
    <w:p>
      <w:pPr>
        <w:ind w:left="3920"/>
        <w:spacing w:after="0"/>
        <w:rPr>
          <w:sz w:val="20"/>
          <w:szCs w:val="20"/>
          <w:color w:val="auto"/>
        </w:rPr>
      </w:pPr>
      <w:r>
        <w:rPr>
          <w:rFonts w:ascii="Arial" w:cs="Arial" w:eastAsia="Arial" w:hAnsi="Arial"/>
          <w:sz w:val="15"/>
          <w:szCs w:val="15"/>
          <w:b w:val="1"/>
          <w:bCs w:val="1"/>
          <w:u w:val="single" w:color="auto"/>
          <w:color w:val="auto"/>
        </w:rPr>
        <w:t>DOCUMENTS INCORPORATED BY REFERENCE</w:t>
      </w:r>
    </w:p>
    <w:p>
      <w:pPr>
        <w:spacing w:after="0" w:line="95" w:lineRule="exact"/>
        <w:rPr>
          <w:sz w:val="24"/>
          <w:szCs w:val="24"/>
          <w:color w:val="auto"/>
        </w:rPr>
      </w:pPr>
    </w:p>
    <w:p>
      <w:pPr>
        <w:spacing w:after="0"/>
        <w:rPr>
          <w:sz w:val="20"/>
          <w:szCs w:val="20"/>
          <w:color w:val="auto"/>
        </w:rPr>
      </w:pPr>
      <w:r>
        <w:rPr>
          <w:rFonts w:ascii="Arial" w:cs="Arial" w:eastAsia="Arial" w:hAnsi="Arial"/>
          <w:sz w:val="15"/>
          <w:szCs w:val="15"/>
          <w:color w:val="auto"/>
        </w:rPr>
        <w:t>Part III of Form 10-K – Portions of the definitive Proxy Statement for the 2021 Annual Meeting of Shareholders of Farmers &amp; Merchants Bancorp, Inc.</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21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1"/>
        </w:trPr>
        <w:tc>
          <w:tcPr>
            <w:tcW w:w="1520" w:type="dxa"/>
            <w:vAlign w:val="bottom"/>
          </w:tcPr>
          <w:p>
            <w:pPr>
              <w:spacing w:after="0"/>
              <w:rPr>
                <w:sz w:val="18"/>
                <w:szCs w:val="18"/>
                <w:color w:val="auto"/>
              </w:rPr>
            </w:pPr>
          </w:p>
        </w:tc>
        <w:tc>
          <w:tcPr>
            <w:tcW w:w="8300" w:type="dxa"/>
            <w:vAlign w:val="bottom"/>
          </w:tcPr>
          <w:p>
            <w:pPr>
              <w:ind w:left="2400"/>
              <w:spacing w:after="0"/>
              <w:rPr>
                <w:sz w:val="20"/>
                <w:szCs w:val="20"/>
                <w:color w:val="auto"/>
              </w:rPr>
            </w:pPr>
            <w:r>
              <w:rPr>
                <w:rFonts w:ascii="Arial" w:cs="Arial" w:eastAsia="Arial" w:hAnsi="Arial"/>
                <w:sz w:val="18"/>
                <w:szCs w:val="18"/>
                <w:color w:val="auto"/>
              </w:rPr>
              <w:t>FARMERS &amp; MERCHANTS BANCORP, INC.</w:t>
            </w:r>
          </w:p>
        </w:tc>
        <w:tc>
          <w:tcPr>
            <w:tcW w:w="1420" w:type="dxa"/>
            <w:vAlign w:val="bottom"/>
          </w:tcPr>
          <w:p>
            <w:pPr>
              <w:spacing w:after="0"/>
              <w:rPr>
                <w:sz w:val="18"/>
                <w:szCs w:val="18"/>
                <w:color w:val="auto"/>
              </w:rPr>
            </w:pPr>
          </w:p>
        </w:tc>
      </w:tr>
      <w:tr>
        <w:trPr>
          <w:trHeight w:val="222"/>
        </w:trPr>
        <w:tc>
          <w:tcPr>
            <w:tcW w:w="1520" w:type="dxa"/>
            <w:vAlign w:val="bottom"/>
          </w:tcPr>
          <w:p>
            <w:pPr>
              <w:spacing w:after="0"/>
              <w:rPr>
                <w:sz w:val="19"/>
                <w:szCs w:val="19"/>
                <w:color w:val="auto"/>
              </w:rPr>
            </w:pPr>
          </w:p>
        </w:tc>
        <w:tc>
          <w:tcPr>
            <w:tcW w:w="8300" w:type="dxa"/>
            <w:vAlign w:val="bottom"/>
          </w:tcPr>
          <w:p>
            <w:pPr>
              <w:ind w:left="3220"/>
              <w:spacing w:after="0"/>
              <w:rPr>
                <w:sz w:val="20"/>
                <w:szCs w:val="20"/>
                <w:color w:val="auto"/>
              </w:rPr>
            </w:pPr>
            <w:r>
              <w:rPr>
                <w:rFonts w:ascii="Arial" w:cs="Arial" w:eastAsia="Arial" w:hAnsi="Arial"/>
                <w:sz w:val="18"/>
                <w:szCs w:val="18"/>
                <w:color w:val="auto"/>
              </w:rPr>
              <w:t>TABLE OF CONTENTS</w:t>
            </w:r>
          </w:p>
        </w:tc>
        <w:tc>
          <w:tcPr>
            <w:tcW w:w="1420" w:type="dxa"/>
            <w:vAlign w:val="bottom"/>
          </w:tcPr>
          <w:p>
            <w:pPr>
              <w:spacing w:after="0"/>
              <w:rPr>
                <w:sz w:val="19"/>
                <w:szCs w:val="19"/>
                <w:color w:val="auto"/>
              </w:rPr>
            </w:pPr>
          </w:p>
        </w:tc>
      </w:tr>
      <w:tr>
        <w:trPr>
          <w:trHeight w:val="422"/>
        </w:trPr>
        <w:tc>
          <w:tcPr>
            <w:tcW w:w="1520" w:type="dxa"/>
            <w:vAlign w:val="bottom"/>
            <w:tcBorders>
              <w:bottom w:val="single" w:sz="8" w:color="auto"/>
            </w:tcBorders>
          </w:tcPr>
          <w:p>
            <w:pPr>
              <w:spacing w:after="0" w:line="207" w:lineRule="exact"/>
              <w:rPr>
                <w:sz w:val="20"/>
                <w:szCs w:val="20"/>
                <w:color w:val="auto"/>
              </w:rPr>
            </w:pPr>
            <w:r>
              <w:rPr>
                <w:rFonts w:ascii="Arial" w:cs="Arial" w:eastAsia="Arial" w:hAnsi="Arial"/>
                <w:sz w:val="18"/>
                <w:szCs w:val="18"/>
                <w:color w:val="auto"/>
              </w:rPr>
              <w:t>Form 10</w:t>
            </w:r>
            <w:r>
              <w:rPr>
                <w:rFonts w:ascii="MS PGothic" w:cs="MS PGothic" w:eastAsia="MS PGothic" w:hAnsi="MS PGothic"/>
                <w:sz w:val="18"/>
                <w:szCs w:val="18"/>
                <w:color w:val="auto"/>
              </w:rPr>
              <w:t>‑</w:t>
            </w:r>
            <w:r>
              <w:rPr>
                <w:rFonts w:ascii="Arial" w:cs="Arial" w:eastAsia="Arial" w:hAnsi="Arial"/>
                <w:sz w:val="18"/>
                <w:szCs w:val="18"/>
                <w:color w:val="auto"/>
              </w:rPr>
              <w:t>K Items</w:t>
            </w:r>
          </w:p>
        </w:tc>
        <w:tc>
          <w:tcPr>
            <w:tcW w:w="8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color w:val="auto"/>
              </w:rPr>
              <w:t>PAGE</w:t>
            </w:r>
          </w:p>
        </w:tc>
      </w:tr>
      <w:tr>
        <w:trPr>
          <w:trHeight w:val="322"/>
        </w:trPr>
        <w:tc>
          <w:tcPr>
            <w:tcW w:w="1520" w:type="dxa"/>
            <w:vAlign w:val="bottom"/>
          </w:tcPr>
          <w:p>
            <w:pPr>
              <w:spacing w:after="0"/>
              <w:rPr>
                <w:sz w:val="20"/>
                <w:szCs w:val="20"/>
                <w:color w:val="auto"/>
              </w:rPr>
            </w:pPr>
            <w:r>
              <w:rPr>
                <w:rFonts w:ascii="Arial" w:cs="Arial" w:eastAsia="Arial" w:hAnsi="Arial"/>
                <w:sz w:val="18"/>
                <w:szCs w:val="18"/>
                <w:color w:val="auto"/>
              </w:rPr>
              <w:t>Item 1.</w:t>
            </w:r>
          </w:p>
        </w:tc>
        <w:tc>
          <w:tcPr>
            <w:tcW w:w="8300" w:type="dxa"/>
            <w:vAlign w:val="bottom"/>
          </w:tcPr>
          <w:p>
            <w:pPr>
              <w:ind w:left="2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329"/>
        </w:trPr>
        <w:tc>
          <w:tcPr>
            <w:tcW w:w="1520" w:type="dxa"/>
            <w:vAlign w:val="bottom"/>
          </w:tcPr>
          <w:p>
            <w:pPr>
              <w:spacing w:after="0"/>
              <w:rPr>
                <w:sz w:val="20"/>
                <w:szCs w:val="20"/>
                <w:color w:val="auto"/>
              </w:rPr>
            </w:pPr>
            <w:r>
              <w:rPr>
                <w:rFonts w:ascii="Arial" w:cs="Arial" w:eastAsia="Arial" w:hAnsi="Arial"/>
                <w:sz w:val="18"/>
                <w:szCs w:val="18"/>
                <w:color w:val="auto"/>
              </w:rPr>
              <w:t>Item 1a.</w:t>
            </w:r>
          </w:p>
        </w:tc>
        <w:tc>
          <w:tcPr>
            <w:tcW w:w="8300" w:type="dxa"/>
            <w:vAlign w:val="bottom"/>
          </w:tcPr>
          <w:p>
            <w:pPr>
              <w:ind w:left="28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10-17</w:t>
            </w:r>
          </w:p>
        </w:tc>
      </w:tr>
      <w:tr>
        <w:trPr>
          <w:trHeight w:val="329"/>
        </w:trPr>
        <w:tc>
          <w:tcPr>
            <w:tcW w:w="1520" w:type="dxa"/>
            <w:vAlign w:val="bottom"/>
          </w:tcPr>
          <w:p>
            <w:pPr>
              <w:spacing w:after="0"/>
              <w:rPr>
                <w:sz w:val="20"/>
                <w:szCs w:val="20"/>
                <w:color w:val="auto"/>
              </w:rPr>
            </w:pPr>
            <w:r>
              <w:rPr>
                <w:rFonts w:ascii="Arial" w:cs="Arial" w:eastAsia="Arial" w:hAnsi="Arial"/>
                <w:sz w:val="18"/>
                <w:szCs w:val="18"/>
                <w:color w:val="auto"/>
              </w:rPr>
              <w:t>Item 1b.</w:t>
            </w:r>
          </w:p>
        </w:tc>
        <w:tc>
          <w:tcPr>
            <w:tcW w:w="8300" w:type="dxa"/>
            <w:vAlign w:val="bottom"/>
          </w:tcPr>
          <w:p>
            <w:pPr>
              <w:ind w:left="2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Unresolved Staff Comments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9"/>
        </w:trPr>
        <w:tc>
          <w:tcPr>
            <w:tcW w:w="1520" w:type="dxa"/>
            <w:vAlign w:val="bottom"/>
          </w:tcPr>
          <w:p>
            <w:pPr>
              <w:spacing w:after="0"/>
              <w:rPr>
                <w:sz w:val="20"/>
                <w:szCs w:val="20"/>
                <w:color w:val="auto"/>
              </w:rPr>
            </w:pPr>
            <w:r>
              <w:rPr>
                <w:rFonts w:ascii="Arial" w:cs="Arial" w:eastAsia="Arial" w:hAnsi="Arial"/>
                <w:sz w:val="18"/>
                <w:szCs w:val="18"/>
                <w:color w:val="auto"/>
              </w:rPr>
              <w:t>Item 2.</w:t>
            </w:r>
          </w:p>
        </w:tc>
        <w:tc>
          <w:tcPr>
            <w:tcW w:w="8300" w:type="dxa"/>
            <w:vAlign w:val="bottom"/>
          </w:tcPr>
          <w:p>
            <w:pPr>
              <w:ind w:left="28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Properties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9"/>
        </w:trPr>
        <w:tc>
          <w:tcPr>
            <w:tcW w:w="1520" w:type="dxa"/>
            <w:vAlign w:val="bottom"/>
          </w:tcPr>
          <w:p>
            <w:pPr>
              <w:spacing w:after="0"/>
              <w:rPr>
                <w:sz w:val="20"/>
                <w:szCs w:val="20"/>
                <w:color w:val="auto"/>
              </w:rPr>
            </w:pPr>
            <w:r>
              <w:rPr>
                <w:rFonts w:ascii="Arial" w:cs="Arial" w:eastAsia="Arial" w:hAnsi="Arial"/>
                <w:sz w:val="18"/>
                <w:szCs w:val="18"/>
                <w:color w:val="auto"/>
              </w:rPr>
              <w:t>Item 3.</w:t>
            </w:r>
          </w:p>
        </w:tc>
        <w:tc>
          <w:tcPr>
            <w:tcW w:w="8300" w:type="dxa"/>
            <w:vAlign w:val="bottom"/>
          </w:tcPr>
          <w:p>
            <w:pPr>
              <w:ind w:left="2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Legal Proceedings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9"/>
        </w:trPr>
        <w:tc>
          <w:tcPr>
            <w:tcW w:w="1520" w:type="dxa"/>
            <w:vAlign w:val="bottom"/>
          </w:tcPr>
          <w:p>
            <w:pPr>
              <w:spacing w:after="0"/>
              <w:rPr>
                <w:sz w:val="20"/>
                <w:szCs w:val="20"/>
                <w:color w:val="auto"/>
              </w:rPr>
            </w:pPr>
            <w:r>
              <w:rPr>
                <w:rFonts w:ascii="Arial" w:cs="Arial" w:eastAsia="Arial" w:hAnsi="Arial"/>
                <w:sz w:val="18"/>
                <w:szCs w:val="18"/>
                <w:color w:val="auto"/>
              </w:rPr>
              <w:t>Item 4.</w:t>
            </w:r>
          </w:p>
        </w:tc>
        <w:tc>
          <w:tcPr>
            <w:tcW w:w="8300" w:type="dxa"/>
            <w:vAlign w:val="bottom"/>
          </w:tcPr>
          <w:p>
            <w:pPr>
              <w:ind w:left="2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Mine Safety Disclosures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9"/>
        </w:trPr>
        <w:tc>
          <w:tcPr>
            <w:tcW w:w="1520" w:type="dxa"/>
            <w:vAlign w:val="bottom"/>
          </w:tcPr>
          <w:p>
            <w:pPr>
              <w:spacing w:after="0"/>
              <w:rPr>
                <w:sz w:val="20"/>
                <w:szCs w:val="20"/>
                <w:color w:val="auto"/>
              </w:rPr>
            </w:pPr>
            <w:r>
              <w:rPr>
                <w:rFonts w:ascii="Arial" w:cs="Arial" w:eastAsia="Arial" w:hAnsi="Arial"/>
                <w:sz w:val="18"/>
                <w:szCs w:val="18"/>
                <w:color w:val="auto"/>
              </w:rPr>
              <w:t>Item 5.</w:t>
            </w:r>
          </w:p>
        </w:tc>
        <w:tc>
          <w:tcPr>
            <w:tcW w:w="8300" w:type="dxa"/>
            <w:vAlign w:val="bottom"/>
          </w:tcPr>
          <w:p>
            <w:pPr>
              <w:ind w:left="2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Market for Registrant’s Common Equity and Related Stockholder Matters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329"/>
        </w:trPr>
        <w:tc>
          <w:tcPr>
            <w:tcW w:w="1520" w:type="dxa"/>
            <w:vAlign w:val="bottom"/>
          </w:tcPr>
          <w:p>
            <w:pPr>
              <w:spacing w:after="0"/>
              <w:rPr>
                <w:sz w:val="20"/>
                <w:szCs w:val="20"/>
                <w:color w:val="auto"/>
              </w:rPr>
            </w:pPr>
            <w:r>
              <w:rPr>
                <w:rFonts w:ascii="Arial" w:cs="Arial" w:eastAsia="Arial" w:hAnsi="Arial"/>
                <w:sz w:val="18"/>
                <w:szCs w:val="18"/>
                <w:color w:val="auto"/>
              </w:rPr>
              <w:t>Item 6.</w:t>
            </w:r>
          </w:p>
        </w:tc>
        <w:tc>
          <w:tcPr>
            <w:tcW w:w="8300" w:type="dxa"/>
            <w:vAlign w:val="bottom"/>
          </w:tcPr>
          <w:p>
            <w:pPr>
              <w:ind w:left="2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Selected Financial Data</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21-22</w:t>
            </w:r>
          </w:p>
        </w:tc>
      </w:tr>
      <w:tr>
        <w:trPr>
          <w:trHeight w:val="329"/>
        </w:trPr>
        <w:tc>
          <w:tcPr>
            <w:tcW w:w="1520" w:type="dxa"/>
            <w:vAlign w:val="bottom"/>
          </w:tcPr>
          <w:p>
            <w:pPr>
              <w:spacing w:after="0"/>
              <w:rPr>
                <w:sz w:val="20"/>
                <w:szCs w:val="20"/>
                <w:color w:val="auto"/>
              </w:rPr>
            </w:pPr>
            <w:r>
              <w:rPr>
                <w:rFonts w:ascii="Arial" w:cs="Arial" w:eastAsia="Arial" w:hAnsi="Arial"/>
                <w:sz w:val="18"/>
                <w:szCs w:val="18"/>
                <w:color w:val="auto"/>
              </w:rPr>
              <w:t>Item 7.</w:t>
            </w:r>
          </w:p>
        </w:tc>
        <w:tc>
          <w:tcPr>
            <w:tcW w:w="8300" w:type="dxa"/>
            <w:vAlign w:val="bottom"/>
          </w:tcPr>
          <w:p>
            <w:pPr>
              <w:ind w:left="28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Management Discussion and Analysis of Financial Condition and Results of Operations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22-47</w:t>
            </w:r>
          </w:p>
        </w:tc>
      </w:tr>
      <w:tr>
        <w:trPr>
          <w:trHeight w:val="329"/>
        </w:trPr>
        <w:tc>
          <w:tcPr>
            <w:tcW w:w="1520" w:type="dxa"/>
            <w:vAlign w:val="bottom"/>
          </w:tcPr>
          <w:p>
            <w:pPr>
              <w:spacing w:after="0"/>
              <w:rPr>
                <w:sz w:val="20"/>
                <w:szCs w:val="20"/>
                <w:color w:val="auto"/>
              </w:rPr>
            </w:pPr>
            <w:r>
              <w:rPr>
                <w:rFonts w:ascii="Arial" w:cs="Arial" w:eastAsia="Arial" w:hAnsi="Arial"/>
                <w:sz w:val="18"/>
                <w:szCs w:val="18"/>
                <w:color w:val="auto"/>
              </w:rPr>
              <w:t>Item 7a.</w:t>
            </w:r>
          </w:p>
        </w:tc>
        <w:tc>
          <w:tcPr>
            <w:tcW w:w="8300" w:type="dxa"/>
            <w:vAlign w:val="bottom"/>
          </w:tcPr>
          <w:p>
            <w:pPr>
              <w:ind w:left="2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Quantitative and Qualitative Disclosures About Market Risk</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9"/>
        </w:trPr>
        <w:tc>
          <w:tcPr>
            <w:tcW w:w="1520" w:type="dxa"/>
            <w:vAlign w:val="bottom"/>
          </w:tcPr>
          <w:p>
            <w:pPr>
              <w:spacing w:after="0"/>
              <w:rPr>
                <w:sz w:val="20"/>
                <w:szCs w:val="20"/>
                <w:color w:val="auto"/>
              </w:rPr>
            </w:pPr>
            <w:r>
              <w:rPr>
                <w:rFonts w:ascii="Arial" w:cs="Arial" w:eastAsia="Arial" w:hAnsi="Arial"/>
                <w:sz w:val="18"/>
                <w:szCs w:val="18"/>
                <w:color w:val="auto"/>
              </w:rPr>
              <w:t>Item 8.</w:t>
            </w:r>
          </w:p>
        </w:tc>
        <w:tc>
          <w:tcPr>
            <w:tcW w:w="8300" w:type="dxa"/>
            <w:vAlign w:val="bottom"/>
          </w:tcPr>
          <w:p>
            <w:pPr>
              <w:ind w:left="2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Financial Statements and Supplementary Data</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49-105</w:t>
            </w:r>
          </w:p>
        </w:tc>
      </w:tr>
      <w:tr>
        <w:trPr>
          <w:trHeight w:val="329"/>
        </w:trPr>
        <w:tc>
          <w:tcPr>
            <w:tcW w:w="1520" w:type="dxa"/>
            <w:vAlign w:val="bottom"/>
          </w:tcPr>
          <w:p>
            <w:pPr>
              <w:spacing w:after="0"/>
              <w:rPr>
                <w:sz w:val="20"/>
                <w:szCs w:val="20"/>
                <w:color w:val="auto"/>
              </w:rPr>
            </w:pPr>
            <w:r>
              <w:rPr>
                <w:rFonts w:ascii="Arial" w:cs="Arial" w:eastAsia="Arial" w:hAnsi="Arial"/>
                <w:sz w:val="18"/>
                <w:szCs w:val="18"/>
                <w:color w:val="auto"/>
              </w:rPr>
              <w:t>Item 9.</w:t>
            </w:r>
          </w:p>
        </w:tc>
        <w:tc>
          <w:tcPr>
            <w:tcW w:w="8300" w:type="dxa"/>
            <w:vAlign w:val="bottom"/>
          </w:tcPr>
          <w:p>
            <w:pPr>
              <w:ind w:left="28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Changes In and Disagreements on Accounting and Financial Disclosure</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9"/>
        </w:trPr>
        <w:tc>
          <w:tcPr>
            <w:tcW w:w="1520" w:type="dxa"/>
            <w:vAlign w:val="bottom"/>
          </w:tcPr>
          <w:p>
            <w:pPr>
              <w:spacing w:after="0"/>
              <w:rPr>
                <w:sz w:val="20"/>
                <w:szCs w:val="20"/>
                <w:color w:val="auto"/>
              </w:rPr>
            </w:pPr>
            <w:r>
              <w:rPr>
                <w:rFonts w:ascii="Arial" w:cs="Arial" w:eastAsia="Arial" w:hAnsi="Arial"/>
                <w:sz w:val="18"/>
                <w:szCs w:val="18"/>
                <w:color w:val="auto"/>
              </w:rPr>
              <w:t>Item9a.</w:t>
            </w:r>
          </w:p>
        </w:tc>
        <w:tc>
          <w:tcPr>
            <w:tcW w:w="8300" w:type="dxa"/>
            <w:vAlign w:val="bottom"/>
          </w:tcPr>
          <w:p>
            <w:pPr>
              <w:ind w:left="28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Controls and Procedures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9"/>
        </w:trPr>
        <w:tc>
          <w:tcPr>
            <w:tcW w:w="1520" w:type="dxa"/>
            <w:vAlign w:val="bottom"/>
          </w:tcPr>
          <w:p>
            <w:pPr>
              <w:spacing w:after="0"/>
              <w:rPr>
                <w:sz w:val="20"/>
                <w:szCs w:val="20"/>
                <w:color w:val="auto"/>
              </w:rPr>
            </w:pPr>
            <w:r>
              <w:rPr>
                <w:rFonts w:ascii="Arial" w:cs="Arial" w:eastAsia="Arial" w:hAnsi="Arial"/>
                <w:sz w:val="18"/>
                <w:szCs w:val="18"/>
                <w:color w:val="auto"/>
              </w:rPr>
              <w:t>Item 9b.</w:t>
            </w:r>
          </w:p>
        </w:tc>
        <w:tc>
          <w:tcPr>
            <w:tcW w:w="8300" w:type="dxa"/>
            <w:vAlign w:val="bottom"/>
          </w:tcPr>
          <w:p>
            <w:pPr>
              <w:ind w:left="28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Other Information</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9"/>
        </w:trPr>
        <w:tc>
          <w:tcPr>
            <w:tcW w:w="1520" w:type="dxa"/>
            <w:vAlign w:val="bottom"/>
          </w:tcPr>
          <w:p>
            <w:pPr>
              <w:spacing w:after="0"/>
              <w:rPr>
                <w:sz w:val="20"/>
                <w:szCs w:val="20"/>
                <w:color w:val="auto"/>
              </w:rPr>
            </w:pPr>
            <w:r>
              <w:rPr>
                <w:rFonts w:ascii="Arial" w:cs="Arial" w:eastAsia="Arial" w:hAnsi="Arial"/>
                <w:sz w:val="18"/>
                <w:szCs w:val="18"/>
                <w:color w:val="auto"/>
              </w:rPr>
              <w:t>Item 10.</w:t>
            </w:r>
          </w:p>
        </w:tc>
        <w:tc>
          <w:tcPr>
            <w:tcW w:w="8300" w:type="dxa"/>
            <w:vAlign w:val="bottom"/>
          </w:tcPr>
          <w:p>
            <w:pPr>
              <w:ind w:left="28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Directors and Executive Officers of the Registrant</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107-108</w:t>
            </w:r>
          </w:p>
        </w:tc>
      </w:tr>
      <w:tr>
        <w:trPr>
          <w:trHeight w:val="329"/>
        </w:trPr>
        <w:tc>
          <w:tcPr>
            <w:tcW w:w="1520" w:type="dxa"/>
            <w:vAlign w:val="bottom"/>
          </w:tcPr>
          <w:p>
            <w:pPr>
              <w:spacing w:after="0"/>
              <w:rPr>
                <w:sz w:val="20"/>
                <w:szCs w:val="20"/>
                <w:color w:val="auto"/>
              </w:rPr>
            </w:pPr>
            <w:r>
              <w:rPr>
                <w:rFonts w:ascii="Arial" w:cs="Arial" w:eastAsia="Arial" w:hAnsi="Arial"/>
                <w:sz w:val="18"/>
                <w:szCs w:val="18"/>
                <w:color w:val="auto"/>
              </w:rPr>
              <w:t>Item 11.</w:t>
            </w:r>
          </w:p>
        </w:tc>
        <w:tc>
          <w:tcPr>
            <w:tcW w:w="8300" w:type="dxa"/>
            <w:vAlign w:val="bottom"/>
          </w:tcPr>
          <w:p>
            <w:pPr>
              <w:ind w:left="28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Executive Compensation</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9"/>
        </w:trPr>
        <w:tc>
          <w:tcPr>
            <w:tcW w:w="1520" w:type="dxa"/>
            <w:vAlign w:val="bottom"/>
          </w:tcPr>
          <w:p>
            <w:pPr>
              <w:spacing w:after="0"/>
              <w:rPr>
                <w:sz w:val="20"/>
                <w:szCs w:val="20"/>
                <w:color w:val="auto"/>
              </w:rPr>
            </w:pPr>
            <w:r>
              <w:rPr>
                <w:rFonts w:ascii="Arial" w:cs="Arial" w:eastAsia="Arial" w:hAnsi="Arial"/>
                <w:sz w:val="18"/>
                <w:szCs w:val="18"/>
                <w:color w:val="auto"/>
              </w:rPr>
              <w:t>Item 12.</w:t>
            </w:r>
          </w:p>
        </w:tc>
        <w:tc>
          <w:tcPr>
            <w:tcW w:w="8300" w:type="dxa"/>
            <w:vAlign w:val="bottom"/>
          </w:tcPr>
          <w:p>
            <w:pPr>
              <w:ind w:left="28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Security Ownership of Certain Beneficial Owners and Management</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9"/>
        </w:trPr>
        <w:tc>
          <w:tcPr>
            <w:tcW w:w="1520" w:type="dxa"/>
            <w:vAlign w:val="bottom"/>
          </w:tcPr>
          <w:p>
            <w:pPr>
              <w:spacing w:after="0"/>
              <w:rPr>
                <w:sz w:val="20"/>
                <w:szCs w:val="20"/>
                <w:color w:val="auto"/>
              </w:rPr>
            </w:pPr>
            <w:r>
              <w:rPr>
                <w:rFonts w:ascii="Arial" w:cs="Arial" w:eastAsia="Arial" w:hAnsi="Arial"/>
                <w:sz w:val="18"/>
                <w:szCs w:val="18"/>
                <w:color w:val="auto"/>
              </w:rPr>
              <w:t>Item 13.</w:t>
            </w:r>
          </w:p>
        </w:tc>
        <w:tc>
          <w:tcPr>
            <w:tcW w:w="8300" w:type="dxa"/>
            <w:vAlign w:val="bottom"/>
          </w:tcPr>
          <w:p>
            <w:pPr>
              <w:ind w:left="28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Certain Relationships and Related Transactions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9"/>
        </w:trPr>
        <w:tc>
          <w:tcPr>
            <w:tcW w:w="1520" w:type="dxa"/>
            <w:vAlign w:val="bottom"/>
          </w:tcPr>
          <w:p>
            <w:pPr>
              <w:spacing w:after="0"/>
              <w:rPr>
                <w:sz w:val="20"/>
                <w:szCs w:val="20"/>
                <w:color w:val="auto"/>
              </w:rPr>
            </w:pPr>
            <w:r>
              <w:rPr>
                <w:rFonts w:ascii="Arial" w:cs="Arial" w:eastAsia="Arial" w:hAnsi="Arial"/>
                <w:sz w:val="18"/>
                <w:szCs w:val="18"/>
                <w:color w:val="auto"/>
              </w:rPr>
              <w:t>Item 14.</w:t>
            </w:r>
          </w:p>
        </w:tc>
        <w:tc>
          <w:tcPr>
            <w:tcW w:w="8300" w:type="dxa"/>
            <w:vAlign w:val="bottom"/>
          </w:tcPr>
          <w:p>
            <w:pPr>
              <w:ind w:left="28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Principal Accountant Fees and Services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9"/>
        </w:trPr>
        <w:tc>
          <w:tcPr>
            <w:tcW w:w="1520" w:type="dxa"/>
            <w:vAlign w:val="bottom"/>
          </w:tcPr>
          <w:p>
            <w:pPr>
              <w:spacing w:after="0"/>
              <w:rPr>
                <w:sz w:val="20"/>
                <w:szCs w:val="20"/>
                <w:color w:val="auto"/>
              </w:rPr>
            </w:pPr>
            <w:r>
              <w:rPr>
                <w:rFonts w:ascii="Arial" w:cs="Arial" w:eastAsia="Arial" w:hAnsi="Arial"/>
                <w:sz w:val="18"/>
                <w:szCs w:val="18"/>
                <w:color w:val="auto"/>
              </w:rPr>
              <w:t>Item 15.</w:t>
            </w:r>
          </w:p>
        </w:tc>
        <w:tc>
          <w:tcPr>
            <w:tcW w:w="8300" w:type="dxa"/>
            <w:vAlign w:val="bottom"/>
          </w:tcPr>
          <w:p>
            <w:pPr>
              <w:ind w:left="28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Exhibits, Financial Schedules and Reports on Form 8-K</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9"/>
        </w:trPr>
        <w:tc>
          <w:tcPr>
            <w:tcW w:w="1520" w:type="dxa"/>
            <w:vAlign w:val="bottom"/>
          </w:tcPr>
          <w:p>
            <w:pPr>
              <w:spacing w:after="0"/>
              <w:rPr>
                <w:sz w:val="20"/>
                <w:szCs w:val="20"/>
                <w:color w:val="auto"/>
              </w:rPr>
            </w:pPr>
            <w:r>
              <w:rPr>
                <w:rFonts w:ascii="Arial" w:cs="Arial" w:eastAsia="Arial" w:hAnsi="Arial"/>
                <w:sz w:val="18"/>
                <w:szCs w:val="18"/>
                <w:color w:val="auto"/>
              </w:rPr>
              <w:t>Item 16.</w:t>
            </w:r>
          </w:p>
        </w:tc>
        <w:tc>
          <w:tcPr>
            <w:tcW w:w="8300" w:type="dxa"/>
            <w:vAlign w:val="bottom"/>
          </w:tcPr>
          <w:p>
            <w:pPr>
              <w:ind w:left="28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Form 10-K Summary</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9"/>
        </w:trPr>
        <w:tc>
          <w:tcPr>
            <w:tcW w:w="1520" w:type="dxa"/>
            <w:vAlign w:val="bottom"/>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Signatures</w:t>
              </w:r>
            </w:hyperlink>
          </w:p>
        </w:tc>
        <w:tc>
          <w:tcPr>
            <w:tcW w:w="83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9"/>
        </w:trPr>
        <w:tc>
          <w:tcPr>
            <w:tcW w:w="1520" w:type="dxa"/>
            <w:vAlign w:val="bottom"/>
          </w:tcPr>
          <w:p>
            <w:pPr>
              <w:spacing w:after="0"/>
              <w:rPr>
                <w:sz w:val="20"/>
                <w:szCs w:val="20"/>
                <w:color w:val="auto"/>
              </w:rPr>
            </w:pPr>
            <w:r>
              <w:rPr>
                <w:rFonts w:ascii="Arial" w:cs="Arial" w:eastAsia="Arial" w:hAnsi="Arial"/>
                <w:sz w:val="18"/>
                <w:szCs w:val="18"/>
                <w:color w:val="auto"/>
              </w:rPr>
              <w:t>Exhibit 21.</w:t>
            </w:r>
          </w:p>
        </w:tc>
        <w:tc>
          <w:tcPr>
            <w:tcW w:w="8300" w:type="dxa"/>
            <w:vAlign w:val="bottom"/>
          </w:tcPr>
          <w:p>
            <w:pPr>
              <w:ind w:left="280"/>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Subsidiaries of Farmers &amp; Merchants Bancorp, Inc.</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9"/>
        </w:trPr>
        <w:tc>
          <w:tcPr>
            <w:tcW w:w="1520" w:type="dxa"/>
            <w:vAlign w:val="bottom"/>
          </w:tcPr>
          <w:p>
            <w:pPr>
              <w:spacing w:after="0"/>
              <w:rPr>
                <w:sz w:val="20"/>
                <w:szCs w:val="20"/>
                <w:color w:val="auto"/>
              </w:rPr>
            </w:pPr>
            <w:r>
              <w:rPr>
                <w:rFonts w:ascii="Arial" w:cs="Arial" w:eastAsia="Arial" w:hAnsi="Arial"/>
                <w:sz w:val="18"/>
                <w:szCs w:val="18"/>
                <w:color w:val="auto"/>
              </w:rPr>
              <w:t>Exhibit 31.</w:t>
            </w:r>
          </w:p>
        </w:tc>
        <w:tc>
          <w:tcPr>
            <w:tcW w:w="8300" w:type="dxa"/>
            <w:vAlign w:val="bottom"/>
          </w:tcPr>
          <w:p>
            <w:pPr>
              <w:ind w:left="280"/>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Certifications Under Section 302</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115-116</w:t>
            </w:r>
          </w:p>
        </w:tc>
      </w:tr>
      <w:tr>
        <w:trPr>
          <w:trHeight w:val="329"/>
        </w:trPr>
        <w:tc>
          <w:tcPr>
            <w:tcW w:w="1520" w:type="dxa"/>
            <w:vAlign w:val="bottom"/>
          </w:tcPr>
          <w:p>
            <w:pPr>
              <w:spacing w:after="0"/>
              <w:rPr>
                <w:sz w:val="20"/>
                <w:szCs w:val="20"/>
                <w:color w:val="auto"/>
              </w:rPr>
            </w:pPr>
            <w:r>
              <w:rPr>
                <w:rFonts w:ascii="Arial" w:cs="Arial" w:eastAsia="Arial" w:hAnsi="Arial"/>
                <w:sz w:val="18"/>
                <w:szCs w:val="18"/>
                <w:color w:val="auto"/>
              </w:rPr>
              <w:t>Exhibit 32.</w:t>
            </w:r>
          </w:p>
        </w:tc>
        <w:tc>
          <w:tcPr>
            <w:tcW w:w="8300" w:type="dxa"/>
            <w:vAlign w:val="bottom"/>
          </w:tcPr>
          <w:p>
            <w:pPr>
              <w:ind w:left="28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Certifications Under Section 906</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117-118</w:t>
            </w:r>
          </w:p>
        </w:tc>
      </w:tr>
      <w:tr>
        <w:trPr>
          <w:trHeight w:val="317"/>
        </w:trPr>
        <w:tc>
          <w:tcPr>
            <w:tcW w:w="1520" w:type="dxa"/>
            <w:vAlign w:val="bottom"/>
          </w:tcPr>
          <w:p>
            <w:pPr>
              <w:spacing w:after="0"/>
              <w:rPr>
                <w:sz w:val="20"/>
                <w:szCs w:val="20"/>
                <w:color w:val="auto"/>
              </w:rPr>
            </w:pPr>
            <w:r>
              <w:rPr>
                <w:rFonts w:ascii="Arial" w:cs="Arial" w:eastAsia="Arial" w:hAnsi="Arial"/>
                <w:sz w:val="18"/>
                <w:szCs w:val="18"/>
                <w:color w:val="auto"/>
              </w:rPr>
              <w:t>Exhibit 101.INS</w:t>
            </w:r>
          </w:p>
        </w:tc>
        <w:tc>
          <w:tcPr>
            <w:tcW w:w="8300" w:type="dxa"/>
            <w:vAlign w:val="bottom"/>
          </w:tcPr>
          <w:p>
            <w:pPr>
              <w:ind w:left="280"/>
              <w:spacing w:after="0"/>
              <w:rPr>
                <w:sz w:val="20"/>
                <w:szCs w:val="20"/>
                <w:color w:val="auto"/>
              </w:rPr>
            </w:pPr>
            <w:r>
              <w:rPr>
                <w:rFonts w:ascii="Arial" w:cs="Arial" w:eastAsia="Arial" w:hAnsi="Arial"/>
                <w:sz w:val="18"/>
                <w:szCs w:val="18"/>
                <w:color w:val="auto"/>
                <w:w w:val="88"/>
              </w:rPr>
              <w:t>Inline XBRL Instance Document – The instance document does not appear in the Interactive Data File because its</w:t>
            </w:r>
          </w:p>
        </w:tc>
        <w:tc>
          <w:tcPr>
            <w:tcW w:w="1420" w:type="dxa"/>
            <w:vAlign w:val="bottom"/>
          </w:tcPr>
          <w:p>
            <w:pPr>
              <w:spacing w:after="0"/>
              <w:rPr>
                <w:sz w:val="24"/>
                <w:szCs w:val="24"/>
                <w:color w:val="auto"/>
              </w:rPr>
            </w:pPr>
          </w:p>
        </w:tc>
      </w:tr>
      <w:tr>
        <w:trPr>
          <w:trHeight w:val="211"/>
        </w:trPr>
        <w:tc>
          <w:tcPr>
            <w:tcW w:w="1520" w:type="dxa"/>
            <w:vAlign w:val="bottom"/>
          </w:tcPr>
          <w:p>
            <w:pPr>
              <w:spacing w:after="0"/>
              <w:rPr>
                <w:sz w:val="18"/>
                <w:szCs w:val="18"/>
                <w:color w:val="auto"/>
              </w:rPr>
            </w:pPr>
          </w:p>
        </w:tc>
        <w:tc>
          <w:tcPr>
            <w:tcW w:w="8300" w:type="dxa"/>
            <w:vAlign w:val="bottom"/>
          </w:tcPr>
          <w:p>
            <w:pPr>
              <w:ind w:left="280"/>
              <w:spacing w:after="0"/>
              <w:rPr>
                <w:sz w:val="20"/>
                <w:szCs w:val="20"/>
                <w:color w:val="auto"/>
              </w:rPr>
            </w:pPr>
            <w:r>
              <w:rPr>
                <w:rFonts w:ascii="Arial" w:cs="Arial" w:eastAsia="Arial" w:hAnsi="Arial"/>
                <w:sz w:val="18"/>
                <w:szCs w:val="18"/>
                <w:color w:val="auto"/>
              </w:rPr>
              <w:t xml:space="preserve">XBRL tags are embedded within the Inline XBRL document. </w:t>
            </w:r>
            <w:r>
              <w:rPr>
                <w:rFonts w:ascii="Arial" w:cs="Arial" w:eastAsia="Arial" w:hAnsi="Arial"/>
                <w:sz w:val="14"/>
                <w:szCs w:val="14"/>
                <w:color w:val="auto"/>
              </w:rPr>
              <w:t>(1)</w:t>
            </w:r>
          </w:p>
        </w:tc>
        <w:tc>
          <w:tcPr>
            <w:tcW w:w="1420" w:type="dxa"/>
            <w:vAlign w:val="bottom"/>
          </w:tcPr>
          <w:p>
            <w:pPr>
              <w:spacing w:after="0"/>
              <w:rPr>
                <w:sz w:val="18"/>
                <w:szCs w:val="18"/>
                <w:color w:val="auto"/>
              </w:rPr>
            </w:pPr>
          </w:p>
        </w:tc>
      </w:tr>
      <w:tr>
        <w:trPr>
          <w:trHeight w:val="211"/>
        </w:trPr>
        <w:tc>
          <w:tcPr>
            <w:tcW w:w="1520" w:type="dxa"/>
            <w:vAlign w:val="bottom"/>
          </w:tcPr>
          <w:p>
            <w:pPr>
              <w:spacing w:after="0"/>
              <w:rPr>
                <w:sz w:val="20"/>
                <w:szCs w:val="20"/>
                <w:color w:val="auto"/>
              </w:rPr>
            </w:pPr>
            <w:r>
              <w:rPr>
                <w:rFonts w:ascii="Arial" w:cs="Arial" w:eastAsia="Arial" w:hAnsi="Arial"/>
                <w:sz w:val="18"/>
                <w:szCs w:val="18"/>
                <w:color w:val="auto"/>
              </w:rPr>
              <w:t>Exhibit 101.SCH</w:t>
            </w:r>
          </w:p>
        </w:tc>
        <w:tc>
          <w:tcPr>
            <w:tcW w:w="8300" w:type="dxa"/>
            <w:vAlign w:val="bottom"/>
          </w:tcPr>
          <w:p>
            <w:pPr>
              <w:ind w:left="280"/>
              <w:spacing w:after="0"/>
              <w:rPr>
                <w:sz w:val="20"/>
                <w:szCs w:val="20"/>
                <w:color w:val="auto"/>
              </w:rPr>
            </w:pPr>
            <w:r>
              <w:rPr>
                <w:rFonts w:ascii="Arial" w:cs="Arial" w:eastAsia="Arial" w:hAnsi="Arial"/>
                <w:sz w:val="18"/>
                <w:szCs w:val="18"/>
                <w:color w:val="auto"/>
              </w:rPr>
              <w:t xml:space="preserve">Inline XBRL Taxonomy Extension Schema Document </w:t>
            </w:r>
            <w:r>
              <w:rPr>
                <w:rFonts w:ascii="Arial" w:cs="Arial" w:eastAsia="Arial" w:hAnsi="Arial"/>
                <w:sz w:val="14"/>
                <w:szCs w:val="14"/>
                <w:color w:val="auto"/>
              </w:rPr>
              <w:t>(1)</w:t>
            </w:r>
          </w:p>
        </w:tc>
        <w:tc>
          <w:tcPr>
            <w:tcW w:w="1420" w:type="dxa"/>
            <w:vAlign w:val="bottom"/>
          </w:tcPr>
          <w:p>
            <w:pPr>
              <w:spacing w:after="0"/>
              <w:rPr>
                <w:sz w:val="18"/>
                <w:szCs w:val="18"/>
                <w:color w:val="auto"/>
              </w:rPr>
            </w:pPr>
          </w:p>
        </w:tc>
      </w:tr>
      <w:tr>
        <w:trPr>
          <w:trHeight w:val="211"/>
        </w:trPr>
        <w:tc>
          <w:tcPr>
            <w:tcW w:w="1520" w:type="dxa"/>
            <w:vAlign w:val="bottom"/>
          </w:tcPr>
          <w:p>
            <w:pPr>
              <w:spacing w:after="0"/>
              <w:rPr>
                <w:sz w:val="20"/>
                <w:szCs w:val="20"/>
                <w:color w:val="auto"/>
              </w:rPr>
            </w:pPr>
            <w:r>
              <w:rPr>
                <w:rFonts w:ascii="Arial" w:cs="Arial" w:eastAsia="Arial" w:hAnsi="Arial"/>
                <w:sz w:val="18"/>
                <w:szCs w:val="18"/>
                <w:color w:val="auto"/>
              </w:rPr>
              <w:t>Exhibit 101.CAL</w:t>
            </w:r>
          </w:p>
        </w:tc>
        <w:tc>
          <w:tcPr>
            <w:tcW w:w="8300" w:type="dxa"/>
            <w:vAlign w:val="bottom"/>
          </w:tcPr>
          <w:p>
            <w:pPr>
              <w:ind w:left="280"/>
              <w:spacing w:after="0"/>
              <w:rPr>
                <w:sz w:val="20"/>
                <w:szCs w:val="20"/>
                <w:color w:val="auto"/>
              </w:rPr>
            </w:pPr>
            <w:r>
              <w:rPr>
                <w:rFonts w:ascii="Arial" w:cs="Arial" w:eastAsia="Arial" w:hAnsi="Arial"/>
                <w:sz w:val="18"/>
                <w:szCs w:val="18"/>
                <w:color w:val="auto"/>
              </w:rPr>
              <w:t xml:space="preserve">Inline XBRL Taxonomy Extension Calculation Linkbase Document </w:t>
            </w:r>
            <w:r>
              <w:rPr>
                <w:rFonts w:ascii="Arial" w:cs="Arial" w:eastAsia="Arial" w:hAnsi="Arial"/>
                <w:sz w:val="14"/>
                <w:szCs w:val="14"/>
                <w:color w:val="auto"/>
              </w:rPr>
              <w:t>(1)</w:t>
            </w:r>
          </w:p>
        </w:tc>
        <w:tc>
          <w:tcPr>
            <w:tcW w:w="1420" w:type="dxa"/>
            <w:vAlign w:val="bottom"/>
          </w:tcPr>
          <w:p>
            <w:pPr>
              <w:spacing w:after="0"/>
              <w:rPr>
                <w:sz w:val="18"/>
                <w:szCs w:val="18"/>
                <w:color w:val="auto"/>
              </w:rPr>
            </w:pPr>
          </w:p>
        </w:tc>
      </w:tr>
      <w:tr>
        <w:trPr>
          <w:trHeight w:val="211"/>
        </w:trPr>
        <w:tc>
          <w:tcPr>
            <w:tcW w:w="1520" w:type="dxa"/>
            <w:vAlign w:val="bottom"/>
          </w:tcPr>
          <w:p>
            <w:pPr>
              <w:spacing w:after="0"/>
              <w:rPr>
                <w:sz w:val="20"/>
                <w:szCs w:val="20"/>
                <w:color w:val="auto"/>
              </w:rPr>
            </w:pPr>
            <w:r>
              <w:rPr>
                <w:rFonts w:ascii="Arial" w:cs="Arial" w:eastAsia="Arial" w:hAnsi="Arial"/>
                <w:sz w:val="18"/>
                <w:szCs w:val="18"/>
                <w:color w:val="auto"/>
              </w:rPr>
              <w:t>Exhibit 101.DEF</w:t>
            </w:r>
          </w:p>
        </w:tc>
        <w:tc>
          <w:tcPr>
            <w:tcW w:w="8300" w:type="dxa"/>
            <w:vAlign w:val="bottom"/>
          </w:tcPr>
          <w:p>
            <w:pPr>
              <w:ind w:left="280"/>
              <w:spacing w:after="0"/>
              <w:rPr>
                <w:sz w:val="20"/>
                <w:szCs w:val="20"/>
                <w:color w:val="auto"/>
              </w:rPr>
            </w:pPr>
            <w:r>
              <w:rPr>
                <w:rFonts w:ascii="Arial" w:cs="Arial" w:eastAsia="Arial" w:hAnsi="Arial"/>
                <w:sz w:val="18"/>
                <w:szCs w:val="18"/>
                <w:color w:val="auto"/>
              </w:rPr>
              <w:t xml:space="preserve">Inline XBRL Taxonomy Extension Definition Linkbase Document </w:t>
            </w:r>
            <w:r>
              <w:rPr>
                <w:rFonts w:ascii="Arial" w:cs="Arial" w:eastAsia="Arial" w:hAnsi="Arial"/>
                <w:sz w:val="14"/>
                <w:szCs w:val="14"/>
                <w:color w:val="auto"/>
              </w:rPr>
              <w:t>(1)</w:t>
            </w:r>
          </w:p>
        </w:tc>
        <w:tc>
          <w:tcPr>
            <w:tcW w:w="1420" w:type="dxa"/>
            <w:vAlign w:val="bottom"/>
          </w:tcPr>
          <w:p>
            <w:pPr>
              <w:spacing w:after="0"/>
              <w:rPr>
                <w:sz w:val="18"/>
                <w:szCs w:val="18"/>
                <w:color w:val="auto"/>
              </w:rPr>
            </w:pPr>
          </w:p>
        </w:tc>
      </w:tr>
      <w:tr>
        <w:trPr>
          <w:trHeight w:val="211"/>
        </w:trPr>
        <w:tc>
          <w:tcPr>
            <w:tcW w:w="1520" w:type="dxa"/>
            <w:vAlign w:val="bottom"/>
          </w:tcPr>
          <w:p>
            <w:pPr>
              <w:spacing w:after="0"/>
              <w:rPr>
                <w:sz w:val="20"/>
                <w:szCs w:val="20"/>
                <w:color w:val="auto"/>
              </w:rPr>
            </w:pPr>
            <w:r>
              <w:rPr>
                <w:rFonts w:ascii="Arial" w:cs="Arial" w:eastAsia="Arial" w:hAnsi="Arial"/>
                <w:sz w:val="18"/>
                <w:szCs w:val="18"/>
                <w:color w:val="auto"/>
              </w:rPr>
              <w:t>Exhibit 101.LAB</w:t>
            </w:r>
          </w:p>
        </w:tc>
        <w:tc>
          <w:tcPr>
            <w:tcW w:w="8300" w:type="dxa"/>
            <w:vAlign w:val="bottom"/>
          </w:tcPr>
          <w:p>
            <w:pPr>
              <w:ind w:left="280"/>
              <w:spacing w:after="0"/>
              <w:rPr>
                <w:sz w:val="20"/>
                <w:szCs w:val="20"/>
                <w:color w:val="auto"/>
              </w:rPr>
            </w:pPr>
            <w:r>
              <w:rPr>
                <w:rFonts w:ascii="Arial" w:cs="Arial" w:eastAsia="Arial" w:hAnsi="Arial"/>
                <w:sz w:val="18"/>
                <w:szCs w:val="18"/>
                <w:color w:val="auto"/>
              </w:rPr>
              <w:t xml:space="preserve">Inline XBRL Taxonomy Extension Label Linkbase Document </w:t>
            </w:r>
            <w:r>
              <w:rPr>
                <w:rFonts w:ascii="Arial" w:cs="Arial" w:eastAsia="Arial" w:hAnsi="Arial"/>
                <w:sz w:val="14"/>
                <w:szCs w:val="14"/>
                <w:color w:val="auto"/>
              </w:rPr>
              <w:t>(1)</w:t>
            </w:r>
          </w:p>
        </w:tc>
        <w:tc>
          <w:tcPr>
            <w:tcW w:w="1420" w:type="dxa"/>
            <w:vAlign w:val="bottom"/>
          </w:tcPr>
          <w:p>
            <w:pPr>
              <w:spacing w:after="0"/>
              <w:rPr>
                <w:sz w:val="18"/>
                <w:szCs w:val="18"/>
                <w:color w:val="auto"/>
              </w:rPr>
            </w:pPr>
          </w:p>
        </w:tc>
      </w:tr>
      <w:tr>
        <w:trPr>
          <w:trHeight w:val="223"/>
        </w:trPr>
        <w:tc>
          <w:tcPr>
            <w:tcW w:w="1520" w:type="dxa"/>
            <w:vAlign w:val="bottom"/>
          </w:tcPr>
          <w:p>
            <w:pPr>
              <w:spacing w:after="0"/>
              <w:rPr>
                <w:sz w:val="20"/>
                <w:szCs w:val="20"/>
                <w:color w:val="auto"/>
              </w:rPr>
            </w:pPr>
            <w:r>
              <w:rPr>
                <w:rFonts w:ascii="Arial" w:cs="Arial" w:eastAsia="Arial" w:hAnsi="Arial"/>
                <w:sz w:val="18"/>
                <w:szCs w:val="18"/>
                <w:color w:val="auto"/>
              </w:rPr>
              <w:t>Exhibit 101.PRE</w:t>
            </w:r>
          </w:p>
        </w:tc>
        <w:tc>
          <w:tcPr>
            <w:tcW w:w="8300" w:type="dxa"/>
            <w:vAlign w:val="bottom"/>
          </w:tcPr>
          <w:p>
            <w:pPr>
              <w:ind w:left="280"/>
              <w:spacing w:after="0"/>
              <w:rPr>
                <w:sz w:val="20"/>
                <w:szCs w:val="20"/>
                <w:color w:val="auto"/>
              </w:rPr>
            </w:pPr>
            <w:r>
              <w:rPr>
                <w:rFonts w:ascii="Arial" w:cs="Arial" w:eastAsia="Arial" w:hAnsi="Arial"/>
                <w:sz w:val="18"/>
                <w:szCs w:val="18"/>
                <w:color w:val="auto"/>
              </w:rPr>
              <w:t xml:space="preserve">Inline XBRL Taxonomy Extension Presentation Linkbase Document </w:t>
            </w:r>
            <w:r>
              <w:rPr>
                <w:rFonts w:ascii="Arial" w:cs="Arial" w:eastAsia="Arial" w:hAnsi="Arial"/>
                <w:sz w:val="14"/>
                <w:szCs w:val="14"/>
                <w:color w:val="auto"/>
              </w:rPr>
              <w:t>(1)</w:t>
            </w:r>
          </w:p>
        </w:tc>
        <w:tc>
          <w:tcPr>
            <w:tcW w:w="1420" w:type="dxa"/>
            <w:vAlign w:val="bottom"/>
          </w:tcPr>
          <w:p>
            <w:pPr>
              <w:spacing w:after="0"/>
              <w:rPr>
                <w:sz w:val="19"/>
                <w:szCs w:val="19"/>
                <w:color w:val="auto"/>
              </w:rPr>
            </w:pPr>
          </w:p>
        </w:tc>
      </w:tr>
    </w:tbl>
    <w:p>
      <w:pPr>
        <w:spacing w:after="0" w:line="107" w:lineRule="exact"/>
        <w:rPr>
          <w:sz w:val="20"/>
          <w:szCs w:val="20"/>
          <w:color w:val="auto"/>
        </w:rPr>
      </w:pPr>
    </w:p>
    <w:p>
      <w:pPr>
        <w:jc w:val="both"/>
        <w:ind w:firstLine="5"/>
        <w:spacing w:after="0" w:line="253" w:lineRule="auto"/>
        <w:tabs>
          <w:tab w:leader="none" w:pos="245" w:val="left"/>
        </w:tabs>
        <w:numPr>
          <w:ilvl w:val="0"/>
          <w:numId w:val="3"/>
        </w:numPr>
        <w:rPr>
          <w:rFonts w:ascii="Arial" w:cs="Arial" w:eastAsia="Arial" w:hAnsi="Arial"/>
          <w:sz w:val="15"/>
          <w:szCs w:val="15"/>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Total Pages:</w:t>
            </w:r>
          </w:p>
        </w:tc>
        <w:tc>
          <w:tcPr>
            <w:tcW w:w="5320" w:type="dxa"/>
            <w:vAlign w:val="bottom"/>
          </w:tcPr>
          <w:p>
            <w:pPr>
              <w:jc w:val="right"/>
              <w:spacing w:after="0"/>
              <w:rPr>
                <w:sz w:val="20"/>
                <w:szCs w:val="20"/>
                <w:color w:val="auto"/>
              </w:rPr>
            </w:pPr>
            <w:r>
              <w:rPr>
                <w:rFonts w:ascii="Arial" w:cs="Arial" w:eastAsia="Arial" w:hAnsi="Arial"/>
                <w:sz w:val="18"/>
                <w:szCs w:val="18"/>
                <w:color w:val="auto"/>
              </w:rPr>
              <w:t>118</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Forward Looking Statements</w:t>
      </w:r>
    </w:p>
    <w:p>
      <w:pPr>
        <w:spacing w:after="0" w:line="10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Statements contained in the Company's Annual Report on Form 10-K may be forward-looking statements, as that term is defined in the Private Securities Litigation Reform Act of 1995. Forward-looking statements may be identified by the use of such words as "intend," "believe," "expect," "anticipate," "should," "planned," "estimated," and "potential." Such forward-looking statements are based on current expectations but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which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could differ from those projected in the forward-looking statements.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404040"/>
        </w:rPr>
        <w:t>PART I</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Farmers &amp; Merchants Bancorp, Inc. (Company) is a bank holding company incorporated under the laws of Ohio in 1985 and elected to become a financial holding company under the Federal Reserve in 2014. Our primary subsidiary, The Farmers &amp; Merchants State Bank (Bank) is a community bank operating in Northwest Ohio and Northeast Indiana since 1897. Our other subsidiary, Farmers &amp; Merchants Risk Management (Captive) is a captive insurance company formed in December 2014 and located in Nevada. We report our financial condition and net income on a consolidated basis and we report only one segment.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40" w:type="dxa"/>
            <w:vAlign w:val="bottom"/>
          </w:tcPr>
          <w:p>
            <w:pPr>
              <w:spacing w:after="0"/>
              <w:rPr>
                <w:sz w:val="20"/>
                <w:szCs w:val="20"/>
                <w:color w:val="auto"/>
              </w:rPr>
            </w:pPr>
            <w:r>
              <w:rPr>
                <w:rFonts w:ascii="Arial" w:cs="Arial" w:eastAsia="Arial" w:hAnsi="Arial"/>
                <w:sz w:val="18"/>
                <w:szCs w:val="18"/>
                <w:color w:val="auto"/>
                <w:w w:val="92"/>
              </w:rPr>
              <w:t>Our executive offices are located at 307 North Defiance Street, Archbold, Ohio 43502, and our telephone number is</w:t>
            </w:r>
          </w:p>
        </w:tc>
        <w:tc>
          <w:tcPr>
            <w:tcW w:w="1540" w:type="dxa"/>
            <w:vAlign w:val="bottom"/>
          </w:tcPr>
          <w:p>
            <w:pPr>
              <w:jc w:val="right"/>
              <w:spacing w:after="0"/>
              <w:rPr>
                <w:sz w:val="20"/>
                <w:szCs w:val="20"/>
                <w:color w:val="auto"/>
              </w:rPr>
            </w:pPr>
            <w:r>
              <w:rPr>
                <w:rFonts w:ascii="Arial" w:cs="Arial" w:eastAsia="Arial" w:hAnsi="Arial"/>
                <w:sz w:val="18"/>
                <w:szCs w:val="18"/>
                <w:color w:val="auto"/>
              </w:rPr>
              <w:t>(419) 446-2501.</w:t>
            </w:r>
          </w:p>
        </w:tc>
      </w:tr>
    </w:tbl>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a discussion of the general development of the Company’s business throughout 2020, please see the portion of Management’s Discussion and Analysis of Financial Condition and Results of Operations captioned “2020 in Review.”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Activities</w:t>
      </w:r>
    </w:p>
    <w:p>
      <w:pPr>
        <w:spacing w:after="0" w:line="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Farmers &amp; Merchants State Bank engages in general commercial banking business. Its activities include commercial, agricultural and residential mortgage as well as consumer and credit card lending activities. Because the Bank's offices are located in Northwest Ohio and Northeast Indiana, a substantial amount of the loan portfolio is comprised of loans made to customers in the farming industry for such things as farm land, farm equipment, livestock and operating loans for seed, fertilizer, and feed. Other types of lending activities include loans for home improvements and loans for such items as autos, trucks, recreational vehicles and motorcycles. With the expansion into newer market areas, the most recent increases in loan activity have been in commercial real estate, providing operating lines of credit and machinery purchases. During 2020, the Bank opened Loan Production Offices (LPOs) to extend the F&amp;M footprint in Muncie, Indiana, Oxford, Ohio and West Bloomfield, Michigan.</w:t>
      </w:r>
    </w:p>
    <w:p>
      <w:pPr>
        <w:spacing w:after="0" w:line="66"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Upgrades to our digital products and services continue to occur in both retail and business lines.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a broker.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jc w:val="both"/>
        <w:spacing w:after="0" w:line="235"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Consumer Loans:</w:t>
      </w:r>
    </w:p>
    <w:p>
      <w:pPr>
        <w:ind w:left="700" w:hanging="299"/>
        <w:spacing w:after="0" w:line="21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Maximum loan to value (LTV) for cars, SUVs, and trucks is 110% depending on whether direct or indirect.</w:t>
      </w:r>
    </w:p>
    <w:p>
      <w:pPr>
        <w:ind w:left="700" w:hanging="299"/>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Loans above 100% are generally the result of additional charges for extended warranties and/or insurance coverage for wage or death.</w:t>
      </w:r>
    </w:p>
    <w:p>
      <w:pPr>
        <w:ind w:left="700" w:hanging="299"/>
        <w:spacing w:after="0" w:line="21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Boats, campers, motorcycles, RV's and Motor Coaches range from 80%-90% based on age of vehicle.</w:t>
      </w:r>
    </w:p>
    <w:p>
      <w:pPr>
        <w:ind w:left="700" w:hanging="299"/>
        <w:spacing w:after="0" w:line="21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1st or 2nd mortgages on 1-4 family homes range from 75%-90% with "in-house" first real estate mortgages requiring private mortgage insurance on those exceeding 80% LTV.</w:t>
      </w:r>
    </w:p>
    <w:p>
      <w:pPr>
        <w:spacing w:after="0" w:line="1" w:lineRule="exact"/>
        <w:rPr>
          <w:rFonts w:ascii="Arial" w:cs="Arial" w:eastAsia="Arial" w:hAnsi="Arial"/>
          <w:sz w:val="18"/>
          <w:szCs w:val="18"/>
          <w:color w:val="auto"/>
        </w:rPr>
      </w:pPr>
    </w:p>
    <w:p>
      <w:pPr>
        <w:ind w:left="700" w:hanging="29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Raw land LTV maximum ranges from 65%-75% depending on whether or not the property has been improved.</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Commercial/Agriculture:</w:t>
      </w:r>
    </w:p>
    <w:p>
      <w:pPr>
        <w:spacing w:after="0" w:line="7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Accounts Receivable:</w:t>
      </w:r>
    </w:p>
    <w:p>
      <w:pPr>
        <w:ind w:left="1080" w:hanging="28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 to 80% LTV less retainages and greater than 90 days.</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Inventory:</w:t>
      </w:r>
    </w:p>
    <w:p>
      <w:pPr>
        <w:ind w:left="1080" w:hanging="284"/>
        <w:spacing w:after="0" w:line="210"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Agriculture:</w:t>
      </w:r>
    </w:p>
    <w:p>
      <w:pPr>
        <w:ind w:left="1880" w:hanging="386"/>
        <w:spacing w:after="0" w:line="202" w:lineRule="auto"/>
        <w:tabs>
          <w:tab w:leader="none" w:pos="188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Livestock and grain up to 80% LTV, crops (insured) up to 75% and Warehouse Receipts up to 87%.</w:t>
      </w:r>
    </w:p>
    <w:p>
      <w:pPr>
        <w:ind w:left="1080" w:hanging="284"/>
        <w:spacing w:after="0" w:line="21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w:t>
      </w:r>
    </w:p>
    <w:p>
      <w:pPr>
        <w:ind w:left="1880" w:hanging="386"/>
        <w:spacing w:after="0" w:line="198" w:lineRule="auto"/>
        <w:tabs>
          <w:tab w:leader="none" w:pos="188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Maximum LTV of 50% on raw and finished goods.</w:t>
      </w:r>
    </w:p>
    <w:p>
      <w:pPr>
        <w:ind w:left="1080" w:hanging="284"/>
        <w:spacing w:after="0" w:line="21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Floor plan:</w:t>
      </w:r>
    </w:p>
    <w:p>
      <w:pPr>
        <w:ind w:left="1880" w:hanging="386"/>
        <w:spacing w:after="0" w:line="198" w:lineRule="auto"/>
        <w:tabs>
          <w:tab w:leader="none" w:pos="188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New/used vehicles to 100% of wholesale.</w:t>
      </w:r>
    </w:p>
    <w:p>
      <w:pPr>
        <w:ind w:left="1880" w:hanging="386"/>
        <w:spacing w:after="0" w:line="224" w:lineRule="auto"/>
        <w:tabs>
          <w:tab w:leader="none" w:pos="188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New/Used recreational vehicles and manufactured homes to 80% of wholesale.</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Equipment:</w:t>
      </w:r>
    </w:p>
    <w:p>
      <w:pPr>
        <w:ind w:left="1080" w:hanging="284"/>
        <w:spacing w:after="0" w:line="21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NTE 80% of invoice, used NTE 50% of listed book or 75% of appraised value.</w:t>
      </w:r>
    </w:p>
    <w:p>
      <w:pPr>
        <w:ind w:left="1080" w:hanging="284"/>
        <w:spacing w:after="0" w:line="21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Restaurant equipment up to 35% of market value.</w:t>
      </w:r>
    </w:p>
    <w:p>
      <w:pPr>
        <w:ind w:left="1080" w:hanging="28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Heavy trucks, titled trailers NTE 75% LTV and aircraft up to 75% of appraised value.</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Real Estate:</w:t>
      </w:r>
    </w:p>
    <w:p>
      <w:pPr>
        <w:ind w:left="1080" w:hanging="284"/>
        <w:spacing w:after="0" w:line="21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Maximum LTVs range from 70%-80% depending on type</w:t>
      </w:r>
    </w:p>
    <w:p>
      <w:pPr>
        <w:ind w:left="1080" w:hanging="28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Maximum LTV on non-traditional loan up to 85%</w:t>
      </w:r>
    </w:p>
    <w:p>
      <w:pPr>
        <w:spacing w:after="0" w:line="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FM Investment Services, the brokerage department of the Bank, has served the Bank’s customers, providing investment services, since April of 1999. In November of 2020, FM Investment Services purchased the assets and clients of Adams County Financial Resources (ACFR) which is discussed in further detail in Note 2 to the Company’s financial statements. Securities are offered through Raymond James Financial Services, Inc.</w:t>
      </w:r>
    </w:p>
    <w:p>
      <w:pPr>
        <w:spacing w:after="0" w:line="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December of 2014, the Company became a financial holding company within the meaning of the Bank Holding Company Act of 1956 as amended,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in December 2014. The Captive is located in Nevada and regulated by the State of Nevada Division of Insurance.</w:t>
      </w:r>
    </w:p>
    <w:p>
      <w:pPr>
        <w:spacing w:after="0" w:line="5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Bank’s primary market includes communities located in the Ohio counties of Defiance, Fulton, Hancock, Henry, Lucas, Williams, Wood and in the Indiana counties of Adams, Allen, DeKalb, Jay and Steuben. The commercial banking business in this market is highly competitive, with approximately 34 other depository institutions currently doing business in the Bank’s primary market. In our banking activities, we compete directly with other commercial banks, credit unions, farm credit services, and savings and loan institutions in each of our operating localities. In a number of our locations, we compete against entities which are much larger than us, including Huntington National Bank, Fifth Third Bank, PNC, Wells Fargo Bank, NA, KeyBank NA and JPMorgan Chase Bank, NA. Based on deposit data as of June 30, 2020 from the FDIC and using zip codes in our markets, the Bank ranked 1st with a 15.05% market share in markets served. The primary factors in competing for loans and deposits are the rates charged as well as location and quality of the services provided.</w:t>
      </w:r>
    </w:p>
    <w:p>
      <w:pPr>
        <w:spacing w:after="0" w:line="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December 31, 2020, we had 367 full time equivalent employees. The employees are not represented by a collective bargaining unit. We provide our employees with a comprehensive benefit program, some of which is contributory. We consider our employee relations to be good.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Supervision and Regulation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8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Company is a corporation organized under the laws of the State of Ohio. The business in which the Company and its subsidiaries are engaged is subject to extensive supervision, regulation and examination by various bank regulatory authorities. The supervision, regulation and examination to which the Company and its subsidiaries are subject to are intended primarily for the protection of depositors and the deposit insurance funds that insure the deposits of banks, rather than for the protection of shareholders.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Several of the more significant regulatory provisions applicable to banks and bank holding companies to which the Company and its subsidiaries are subject to are discussed below along with certain regulatory matters concerning the Company and its subsidiaries. To the extent that the following information describes statutory or regulatory provisions, it is qualified in its entirety by reference to the particular statutory provisions. Any change in applicable law or regulation may have a material effect on the business and prospects of the Company and its subsidiaries.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 and Soundness Standards</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federal banking agencies have adopted guidelines that establish operational and managerial standards 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w:t>
      </w:r>
    </w:p>
    <w:p>
      <w:pPr>
        <w:spacing w:after="0" w:line="4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institution’s primary federal regulator may require the institution to submit a plan for achieving and maintaining compliance. If an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institution’s rate of growth, require the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banking regulators, including cease and desist orders and civil money penalty assessments.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Agencies</w:t>
      </w:r>
    </w:p>
    <w:p>
      <w:pPr>
        <w:spacing w:after="0" w:line="8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Company is a financial holding company and is subject to inspection, examination and supervision by the Board of Governors of the Federal Reserve System (the “Federal Reserve Board”) pursuant to the Bank Holding Company Act of 1956, as amended. As a financial holding company, the Company is still subject to all the bank holding company regulations.</w:t>
      </w:r>
    </w:p>
    <w:p>
      <w:pPr>
        <w:spacing w:after="0" w:line="6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Bank is an Ohio chartered commercial bank. It is subject to regulation and examination by both the Ohio Division of Financial Institutions (ODFI) and the Federal Deposit Insurance Corporation (FDIC).</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Captive is an insurance company incorporated in Nevada and regulated by the State of Nevada, Division of Insurance.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Holding Company Activities</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a financial holding company incorporated and doing business within the State of Ohio, the Company is subject to regulation and supervision under the Bank Holding Act of 1956, as amended (the "Act"). The Company is required to file with the Federal Reserve Board on quarterly basis information pursuant to the Act. The Federal Reserve Board may conduct examinations or inspections of the Company and its subsidiaries.</w:t>
      </w:r>
    </w:p>
    <w:p>
      <w:pPr>
        <w:spacing w:after="0" w:line="49"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On November 12, 1999, the Gramm-Leach-Bliley Act (the "GLB Act") was enacted into law. The GLB Act made sweeping changes with respect to the permissible financial services which various types of financial institutions may provide. The Glass-Steagall Act, which had generally prevented banks from affiliation with securities and insurance firms, was repealed. Pursuant to the GLB Act, bank holding companies may elect to become a "financial holding company," provided that all of the depository institution subsidiaries of the bank holding company are “well capitalized” and “well managed” under applicable regulatory standards.</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the GLB Act, a bank holding company that has elected to become a financial holding company may affiliate with securities firms and insurance companies and engage in other activities that are financial in nature. Activities that are "financial in nature" include securities underwriting, dealing and market-making, sponsoring mutual funds and investment companies, insurance underwriting and agency, merchant banking, and activities that the Federal Reserve Board has determined to be closely related to banking. Federal Reserve Board approval is not required for the Company to acquire a company, other than a bank holding company, bank or savings association, engaged in activities that are financial in nature or incidental to activities that are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424" w:right="339" w:bottom="1440" w:gutter="0" w:footer="0" w:header="0"/>
        </w:sectPr>
      </w:pPr>
    </w:p>
    <w:bookmarkStart w:id="5" w:name="page6"/>
    <w:bookmarkEnd w:id="5"/>
    <w:p>
      <w:pPr>
        <w:jc w:val="both"/>
        <w:spacing w:after="0" w:line="248" w:lineRule="auto"/>
        <w:rPr>
          <w:sz w:val="20"/>
          <w:szCs w:val="20"/>
          <w:color w:val="auto"/>
        </w:rPr>
      </w:pPr>
      <w:r>
        <w:rPr>
          <w:rFonts w:ascii="Arial" w:cs="Arial" w:eastAsia="Arial" w:hAnsi="Arial"/>
          <w:sz w:val="16"/>
          <w:szCs w:val="16"/>
          <w:color w:val="auto"/>
        </w:rPr>
        <w:t>financial in nature, as determined by the Federal Reserve Board. Prior Federal Reserve Board approval is required before the Company may acquire the beneficial ownership or control of more than 5% of the voting shares, or substantially all of the assets, of a bank holding company, bank or savings association. If any subsidiary bank of the Company ceases to be "well capitalized" or "well managed" under applicable regulatory standards, the Federal Reserve Board may, among other actions, order the Company to divest the subsidiary bank. Alternatively, the Company may elect to conform its activities to those permissible for a bank holding company that is not also a financial holding company. If any subsidiary bank of the Company receives a rating under the Community Reinvestment Act of 1977 of less than satisfactory, the Company will be prohibited from engaging in new activities or acquiring companies other than bank holding companies, banks or savings associations.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Affiliate Transactions</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Various governmental requirements, including Sections 23A and 23B of the Federal Reserve Act and Regulation W promulgated thereunder limit borrowings by holding companies and non-bank subsidiaries from affiliated insured depository institutions, and also limit various other transactions between holding companies and their non-bank subsidiaries, on the one hand, and their affiliated insured depository institutions on the other. Section 23A of the Federal Reserve Act also generally requires that an insured depository institution's loans to its non-bank affiliates be secured, and Section 23B of the Federal Reserve Act generally requires that an insured depository institution's transactions with its non-bank affiliates be on arms-length terms.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Interstate Banking and Branching</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the Riegle-Neal Interstate Banking and Branching Efficiency Act ("Riegle-Neal"), subject to certain concentration limits and other requirements, adequately capitalized bank holding companies such as the Company are permitted to acquire banks and bank holding companies located in any state. Any bank that is a subsidiary of a bank holding company is permitted to receive deposits, renew time deposits, close loans, service loans and receive loan payments as an agent for any other bank subsidiary of that bank holding company. Banks are permitted to acquire branch offices outside their home states by merging with out-of-state banks, purchasing branches in other states and establishing de novo branch offices in other states. The Company could from time to time use Riegle-Neal to acquire banks in additional states.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Control Acquisitions</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Change in Bank Control Act prohibits a person or group of persons from acquiring "control" of a bank holding company, unless the Federal Reserve Board has been notified and has not objected to the transaction. Under the rebuttable presumption established by the Federal Reserve Board, the acquisition of 10% or more of a class of voting stock of a bank holding company with a class of securities registered under Section 12 of the Exchange Act, such as the Company, would, under the circumstances set forth in the presumption, constitute acquisition of control of the bank holding company. In addition, a company is required to obtain the approval of the Federal Reserve Board under the Bank Holding Company Act before acquiring 25% (5% in the case of an acquirer that is a bank holding company) or more of any class of outstanding voting stock of a bank holding company, or otherwise obtaining control or a "controlling influence" over that bank holding company.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Liability for Banking Subsidiaries</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Under the current Federal Reserve Board policy, a bank holding company is expected to act as a source of financial and managerial strength to each of its subsidiary banks and to maintain resources adequate to support each subsidiary bank. This support may be required at times when the bank holding company may not have the resources to provide it. In the event of a bank holding company's bankruptcy, any commitment by the bank holding company to a U.S. federal bank regulatory agency to maintain the capital of a subsidiary bank would be assumed by the bankruptcy trustee and entitled to priority of payment. Any depository institution insured by the FDIC can be held liable for any loss incurred, or reasonably expected to be incurred, by the FDIC in connection with (1) the "default" of a commonly controlled FDIC-insured depository institution; or (2) any assistance provided by the FDIC to both a commonly controlled FDIC-insured depository institution "in danger of default." The Bank is an FDIC-insured depository institution. If a default occurred with respect to the Bank, any capital loans to the Bank from its parent holding company would be subordinate in right of payment to payment of the Bank's depositors and certain of its other obligations.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Capital Requirements</w:t>
      </w:r>
    </w:p>
    <w:p>
      <w:pPr>
        <w:spacing w:after="0" w:line="83" w:lineRule="exact"/>
        <w:rPr>
          <w:sz w:val="20"/>
          <w:szCs w:val="20"/>
          <w:color w:val="auto"/>
        </w:rPr>
      </w:pPr>
    </w:p>
    <w:p>
      <w:pPr>
        <w:jc w:val="both"/>
        <w:spacing w:after="0" w:line="194" w:lineRule="exact"/>
        <w:rPr>
          <w:sz w:val="20"/>
          <w:szCs w:val="20"/>
          <w:color w:val="auto"/>
        </w:rPr>
      </w:pPr>
      <w:r>
        <w:rPr>
          <w:rFonts w:ascii="Arial" w:cs="Arial" w:eastAsia="Arial" w:hAnsi="Arial"/>
          <w:sz w:val="16"/>
          <w:szCs w:val="16"/>
          <w:color w:val="auto"/>
        </w:rPr>
        <w:t>The Company is required by the various regulatory authorities to maintain certain capital levels. Bank holding companies are required to maintain minimum levels of capital in accordance with Federal Reserve Board capital adequacy guidelines. If capital falls below minimum guideline levels, a bank holding company, among other things, may be denied approval to acquire or establish additional banks or non</w:t>
      </w:r>
      <w:r>
        <w:rPr>
          <w:rFonts w:ascii="MS PGothic" w:cs="MS PGothic" w:eastAsia="MS PGothic" w:hAnsi="MS PGothic"/>
          <w:sz w:val="16"/>
          <w:szCs w:val="16"/>
          <w:color w:val="auto"/>
        </w:rPr>
        <w:t>‑</w:t>
      </w:r>
      <w:r>
        <w:rPr>
          <w:rFonts w:ascii="Arial" w:cs="Arial" w:eastAsia="Arial" w:hAnsi="Arial"/>
          <w:sz w:val="16"/>
          <w:szCs w:val="16"/>
          <w:color w:val="auto"/>
        </w:rPr>
        <w:t>bank businesses. The required capital levels along with the Bank’s capital position at December 31, 2020 and 2019 are summarized in the table included in Note 15 to the consolidated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6" w:name="page7"/>
    <w:bookmarkEnd w:id="6"/>
    <w:p>
      <w:pPr>
        <w:jc w:val="both"/>
        <w:spacing w:after="0" w:line="265" w:lineRule="auto"/>
        <w:rPr>
          <w:sz w:val="20"/>
          <w:szCs w:val="20"/>
          <w:color w:val="auto"/>
        </w:rPr>
      </w:pPr>
      <w:r>
        <w:rPr>
          <w:rFonts w:ascii="Arial" w:cs="Arial" w:eastAsia="Arial" w:hAnsi="Arial"/>
          <w:sz w:val="16"/>
          <w:szCs w:val="16"/>
          <w:color w:val="auto"/>
        </w:rPr>
        <w:t>Beginning in 2015, the Company and Bank were required to measure capital adequacy using Basel III accounting. Basel III is a comprehensive set of reform measures, developed by the Basel Committee on Banking Supervision, to strengthen the regulation, supervision and risk management of the banking sector. Implementation of the rules is overseen by the Federal Reserve, the FDIC and the OCC.</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FDICIA</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Federal Deposit Insurance Corporation Improvement Act of 1991 ("FDICIA"), and the regulations promulgated under FDICIA, among other things, established five capital categories for insured depository institutions-well capitalized, adequately capitalized, undercapitalized, significantly undercapitalized and critically undercapitalized-and requires U.S. federal bank regulatory agencies to implement systems for "prompt corrective action" for insured depository institutions that do not meet minimum capital requirements based on these categories. Unless a bank is well capitalized, it is subject to restrictions on its ability to offer brokered deposits and on certain other aspects of its operations. An undercapitalized bank must develop a capital restoration plan and its parent bank holding company must guarantee the bank's compliance with the plan up to the lesser of 5% of the bank’s assets at the time it became undercapitalized and the amount needed to comply with the plan. As of December 31, 2020, the Bank was well capitalized pursuant to these prompt corrective action guidelines.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Restrictions</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ability of the Company to obtain funds for the payment of dividends and for other cash requirements will be largely dependent on the amount of dividends which may be declared by its banking subsidiary, which are limited to the Bank’s retained earnings during the current year and its prior two years. Various U.S. federal statutory provisions limit the amount of dividends the Company's banking subsidiar</w:t>
      </w:r>
      <w:r>
        <w:rPr>
          <w:rFonts w:ascii="Arial" w:cs="Arial" w:eastAsia="Arial" w:hAnsi="Arial"/>
          <w:sz w:val="16"/>
          <w:szCs w:val="16"/>
          <w:b w:val="1"/>
          <w:bCs w:val="1"/>
          <w:color w:val="auto"/>
        </w:rPr>
        <w:t>y</w:t>
      </w:r>
      <w:r>
        <w:rPr>
          <w:rFonts w:ascii="Arial" w:cs="Arial" w:eastAsia="Arial" w:hAnsi="Arial"/>
          <w:sz w:val="16"/>
          <w:szCs w:val="16"/>
          <w:color w:val="auto"/>
        </w:rPr>
        <w:t xml:space="preserve"> can pay to the Company without regulatory approval. In 2009, The Board of Governors of the Federal Reserve Division of Banking Supervision and Regulation issued SR09-4 regarding the safe and sound payment of dividends by bank holding companies. See Note 16 to the consolidated financial statements for additional information on applicable dividend restrictions.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Deposit Insurance Assessments</w:t>
      </w:r>
    </w:p>
    <w:p>
      <w:pPr>
        <w:spacing w:after="0" w:line="83"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deposits of the Bank are insured up to the regulatory limits set by the FDIC. The FDIC maintains the Deposit Insurance fund (“DIF”) by assessing depository institutions an insurance premium (assessment). The amount assessed to each institution is based on statutory factors that take into consideration the degree of risk the institution poses to the DIF. The primary purposes of the DIF are to (1) insure the deposits and protect the depositors of insured depository institutions; and (2) resolve failed banks. The DIF is primarily funded through quarterly assessments on insured depository institutions, but it also earns interest income on its securities. Decreases in the DIF result from loss provisions associated with the resolution of failed banks and FDIC operating expenses.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Dodd-Frank Wall Street Reform and Consumer Protection Act of 2010 (“Dodd-Frank Act”) revised the statutory authorities governing the FDIC’s management of the DIF. A key requirement from the Dodd-Frank Act resulted in the FDIC’s adoption of new rules in February 2011 regarding Assessments, Dividends, Assessment Base, and Large Bank Pricing. The new rules implemented the following changes: (1) redefined the definition of an institution’s deposit insurance assessment base from one based on domestic deposits to one based on assets now defined as “average consolidated total assets minus average tangible equity”; (2) changed the assessment rate adjustments to better account for risk based on an institution’s funding sources; (3) revised the deposit insurance assessment rate schedule in light of the new assessment base and assessment rate adjustments; (4) implemented Dodd-Frank Act dividend provisions;</w:t>
      </w:r>
    </w:p>
    <w:p>
      <w:pPr>
        <w:spacing w:after="0" w:line="4" w:lineRule="exact"/>
        <w:rPr>
          <w:sz w:val="20"/>
          <w:szCs w:val="20"/>
          <w:color w:val="auto"/>
        </w:rPr>
      </w:pPr>
    </w:p>
    <w:p>
      <w:pPr>
        <w:jc w:val="both"/>
        <w:ind w:firstLine="5"/>
        <w:spacing w:after="0" w:line="246"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revised the large insured depository institution assessment system to better differentiate for risk and to take into account losses the FDIC may incur from large institution failures; and (6) provided technical and other changes to the FDIC’s assessment rules. Though deposit insurance assessments maintain a risk-based approach, the FDIC imposed a more extensive risk-based assessment system on large insured depository institutions with at least $10 billion in total assets since they are more complex in nature and could pose greater risk. The rules became effective April 1, 2011 implementing the revised assessment rate schedule for the quarter beginning April 1, 2011. The revised assessment rate schedule was used to calculate the June 30, 2011 assessments which were due September 30, 2011 and subsequent quarterly assessments thereafter.</w:t>
      </w:r>
    </w:p>
    <w:p>
      <w:pPr>
        <w:spacing w:after="0" w:line="17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Dodd-Frank Act permanently raised the standard maximum deposit insurance coverage amount to $250,000 and applies per depositor, per insured depository institution for each account ownership category.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Depositor Preference Statute</w:t>
      </w:r>
    </w:p>
    <w:p>
      <w:pPr>
        <w:spacing w:after="0" w:line="8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In the "liquidation or other resolution" of an institution by any receiver, U.S. federal legislation provides that deposits and certain claims for administrative expenses and employee compensation against the insured depository institution would be afforded a priority over general unsecured claims against that institution, including federal funds and letters of credit.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Government Monetary Policy</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earnings of the Company are affected primarily by general economic conditions and to a lesser extent by the fiscal and monetary policies of the federal government and its agencies, particularly the Federal Reserve. Its policies influence, to some degree, the volume of bank loans and deposits, and interest rates charged and paid thereon, and thus have an effect on the earnings of the Company's subsidiary Bank.</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Regulation</w:t>
      </w:r>
    </w:p>
    <w:p>
      <w:pPr>
        <w:spacing w:after="0" w:line="8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Provisions of the Dodd-Frank Act have resulted in additional rulemaking by the federal regulatory agencies and new rules yet to be issued. Implementing the new and expanded regulations involved extreme diligence to ensure compliance with the complexities of the rules, as well as extensive new disclosure and reporting requirements.</w:t>
      </w:r>
    </w:p>
    <w:p>
      <w:pPr>
        <w:spacing w:after="0" w:line="69"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The Dodd-Frank Act created an independent regulatory body, the Bureau of Consumer Financial Protection (“Bureau”), with authority and responsibility to set rules and regulations for most consumer protection laws applicable to all banks – large and small – which added another regulator to scrutinize and police financial activities. Transfer to the Bureau of all consumer financial protection functions for designated laws by the other federal agencies was completed in July 2011. The Bureau was given responsibility for mortgage reform and enforcement, as well as broad new powers over consumer financial activities, including consumer financial products and services and how they are provided.</w:t>
      </w:r>
    </w:p>
    <w:p>
      <w:pPr>
        <w:spacing w:after="0" w:line="70"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In accordance with the Gramm-Leach-Bliley Financial Modernization Act of 1999 (the “GLB Act”), federal banking regulators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 privacy provisions of the GLB Act affect how consumer information is transmitted through diversified financial companies and conveyed to outside vendors.</w:t>
      </w:r>
    </w:p>
    <w:p>
      <w:pPr>
        <w:spacing w:after="0" w:line="7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 major focus of governmental policy on financial institutions has been aimed at combating money laundering and terrorist financing. The USA PATRIOT Act of 2001 (the “USA Patriot Act”) substantially broadened the scope of United States anti-money laundering laws and regulations by imposing significant new compliance and due diligence obligations, creating new crimes and penalties and expanding the extra-territorial jurisdiction of the United States. The U. S. Treasury Department has issued a number of regulations that apply various requirements of the USA Patriot Act to financial institutions such as the Bank. These regulations impose obligations on financial institutions to maintain appropriate policies, procedures and controls to detect, prevent and report money laundering and terrorist financing and to verify the identity of their customers. Failure of a financial institution to maintain and implement adequate programs to combat money laundering and terrorist financing, or to comply with all of the relevant laws or regulations, could have serious legal and reputational consequences for the institution.</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Significant mortgage rules mandated by the Dodd-Frank Act provisions were enacted in response to the breakdown in the mortgage lending markets and to provide for consumer protections. Final rules issued by the Bureau or jointly with other regulatory agencies implemented requirements under the Dodd-Frank Act regarding mortgage-related matters such as ability-to-repay, qualified mortgage standards, mortgage servicing, mortgage loan originator compensation, escrow requirements for higher-priced mortgage loans, and providing appraisals. These mortgage rules addressed problems consumers faced in the three major steps in buying a home – shopping for a mortgage, closing on a mortgage, and paying off a mortgage.</w:t>
      </w:r>
    </w:p>
    <w:p>
      <w:pPr>
        <w:spacing w:after="0" w:line="5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Final rules and amendments to the integrated mortgage disclosure rules under the Real Estate Settlement Act (RESPA) and Truth in Lending Act (TILA) became effective in October 2015. The TILA-RESPA Integrated Disclosure rule commonly referred to as TRID combined required disclosures into two single forms: 1) The Loan Estimate which is provided shortly after a mortgage loan application and 2) The Closing Disclosure which is provided prior to loan consummation. In addition, a mandated appraisal notice under the Equal Credit Opportunity Act and the servicing application disclosure under RESPA were also combined into the new integrated disclosures. Process and procedural adjustments were necessary to appropriately implement the new requirements. Implementation to achieve TRID compliance involved extensive collaboration with the Mortgage Loan Origination software vendor, as well as outreach and coordination efforts with real estate agents, attorneys, and closing agents to cultivate preparedness for the new integrated mortgage loan disclosure forms. Amendments to the TRID rules effective in October 2017 with a mandatory compliance in October 2018 were intended to provide further clarity to certain provisions. Remaining attentive to the complexities of the TRID rules will ensure practices and procedures remain compliant and not subject the Bank to unnecessary liability.</w:t>
      </w:r>
    </w:p>
    <w:p>
      <w:pPr>
        <w:spacing w:after="0" w:line="6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Final rules, mostly effective in October 2015, were issued by the Board of Governors of the Federal Reserve System (FRB), the Farm Credit Administration, the Federal Deposit Insurance Corporation (FDIC), the National Credit Union Administration (NCUA), and the Office of the Comptroller of the Currency (OCC) to implement provisions of the Homeowner Flood Insurance Affordability Act of 2014 (HFIAA) and the Biggert-Waters Flood Insurance Reform Act of 2012 (the Biggert-Waters Act). These provisions amended regulations which apply to loans secured by properties located in special flood hazard areas. Final rules for acceptance of private flood insurance policies became effective on July 1, 2019. Fines and penalties continue to be assessed by regulators for non-compliance with flood insurance requirements promote a continued focus on adherence to the flood rules and requirements.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8" w:name="page9"/>
    <w:bookmarkEnd w:id="8"/>
    <w:p>
      <w:pPr>
        <w:jc w:val="both"/>
        <w:spacing w:after="0" w:line="248" w:lineRule="auto"/>
        <w:rPr>
          <w:sz w:val="20"/>
          <w:szCs w:val="20"/>
          <w:color w:val="auto"/>
        </w:rPr>
      </w:pPr>
      <w:r>
        <w:rPr>
          <w:rFonts w:ascii="Arial" w:cs="Arial" w:eastAsia="Arial" w:hAnsi="Arial"/>
          <w:sz w:val="16"/>
          <w:szCs w:val="16"/>
          <w:color w:val="auto"/>
        </w:rPr>
        <w:t>The Department of Defense (DOD) rules amending its regulation that implements the Military Lending Act (MLA) became effective in October 2016. The MLA enacted as part of the John Warner National Defense Act of 2007, significantly expanded the scope of the Act to cover all consumer credit except residential mortgages and purchase money loans. Compliance requirements for credit cards became effective in October 2017. Coverage applies to consumer credit defined as “credit offered or extended for personal, family, or household purpose and that is subject to a finance charge or payable by written agreement in more than four installments.” A covered borrower is a consumer who at the time of becoming obligated on a consumer credit transaction or establishing an account for consumer credit, is a covered member or dependent (including a spouse) of a covered member. A covered member is a member of the armed forces serving on active duty or active guard or reserve duty.</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Providing a loan to a MLA-covered borrower that exceeds the 36% Military Annual Percentage Rate is prohibited. Any covered loans made without providing proper disclosures or in violation of the MLA is void. Creditors who knowingly or willfully violate the rules could be subject to a fine, imprisonment up to one year or both. Reliance on and collaboration with Loan Origination System vendors for assistance with calculations and required disclosures along with an efficient and effective process for identifying covered borrowers remains the best defense to prevent violations.</w:t>
      </w:r>
    </w:p>
    <w:p>
      <w:pPr>
        <w:spacing w:after="0" w:line="55"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Under the TILA Ability to Repay requirements, the Bank meets the criteria to qualify as a small creditor based on the number of first-lien mortgage loans transactions and due to its asset size; however it is not a creditor that operates predominantly in rural or underserved areas. The Bank focuses on Qualified Mortgage (QM) status for mortgage loans originated as they provide certain presumptions of compliance under the Ability to Repay rules adopted under the Dodd-Frank Act. In satisfying QM requirements, any mortgage lender regardless of their size can make loans which are entitled to the QM presumption of compliance.</w:t>
      </w:r>
    </w:p>
    <w:p>
      <w:pPr>
        <w:spacing w:after="0" w:line="70"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Revised Regulation C rules which implement the Home Mortgage Disclosure Act (HMDA) published by the Bureau become effective on January 1, 2018 for reportable loan applications. Dodd-Frank Act provisions added new data points for HMDA and authorized the Bureau to require additional information. The types of transactions reportable have expanded to include most consumer purpose transactions that are dwelling-secured loans or open-end lines of credit. Reportable data points were significantly expanded to 52 fields which included applicant age, credit score, automated underwriting system information, property value, application channel, points and fees, borrower-paid origination charges, discount points, lender credits, loan term, prepayment penalty, interest rate, loan originator identifier, as well as other data fields. Ethnicity categories were expanded to include certain subcategories along with a means to capture information on how an applicant’s or borrower’s ethnicity, race, and sex were collected by the institution. A thorough review and validation of data fields to be reported for each application was conducted throughout the year. Year-end submission of HMDA data will utilize the web-based tool developed by the Bureau.</w:t>
      </w:r>
    </w:p>
    <w:p>
      <w:pPr>
        <w:spacing w:after="0" w:line="7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Enactment of the Economic Growth, Regulatory Relief and Consumer Protection Act (EGRRCPA) on May 24, 2018, resulted in a regulatory reform law deemed to be relief from certain burdensome provisions of the Dodd-Frank Act. The EGRRCPA included provisions with various effective dates, including some that were effective immediately. Matters impacted included access to mortgage credit; access to credit; protections for veterans, consumers, and homeowners; rules for holding companies; capital access; and protections for student borrowers. Though effective immediately, conforming regulations were required for certain provisions such as Reciprocal Deposits, Examination Cycles, and High Volatility Commercial Real Estate (HVCRE). The Protecting Tenants in Foreclosure Act was restored and permanently extended as of June 23, 2018. An interim final rule was jointly issued by the OCC, FRB, and FDIC allowing an extended examination cycle for qualifying insured depository institutions with less than $3 billion in total assets. Effective September 21, 2018, consumers could freeze their credit information and place one-year fraud alerts for free. Additionally, parents can freeze the credit information of their children under age 16 for free. In some instances, regulators still need to issue proposals, provide guidance, and publish final rules for various provisions. Thus, issuance of guidance and final rules must be monitored in order to be effectively implemented.</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Unfair or deceptive acts or practices (UDAP) standards originally developed years ago by the Federal Trade Commission focused on unacceptable practices that may not specifically be addressed elsewhere in banking or consumer finance law. Banking regulatory agencies have increasingly used this authority over the years to address acts or practices that are deemed harmful, deceptive, or misleading to consumers. The authority of the Federal Trade Commission (FTC) for credit practice rules was repealed as a result of the Dodd-Frank Act. Guidance issued collectively by the FDIC, FRB, the Bureau, NCUA, and OCC in August 2014 clearly indicated certain consumer credit practices were not permissible and remained subject to Section 5 of the Federal Trade Commission Act, as well as Sections 1031 and 1036 of the Dodd-Frank Act. The interagency guidance further noted that the Agencies will continue to have supervisory authority and enforcement authority for unfair or deceptive acts or practices, which could include those practices previously addressed in the former credit practices rules. Awareness of UDAP standards, and the Bureau’s unfair, deceptive or abusive acts or practices (UDAAP) in relation to the offering and marketing of Bank products and services remains important.</w:t>
      </w:r>
    </w:p>
    <w:p>
      <w:pPr>
        <w:spacing w:after="0" w:line="6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Bank is also subject to federal regulation relating to such matters as required reserves, limitation as to the nature and amount of its loans and investments, regulatory approval of any merger or consolidation, issuance or retirement of their own securities, limitations upon the payment of dividends and other aspects of banking operations. In addition, the activities and operations of the Bank are subject to numerous additional detailed, complex and sometimes overlapping laws and regulations.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6"/>
          <w:szCs w:val="16"/>
          <w:color w:val="auto"/>
        </w:rPr>
        <w:t>These include state usury and consumer credit laws, state laws relating to fiduciaries, the federal Equal Credit Opportunity Act and Regulation B, the federal Electronic Funds Transfer Act and Regulation E, the federal Fair Credit Reporting Act and Regulation V, the federal Real Estate Settlement Procedures Act (RESPA) and Regulation X, the federal Truth in Lending Act and Regulation Z, the federal Truth in Savings Act and Regulation DD, the Bank Secrecy Act, the federal Community Reinvestment Act, anti-discrimination laws and legislation, and antitrust laws.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Legislation</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Changes to the laws and regulations, both at the federal and state levels, can affect the operating environment of the Company and its subsidiaries in substantial and unpredictable ways. The Company cannot accurately predict whether those changes in laws and regulations will occur, and, if those changes occur, the ultimate effect they would have upon the financial condition or results of operations of the Company or its subsidiaries.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89"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The Company maintains an Internet web site at the following internet address: www.fm.bank. The Company files reports with the Securities and Exchange Commission (SEC). Because the Company makes its filing with the SEC electronically, you may access such reports at the SEC’s website (www.sec.gov). The Company makes available, free of charge through its internet address, copies of its annual report on Form 10-K, quarterly reports on Form 10-Q, current reports on Form 8-K, and any amendments to these reports as soon as reasonably practicable after such materials have been filed with or furnished to the SEC. Copies of these documents may also be obtained, either in electronic or paper form, by contacting Barbara J. Britenriker, Chief Financial Officer of the Company at (419) 446-2501.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Competition from an Array of Financial Service Providers</w:t>
      </w:r>
    </w:p>
    <w:p>
      <w:pPr>
        <w:spacing w:after="0" w:line="89"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Our ability to achieve strong financial performance and a satisfactory return on investment to shareholders will depend in part on our ability to expand our available financial services. In addition to the challenge of attracting and retaining customers for traditional banking services, our competitors now include securities dealers, brokers, mortgage bankers, investment advisors and finance and insurance companies who seek to offer one-stop financial services to their customers that may include services that banks have not been able or allowed to offer to their customers in the past. The increasingly competitive environment is a result primarily of changes in regulation, changes in technology and product delivery systems and the accelerating pace of consolidation among financial services providers. If we fail to adequately address each of the competitive pressures in the banking industry, our financial condition and results of operations could be adversely affected.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8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risk of nonpayment of loans is inherent in commercial banking. Such nonpayment could have an adverse effect on the Company’s earnings and our overall financial condition as well as the value of our common stock. Management attempts to reduce the Bank’s credit exposure by carefully monitoring the concentration of its loans within specific industries and through the loan approval process. However, there can be no assurance that such monitoring and procedures will totally mitigate the risks. Credit losses can cause insolvency and failure of a financial institution and, in such event, its shareholders could lose their entire investment. For more information on the exposure of the Company and the Bank to credit risk, see the section under Part II, Item 7 of this Form 10-K captioned “Loan Portfolio.”</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Dependence upon the Accuracy and Completeness of Information</w:t>
      </w:r>
    </w:p>
    <w:p>
      <w:pPr>
        <w:spacing w:after="0" w:line="8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deciding whether to extend credit or enter into other transactions with customers and counterparties, we may rely on information furnished by or on behalf of customers and counterparties, including financial statements and other financial information. We also may rely on representations of clients and counterparties as to the accuracy and completeness of that information and, with respect to financial statements, on reports of independent auditors and accountants if made available. If this information is inaccurate, we may be subject to regulatory action, reputational harm or other adverse effects with respect to the operation of our business, our financial condition and our results of operation.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loan portfolio has a large concentration of real estate loans</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Real estate loans, which constitute a large portion of our loan portfolio, include home equity, agricultural, commercial, construction and residential loans, and such loans are concentrated in the Bank’s primary markets in northwest Ohio, Northeast Indiana and complimented with additional exposure in new areas from our LPOs. The market value of real estate can fluctuate significantly in a short period of time as a result of market conditions in the geographic area in which the real estate is located. Adverse developments affecting real estate values in our market could increase the credit risk associated with our loan portfolio.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10" w:name="page11"/>
    <w:bookmarkEnd w:id="10"/>
    <w:p>
      <w:pPr>
        <w:jc w:val="both"/>
        <w:spacing w:after="0" w:line="228" w:lineRule="auto"/>
        <w:rPr>
          <w:sz w:val="20"/>
          <w:szCs w:val="20"/>
          <w:color w:val="auto"/>
        </w:rPr>
      </w:pPr>
      <w:r>
        <w:rPr>
          <w:rFonts w:ascii="Arial" w:cs="Arial" w:eastAsia="Arial" w:hAnsi="Arial"/>
          <w:sz w:val="18"/>
          <w:szCs w:val="18"/>
          <w:color w:val="auto"/>
        </w:rPr>
        <w:t>Also, real estate lending typically involves higher loan principal amounts and the repayment of the loans generally is dependent, in large part, on sufficient income from the properties securing the loans to cover operating expenses and debt service. Economic events or governmental regulations outside of the control of the borrower could negatively impact the future cash flow and market values of the affected properties.</w:t>
      </w:r>
    </w:p>
    <w:p>
      <w:pPr>
        <w:spacing w:after="0" w:line="6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If the loans that are collateralized by real estate become troubled during a time when market conditions are declining or have declined, then we may not be able to realize the amount of security that we anticipated at the time of originating the loan, which could cause us to increase our provision for loan losses and adversely affect our operating results and financial condition.</w:t>
      </w:r>
    </w:p>
    <w:p>
      <w:pPr>
        <w:spacing w:after="0" w:line="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real estate loans also include construction loans, including land acquisition and development. Construction, land acquisition and development lending involve additional risks because funds are advanced based upon estimates of costs and the estimated value of the completed project. Because of the uncertainties inherent in estimating construction costs, as well as the market value of the completed project and the effects of governmental regulation on real property, it is relatively difficult to evaluate accurately the total funds required to complete a project and the related loan-to-value ratio. As a result, commercial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our appraisal of the value of the completed project proves to be overstated, we may have inadequate security for the repayment of the loan upon completion of construction of the project.</w:t>
      </w:r>
    </w:p>
    <w:p>
      <w:pPr>
        <w:spacing w:after="0" w:line="66"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Payments on agricultural real estate loans are dependent on the profitable operation or management of the farm property securing the loan. The success of the farm may be affected by many factors outside the control of the borrower, including adverse weather conditions that prevent the planting of a crop or limit crop yields (such as hail, drought and floods), loss of livestock due to disease or other factors, declines in market prices for agricultural products (both domestically and internationally) and the impact of government regulations (including changes in price supports, subsidies and environmental regulations). In addition, many farms are dependent on a limited number of key individuals whose injury or death may significantly affect the successful operation of the farm. If the cash flow from a farming operation is diminished, the borrower’s ability to repay the loan may be impaired. The primary crops in our market areas are corn, wheat and soybeans. Accordingly, adverse circumstances affecting these crops could have an adverse effect on our agricultural real estate loan portfolio.</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loans make up a significant portion of our loan portfolio</w:t>
      </w:r>
    </w:p>
    <w:p>
      <w:pPr>
        <w:spacing w:after="0" w:line="8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commercial loans are primarily made based on the identified cash flow of the borrower and secondarily on the underlying collateral provided by the borrower. Repayment of our commercial loans is often dependent on the cash flows of the borrower, which may be unpredictable. Most often, this collateral is accounts receivable, inventory, machinery or real estate. In the case of loans secured by accounts receivable, the availability of funds for the repayment of these loans may be substantially dependent on the ability of the borrower to collect amounts due from its customers. The other types of collateral securing these loans may depreciate over time, may be difficult to appraise and may fluctuate in value based on the success of the business.</w:t>
      </w:r>
    </w:p>
    <w:p>
      <w:pPr>
        <w:spacing w:after="0" w:line="5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also originate agricultural operating loans. As with agricultural real estate loans, the repayment of operating loans is dependent on the successful operation or management of the farm property. Likewise, agricultural operating loans involve a greater degree of risk than lending on residential properties, particularly in the case of loans that are unsecured or secured by rapidly depreciating assets such as farm equipment or assets such as livestock or crops. The primary livestock in our market areas is hogs. In these cases, any repossessed collateral for a defaulted loan may not provide an adequate source of repayment of the outstanding loan balance as a result of the greater likelihood of damage, loss or depreciation. The majority of our agricultural customers utilize crop insurance to mitigate the possibility of a large loss within one year on their grain operations. Crop insurance can be structured to be triggered by different factors and claim payment may also be customized, such as based on harvest yields, income generation. Farmers may also use hedging techniques to lock in crop prices, input costs for future production.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Susceptibility to Changes in Regulation</w:t>
      </w:r>
    </w:p>
    <w:p>
      <w:pPr>
        <w:spacing w:after="0" w:line="8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Any changes to state and federal banking laws and regulations may negatively impact our ability to expand services and to increase the value of our business. We are subject to extensive state and federal regulation, supervision, and legislation that govern almost all aspects of our operations. These laws may change from time to time and are primarily intended for the protection of consumers, depositors and the deposit insurance funds. In addition, the Company’s earnings are affected by the monetary policies of the Board of Governors of the Federal Reserve. These policies, which include regulating the national supply of bank reserves and bank credit, can have a major effect upon the source and cost of funds and the rates of return earned on loans and investments. The Federal Reserve influences the size and distribution of bank reserves through its open market operations and changes in cash reserve requirements against member bank deposits. We cannot predict what effect any presently contemplated or future changes in the laws or regulations or their interpretations would have on us, but such changes could be materially adverse to our financial performance. For more information on this subject, see the section under Part I, Item 1 of this Form 10-K captioned “Supervision and Regulation.”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Changes in U.S. Trade Policies</w:t>
      </w:r>
    </w:p>
    <w:p>
      <w:pPr>
        <w:spacing w:after="0" w:line="8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From 2018 through 2020, the U.S. government implemented tariffs on certain products from countries or entities such as Mexico, Canada, China and the European Union. These countries have issued or continue to threaten retaliatory tariffs against products from the United States, including agricultural products. The United States and these countries may impose additional tariffs and retaliatory tariffs in the future. Tariffs, retaliatory tariffs or other trade restrictions on products and materials that our customers import or export, including agricultural products such as soybeans, could cause the prices of our customers’ products to increase which could reduce demand for such products, or reduce our customer margins, and adversely impact their revenues, financial results and ability to service debt. This could adversely affect our financial condition and results of operations. In addition, to the extent changes in the political environment have a negative impact on us or on the markets in which we operate, our business, results of operations and financial condition could be materially and adversely impacted in the future. In January 2020, passage of the United States-Mexico-Canada (USMCA) trade agreement helped to alleviate some of these risks. The USMCA updates trading rules to better reflect 21st century technology, regulates labor and environmental standards in Mexico, tightens the rules the auto industry must follow to trade vehicles duty free across the three countries and provides tariff-free trade in North America.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8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Changes in interest rates affect our operating performance and financial condition in diverse ways. Our profitability depends in substantial part on our “net interest spread,” which is the difference between the rates we receive on loans and investments and the rates we pay for deposits and other sources of funds. Our net interest spread will depend on many factors that are partly or entirely outside our control, including competition, federal economic, monetary and fiscal policies, and economic conditions generally. Historically, net interest spreads for other financial institutions have widened and narrowed in response to these and other factors, which are often collectively referred to as “interest rate risk.” After many years of a low and flat rate environment, the Federal Reserve began increasing the Federal Funds rate in 2015. The Company did not experience improvement in its asset yield on loans until such time that the rate increases enabled the loan rates to rise above the floors which had been on the majority of the variable rate loans. During 2017, the increasing rates, having reached over 100 basis points, triggered rate changes above the floors and the Company experienced improvement in the interest spread. The improvement in the net interest spread during 2017 through 2019 directly correlated to the improvement of the Bank’s loan to asset ratio. The Federal Reserve began decreasing the Federal Funds rate in the second half of 2019, and made further cuts in 2020, which contributed to a deterioration in the interest rate spread in 2020.</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Bank manages interest rate risk within an overall asset/liability framework. The principal objectives of asset/liability management are to manage sensitivity of net interest spreads and net interest income to potential changes in interest rates. Funding positions are kept within predetermined limits designed to ensure that risk-taking is not excessive and that liquidity is properly managed. In the event that our asset/liabilities management strategies are unsuccessful, our profitability may be adversely affected. For more information regarding the Company’s exposure to interest rate risk, see Part II, Item 7A of this Form 10-K.</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Attraction and Retention of Key Personnel</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success depends upon the continued service of our senior management team and upon our ability to attract and retain qualified financial services personnel. Competition for qualified employees is intense. In our experience, it can take a significant period of time to identify and hire personnel with the combination of skills and attributes required in carrying out our strategy. If we lose the services of our key personnel or are unable to attract additional qualified personnel, our business, financial condition, results of operations and cash flows could be adversely affected.</w:t>
      </w:r>
    </w:p>
    <w:p>
      <w:pPr>
        <w:spacing w:after="0" w:line="5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 key component of employee retention is providing a fair compensation base combined with the opportunity for additional compensation for above average performance. In this regard, the Company and the Bank use two incentive programs. The Company uses a stock award program to recognize and incentivize officers of the Bank. Under the long-term incentive compensation plan, restricted stock awards may be granted to officers. The amount of shares to be granted each year is determined by the Board Compensation Committee and may vary each year in its amount of shares and the number of recipients. The Compensation Committee determines the number of shares to be awarded overall and to the Chief Executive Officer (“CEO”) specifically. The CEO then makes recommendations to the committee as to the recipients of the remaining shares. The full Board of Directors approves the action of the Committee. Since the plan’s inception in 2005, all granted stock awards have utilized a three year cliff vesting feature. This is viewed as a retention aid as the awards may be forfeited should an officer leave employment during the vesting period.</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second incentive program of the Bank is based on cash compensation of which almost all employees participate (excluding commission based employees and other employees paid for specific higher paid positions, such as peak time). A discussion of executive officer pay is incorporated within the proxy and as such, this discussion will pertain to all other employees. Non-officer employees are paid a cash incentive based on the projected overall performance of the Bank in terms of Return of Average Assets (“ROA”) and the achievement of pre-established team and/or individual goals. The Compensation Committee determines the target performance levels on which the percentage of pay will be based. The Committee takes into account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424" w:right="339" w:bottom="1440" w:gutter="0" w:footer="0" w:header="0"/>
        </w:sectPr>
      </w:pPr>
    </w:p>
    <w:bookmarkStart w:id="12" w:name="page13"/>
    <w:bookmarkEnd w:id="12"/>
    <w:p>
      <w:pPr>
        <w:jc w:val="both"/>
        <w:spacing w:after="0" w:line="224" w:lineRule="auto"/>
        <w:rPr>
          <w:sz w:val="20"/>
          <w:szCs w:val="20"/>
          <w:color w:val="auto"/>
        </w:rPr>
      </w:pPr>
      <w:r>
        <w:rPr>
          <w:rFonts w:ascii="Arial" w:cs="Arial" w:eastAsia="Arial" w:hAnsi="Arial"/>
          <w:sz w:val="18"/>
          <w:szCs w:val="18"/>
          <w:color w:val="auto"/>
        </w:rPr>
        <w:t>five and ten year trend of ROA along with budget forecasted for the next year and the Bank’s past year performance. The Committee also considers the predicted banking environment under which the Bank will be operating. With the formation of the Captive, the ROA goal has been exclusive of the effect of the additional insurance expense at the Bank level. Non-officers receive incentive pay in December of the same year based on the year-to-date base compensation through the last pay received in November.</w:t>
      </w:r>
    </w:p>
    <w:p>
      <w:pPr>
        <w:spacing w:after="0" w:line="7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Officers, other than executive officers, receive incentive pay based on additional criterion. The officers are rewarded based on overall ROA of the Bank along with individual pre-established goals. Officers, therefore, have incentive pay at risk for individual performance. The individualized goals are recommended by each officer’s supervisor and are approved by an incentive committee of the Bank. The goals are designed to improve the performance of the Bank while also limiting the risk of a short-term performance focus. For example, a lending officer may be given two goals of which one is to grow loans within specific targets and another is tied to a specific level of past dues and charge-offs. The second goal limits the ability to be rewarded for growth at all costs along with the specific target levels within the growth goal itself. Officers in a support department may be given goals which create efficiencies, ensure compliance with procedures, or generate new fee or product opportunities. On average, three to four goals were given to each officer in 2020. Officers are paid cash incentives based on the year-end ROA of the Bank and receive it within the first quarter of the following year. Should the ROA be forecasted to be positive but below the base target set by the Board, the officers are paid an incentive under the same basis and timing as non-officers disclosed above.</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percentages of base pay on which the incentive is calculated graduates higher as does the responsibility level of the employee and their ability to impact the financial performance of the Bank. These percentages are recommended by management to the Compensation Committee and Board for approval. The cash incentive plan along with its targets and goals are subject to modification at the Compensation Committee and Board’s discretion throughout each year.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Payout Restrictions</w:t>
      </w:r>
    </w:p>
    <w:p>
      <w:pPr>
        <w:spacing w:after="0" w:line="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currently pay a quarterly dividend on our common shares. However, there is no assurance that we will be able to pay dividends in the future. Dividends are subject to determination and declaration by our Board of Directors, which takes into account many factors. The declaration of dividends by us on our common stock is subject to the discretion of our Board and to applicable state and federal regulatory limitations. The Company may receive dividends from the Bank which is subject to restrictions and limitations in the amount and timing of the dividends it may pay to the Company. The Bank has been declaring additional dividends each quarter to provide this liquidity to the Company. The Captive also upstreams dividends to the Company when reserve levels are adequately provided for and may not exceed the net income of the prior twelve months. Please see Note 16 in the notes to consolidated financial statements for additional information on dividend payout restrictions.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Maintaining Compliance with Regulatory Capital Requirements</w:t>
      </w:r>
    </w:p>
    <w:p>
      <w:pPr>
        <w:spacing w:after="0" w:line="8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regulatory capital adequacy guidelines, we must meet guidelines that involve quantitative measures of assets, liabilities and certain off-balance sheet items. Failure to meet minimum capital requirements could have a material effect on our financial condition and could subject us to a variety of enforcement actions, as well as certain restrictions on our business. Failure to maintain the status of “well-capitalized” under the regulatory framework could adversely affect the confidence that our customers have in us, which may lead to a decline in the demand for or a reduction in the prices that we are able to charge for our products and services. Failure to meet the guidelines could also limit our access to liquidity sources.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New Capital</w:t>
      </w:r>
    </w:p>
    <w:p>
      <w:pPr>
        <w:spacing w:after="0" w:line="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may at some point need to raise additional capital to maintain our “well-capitalized” status. Any capital we obtain may result in the dilution of the interests of existing holders of our stock. Our ability to raise additional capital, if needed, will depend on conditions in the capital markets at that time, which are outside our control, and on our financial condition and performance. Accordingly, we cannot make assurances of our ability to raise additional capital if needed, or if the terms will be acceptable to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Provisions of our Articles of Incorporation and Ohio law could have the effect of discouraging takeover attempts which certain stockholders might deem to be in their interest. These anti-takeover provisions may make us a less attractive target for a takeover bid or merger, potentially depriving shareholders of an opportunity to sell their shares of common stock at a premium over prevailing market prices as a result of a takeover bid or merger.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Environmental Laws</w:t>
      </w:r>
    </w:p>
    <w:p>
      <w:pPr>
        <w:spacing w:after="0" w:line="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significant portion of our loan portfolio is secured by real property. We may foreclose on and take title to certain real property. There is a risk that hazardous substances could be found on the property and we may be liable for remediation costs,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13" w:name="page14"/>
    <w:bookmarkEnd w:id="13"/>
    <w:p>
      <w:pPr>
        <w:jc w:val="both"/>
        <w:spacing w:after="0" w:line="228" w:lineRule="auto"/>
        <w:rPr>
          <w:sz w:val="20"/>
          <w:szCs w:val="20"/>
          <w:color w:val="auto"/>
        </w:rPr>
      </w:pPr>
      <w:r>
        <w:rPr>
          <w:rFonts w:ascii="Arial" w:cs="Arial" w:eastAsia="Arial" w:hAnsi="Arial"/>
          <w:sz w:val="18"/>
          <w:szCs w:val="18"/>
          <w:color w:val="auto"/>
        </w:rPr>
        <w:t>personal injury and/or property damage. We may incur substantial expenses to comply with environmental laws which may materially reduce the property's value or limit our ability to dispose of the property. The remediation costs and any other financial liabilities associated with the property could have a material adverse effect on our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Change</w:t>
      </w:r>
    </w:p>
    <w:p>
      <w:pPr>
        <w:spacing w:after="0" w:line="8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industry is susceptible to significant technological changes in the future as there continue to be a high level of new technology driven products and services introduced. Technological advancement aids the Company in providing customer service and increases efficiency. Our national competitors have more resources to invest in technological changes and associated required resources. As a result, they may be able to offer products and services that are more technologically advanced and that may put us at a competitive disadvantage. Our future depends on our ability to analyze technological changes to determine the best course of action for our business, customers and shareholders.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are subject to certain operational risks, including, but not limited to, data processing system failures and errors, customer or employee fraud and catastrophic failures resulting from terrorist acts or natural disasters. We maintain a system of internal controls to mitigate against such occurrences and maintain insurance coverage for such risks that are insurable, but should such an event occur that is not prevented or detected by our internal controls, uninsured or in excess of applicable insurance limits, it could have a significant adverse impact on our business, financial condition or results of operations.</w:t>
      </w:r>
    </w:p>
    <w:p>
      <w:pPr>
        <w:spacing w:after="0" w:line="5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Our operations are dependent on our ability to process financial transactions in a secure manner. Failure in or breach of our operational or security systems or infrastructure, or those of our third-party vendors and other service providers, could disrupt our business or the businesses of our customers, result in the disclosure or misuse of confidential or proprietary information, damage our reputation, increase our costs and cause losses. We must ensure that information is properly protected from a variety of threats such as cyber attacks, error, fraud, sabotage, terrorism, industrial espionage, privacy violation, service interruption, and natural disaster. These threats arise from numerous sources including human error, fraud on the part of employees or third parties, technological failure, telecommunication outages, and severe weather conditions. Information security risks for financial institutions like us have increased recently in part because of new technologies, the increased use of the internet and telecommunications technologies (including mobile devices and cloud computing) to conduct financial and other business transactions, political activism, and the increased sophistication and activities of organized crime. Although we employ detection and response mechanisms designed to contain and mitigate security incidents, early detection may be thwarted by persistent sophisticated attacks and malware designed to avoid detection.</w:t>
      </w:r>
    </w:p>
    <w:p>
      <w:pPr>
        <w:spacing w:after="0" w:line="6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also face risks related to cyber attacks and other security breaches in connection with card transactions that typically involve the transmission of sensitive information regarding our customers through various third parties. Some of these parties have in the past been the target of security breaches and cyber attacks, and because the transactions involve third parties and environments that we do not control or secure, future security breaches or cyber attacks affecting any of these third parties could impact us through no fault of our own, and in some cases we may have exposure and suffer losses for breaches or attacks relating to them. We also rely on numerous other third party service providers to conduct other aspects of our business operations and face similar risks relating to them. While we conduct security assessments on our higher risk third party service providers, we cannot be sure that their information security protocols are sufficient to withstand a cyber attack or other security breach. There can be no assurance that cyber incidents will not occur and they could occur more frequently and on a more significant scale.</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devote significant resources to implement, maintain, monitor and regularly upgrade our systems and networks with measures such as intrusion detection and prevention and firewalls to safeguard critical business applications. The additional cost to the Company of our cyber security monitoring and protection systems and controls includes the cost of hardware and software, third party technology providers, consulting, and legal fees, in addition to the incremental cost of our personnel who focus a substantial portion of their responsibilities on cyber security. In addition, because cyber attacks can change frequently we may be unable to implement effective preventive or proactive measures in time. With the assistance of third-party service providers, we intend to continue to implement security technology and establish procedures to maintain network security, but there is no assurance that these measures will be successful. As cyber threats continue to evolve, we may be required to expend significant additional resources to continue to modify or enhance our protective measures or to investigate and remediate any information security vulnerabilities.</w:t>
      </w:r>
    </w:p>
    <w:p>
      <w:pPr>
        <w:spacing w:after="0" w:line="66"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Any activity that jeopardizes our network and the security of the information stored thereon may result in significant cost and have a significant adverse effect on our reputation. We maintain insurance coverage that may, subject to policy terms and conditions, cover certain aspects of cyber risks. Such insurance coverage may be insufficient to cover all losses.</w:t>
      </w:r>
    </w:p>
    <w:p>
      <w:pPr>
        <w:spacing w:after="0" w:line="6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Any successful cyber attack or other security breach involving the misappropriation or other unauthorized disclosure of confidential customer information or that compromises our ability to function could severely damage our reputation, erode confidence in the security of our systems, products and services, expose us to the risk of litigation and liability, disrupt our operations and have a material adverse effect on our business. Any successful cyber attack may also subject the Company 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14" w:name="page15"/>
    <w:bookmarkEnd w:id="14"/>
    <w:p>
      <w:pPr>
        <w:jc w:val="both"/>
        <w:spacing w:after="0" w:line="228" w:lineRule="auto"/>
        <w:rPr>
          <w:sz w:val="20"/>
          <w:szCs w:val="20"/>
          <w:color w:val="auto"/>
        </w:rPr>
      </w:pPr>
      <w:r>
        <w:rPr>
          <w:rFonts w:ascii="Arial" w:cs="Arial" w:eastAsia="Arial" w:hAnsi="Arial"/>
          <w:sz w:val="18"/>
          <w:szCs w:val="18"/>
          <w:color w:val="auto"/>
        </w:rPr>
        <w:t>regulatory investigations, litigation or enforcement, or require the payment of regulatory fines or penalties or undertaking costly remediation efforts with respect to third parties affected by a cyber security incident, all or any of which could adversely affect the Company’s business, financial condition or results of operations and damage its reputation.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Inadequacy of our allowance for loan losses</w:t>
      </w:r>
    </w:p>
    <w:p>
      <w:pPr>
        <w:spacing w:after="0" w:line="8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Like all financial institutions, we maintain an allowance for loan losses to provide for loan defaults and non-performance. Our allowance for loan losses is based on our historical loss experience as well as an evaluation of the risks associated with our loan portfolio, including the size and composition of the loan portfolio, current economic conditions and concentrations within the portfolio. The determination of the appropriate level of the allowance for loan losses inherently involves a high degree of subjectivity and requires us to make significant estimates of current credit risks and future trends, all of which may undergo material changes. Economic conditions affecting borrowers, new information regarding existing loans, identification of additional problem loans and other factors, both within and outside of our control, may require an increase in the allowance for loan losses. In addition, bank regulatory agencies periodically review our allowance for loan losses and may require an increase in the provision for loan losses or the recognition of further loan charge-offs, based on judgments different than those of management. In addition, if charge-offs in future periods exceed expectations, we will need additional provisions to increase the allowance for loan losses. Any increases in the allowance for loan losses may result in a decrease in net income and capital and may have a material adverse effect on our financial condition and results of operations.</w:t>
      </w:r>
    </w:p>
    <w:p>
      <w:pPr>
        <w:spacing w:after="0" w:line="64"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June 2016, the Financial Accounting Standards Board (FASB) issued ASU 2016-13, "Financial Instruments - Credit Losses (Topic 326), Measurement of Credit Losses on Financial Instruments," which replaces the current "incurred loss" model for recognizing credit losses with an "expected loss" model referred to as the Current Expected Credit Loss model, or “CECL.” Under the CECL model, we will be required to present certain financial assets carried at amortized cost, such as loans held for investment and held-to-maturity debt securities, at the net amount expected to be collected. The measurement of expected credit losses is to be based on information about past events, including historical experience, current conditions, and reasonable and supportable forecasts that affect the collectability of the reported amount. This measurement will take place at the time the financial asset is first added to the balance sheet and periodically thereafter. This differs significantly from the "incurred loss" model required under current GAAP, which delays recognition until it is probable a loss has been incurred. Accordingly, we expect that the adoption of the CECL model will materially affect how we determine our allowance for loan losses and could require us to significantly increase our allowance. Moreover, the CECL model may create more volatility in the level of our allowance for loan losses. If we are required to increase our level of allowance for loan losses for any reason, such increase could adversely affect our business, financial condition and results of operations.</w:t>
      </w:r>
    </w:p>
    <w:p>
      <w:pPr>
        <w:spacing w:after="0" w:line="6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new CECL standard will become effective for us for fiscal years beginning after December 15, 2022 and for interim periods during 2023. The Company began working with a third-party service provider to review parallel reports starting in June 2019. We are currently evaluating the impact the CECL model will have on our accounting, but we expect to recognize a one-time cumulative-effect adjustment to our allowance for loan losses as of the beginning of the first reporting period in which the new standard is effective.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Attraction of Deposits and other Short-term Funding</w:t>
      </w:r>
    </w:p>
    <w:p>
      <w:pPr>
        <w:spacing w:after="0" w:line="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managing our liquidity, our primary source of short-term funding is customer deposits. Our ability to continue to attract these deposits, and other short-term funding sources, is subject to variability based upon a number of factors, including the relative interest rates we are prepared to pay for these liabilities and the perception of safety of those deposits or short-term obligations relative to alternative short-term investments. The availability and cost of credit in short-term markets depends upon market perceptions of our liquidity and creditworthiness. Our efforts to monitor and manage liquidity risk may not be successful or sufficient to deal with dramatic or unanticipated changes in event-driven reductions in liquidity. In such events, our cost of funds may increase, thereby reducing our net interest revenue, or we may need to dispose of a portion of our investment portfolio, which, depending on market conditions, could result in our realizing a loss or experiencing other adverse consequences.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Vendor Relationship Risk</w:t>
      </w:r>
    </w:p>
    <w:p>
      <w:pPr>
        <w:spacing w:after="0" w:line="8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We rely on third-party vendors to provide key components of our business operations such as data processing, recording and monitoring transactions, online and mobile banking interfaces and services, internet connections and network access. While we have performed due diligence procedures in selecting vendors, we do not control their actions. In the event that one or more of our vendors suffers a bankruptcy or otherwise becomes unable to continue to provide products or services or fails to protect non-public personal information of our customers or employees, we may suffer operational impairments, reputational damage and financial losses. Replacing these third-party vendors could create significant delay and expense. Accordingly, use of such third parties creates an inherent risk to our business operations.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COVID-19 Pandemic</w:t>
      </w:r>
    </w:p>
    <w:p>
      <w:pPr>
        <w:spacing w:after="0" w:line="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ongoing COVID-19 pandemic and measures intended to prevent its spread could have a material adverse effect on our business, results of operations and financial condition, and such effects will depend on future developments, which are highly uncertain and are difficult to predict.</w:t>
      </w:r>
    </w:p>
    <w:p>
      <w:pPr>
        <w:spacing w:after="0" w:line="3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In December 2019, a novel coronavirus (COVID-19) was reported in China, and, in March 2020, the World Health Organization declared it a pandemic. On March 12, 2020, the President of the United States declared the COVID-19 outbreak in the United States a national emergency. The COVID-19 pandemic has caused significant economic dislocation in the United States as many state and local governments have ordered non-essential businesses to close and residents to shelter in place at home. This has resulted in an unprecedented slow-down in economic activity and a related increase in unemployment. Since the COVID-19 outbreak an unprecedented number of individuals have filed claims for unemployment, and stock markets have experienced significant volatility, with bank stocks suffering significant declines in value. In response to the COVID-19 outbreak, the Federal Reserve Board has reduced the benchmark fed funds rate to a target range of 0% to 0.25%, and the yields on 10 and 30-year treasury notes have declined to historic lows. The federal banking agencies have encouraged financial institutions to prudently work with affected borrowers and recently passed legislation to provide relief from reporting loan classifications due to modifications related to the COVID-19 outbreak.</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Finally, the spread of the coronavirus has caused us to modify our business practices, including employee travel, employee work locations, and cancellation of physical participation in meetings, events and conferences. We may take further actions as may be required by government authorities or that we determine are in the best interests of our employees, customers and business partners. There is no certainty that such measures will be sufficient to mitigate the risks posed by the virus or will otherwise be satisfactory to government authorities. In addition, the success of our operations substantially depends on the management skills of our executive officers and directors, many of whom have held officer and director positions with us for many years. The unanticipated loss or unavailability of key employees due to the outbreak could harm our ability to operate our business or execute our business strategy.</w:t>
      </w:r>
    </w:p>
    <w:p>
      <w:pPr>
        <w:spacing w:after="0" w:line="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Given the ongoing and dynamic nature of the circumstances, it is difficult to predict the full impact of the COVID-19 outbreak on our business. The United States government has taken steps to attempt to mitigate some of the more severe anticipated economic effects of the virus, including the passage of the CARES Act and Consolidated Appropriations Act, but there can be no assurance that such steps will be effective or achieve their desired results in a timely fashion. The extent of such impact from the COVID-19 outbreak and related mitigation efforts will depend on future developments, which are highly uncertain, including but not limited to, the duration and spread of the outbreak, its severity, the actions to contain the virus or treat its impact, and how quickly and to what extent normal economic and operating conditions can resume. As the result, we could be subject to any of the following risks, any of which could have a material, adverse effect on our business, financial condition, liquidity, and results of operations:</w:t>
      </w:r>
    </w:p>
    <w:p>
      <w:pPr>
        <w:spacing w:after="0" w:line="162" w:lineRule="exact"/>
        <w:rPr>
          <w:sz w:val="20"/>
          <w:szCs w:val="20"/>
          <w:color w:val="auto"/>
        </w:rPr>
      </w:pPr>
    </w:p>
    <w:p>
      <w:pPr>
        <w:ind w:left="800" w:hanging="399"/>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demand for our products and services may decline, making it difficult to grow assets and income;</w:t>
      </w:r>
    </w:p>
    <w:p>
      <w:pPr>
        <w:ind w:left="800" w:hanging="399"/>
        <w:spacing w:after="0" w:line="213"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economy is unable to substantially reopen, and high levels of unemployment continue for an extended period of time, loan delinquencies, problem assets, and foreclosures may increase, resulting in increased charges and reduced income;</w:t>
      </w:r>
    </w:p>
    <w:p>
      <w:pPr>
        <w:spacing w:after="0" w:line="1" w:lineRule="exact"/>
        <w:rPr>
          <w:rFonts w:ascii="Arial" w:cs="Arial" w:eastAsia="Arial" w:hAnsi="Arial"/>
          <w:sz w:val="18"/>
          <w:szCs w:val="18"/>
          <w:color w:val="auto"/>
        </w:rPr>
      </w:pPr>
    </w:p>
    <w:p>
      <w:pPr>
        <w:ind w:left="800" w:hanging="399"/>
        <w:spacing w:after="0" w:line="213"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collateral for loans, especially real estate, may decline in value, which could cause loan losses to increase;</w:t>
      </w:r>
    </w:p>
    <w:p>
      <w:pPr>
        <w:ind w:left="800" w:hanging="399"/>
        <w:spacing w:after="0" w:line="213"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allowance for loan losses may have to be increased if borrowers experience financial difficulties beyond forbearance periods, which will adversely affect our net income;</w:t>
      </w:r>
    </w:p>
    <w:p>
      <w:pPr>
        <w:spacing w:after="0" w:line="1" w:lineRule="exact"/>
        <w:rPr>
          <w:rFonts w:ascii="Arial" w:cs="Arial" w:eastAsia="Arial" w:hAnsi="Arial"/>
          <w:sz w:val="18"/>
          <w:szCs w:val="18"/>
          <w:color w:val="auto"/>
        </w:rPr>
      </w:pPr>
    </w:p>
    <w:p>
      <w:pPr>
        <w:ind w:left="800" w:hanging="399"/>
        <w:spacing w:after="0" w:line="213"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net worth and liquidity of loan guarantors may decline, impairing their ability to honor commitments to us;</w:t>
      </w:r>
    </w:p>
    <w:p>
      <w:pPr>
        <w:ind w:left="800" w:hanging="399"/>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the result of the decline in the Federal Reserve Board’s target federal funds rate, the yield on our assets may decline to a greater extent than the decline in our cost of interest-bearing liabilities, reducing our net interest margin and spread and reducing net income;</w:t>
      </w:r>
    </w:p>
    <w:p>
      <w:pPr>
        <w:ind w:left="800" w:hanging="399"/>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material decrease in net income or a net loss over several quarters could result in a decrease in the rate of our quarterly cash dividend;</w:t>
      </w:r>
    </w:p>
    <w:p>
      <w:pPr>
        <w:ind w:left="800" w:hanging="399"/>
        <w:spacing w:after="0" w:line="213"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rely on third party vendors for certain services and the unavailability of a critical service due to the COVID-19 outbreak could have an adverse effect on us; and</w:t>
      </w:r>
    </w:p>
    <w:p>
      <w:pPr>
        <w:spacing w:after="0" w:line="1" w:lineRule="exact"/>
        <w:rPr>
          <w:rFonts w:ascii="Arial" w:cs="Arial" w:eastAsia="Arial" w:hAnsi="Arial"/>
          <w:sz w:val="18"/>
          <w:szCs w:val="18"/>
          <w:color w:val="auto"/>
        </w:rPr>
      </w:pPr>
    </w:p>
    <w:p>
      <w:pPr>
        <w:ind w:left="800" w:hanging="399"/>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Deposit Insurance Corporation premiums may increase if the agency experiences additional resolution costs.</w:t>
      </w:r>
    </w:p>
    <w:p>
      <w:pPr>
        <w:spacing w:after="0" w:line="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Any one or a combination of the factors identified above could negatively impact our business, financial condition and results of operations and prospects. Even after the COVID-19 outbreak has subsided, we may continue to experience materially adverse impacts to our business as a result of the virus’s global economic impact, including the availability of credit, adverse impacts on our liquidity and any recession that has occurred or may occur in the future.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42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Limited Trading Market</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its shares of stock listed and traded on the NASDAQ Capital Market. The Company’s trading symbol is “FMAO.”</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139"/>
          </w:cols>
          <w:pgMar w:left="320" w:top="424"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office is located in Archbold, Ohio.</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Bank operates from its principal office located at 307 North Defiance Street, Archbold, Ohio. In addition, the Bank owns the property from 200 to 208 Ditto Street, Archbold, Ohio, which it uses for Bank parking and a community mini-park area. The Bank owns real estate at two locations, 207 Ditto Street and 209 Ditto Street in Archbold, Ohio upon which the bank built a commercial building to be used for storage, and a parking lot for company vehicles and employee parking. The Bank also owns real estate across from the main facilities to provide for parking.</w:t>
      </w:r>
    </w:p>
    <w:p>
      <w:pPr>
        <w:spacing w:after="0" w:line="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Bank occupies an Operations Center at 620 S. Clyde’s Way in Archbold, Ohio to accommodate our growth over the years. The Bank owns a parking lot in downtown Montpelier which is provided for community use.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The Bank owns all of its office locations, with the exception of Angola, Indiana and Bowling Green, Ohio. Both of these office locations are leased.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Bank currently maintains retail banking offices at the following locations: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980" w:type="dxa"/>
            <w:vAlign w:val="bottom"/>
            <w:gridSpan w:val="4"/>
          </w:tcPr>
          <w:p>
            <w:pPr>
              <w:spacing w:after="0"/>
              <w:rPr>
                <w:sz w:val="20"/>
                <w:szCs w:val="20"/>
                <w:color w:val="auto"/>
              </w:rPr>
            </w:pPr>
            <w:r>
              <w:rPr>
                <w:rFonts w:ascii="Arial" w:cs="Arial" w:eastAsia="Arial" w:hAnsi="Arial"/>
                <w:sz w:val="18"/>
                <w:szCs w:val="18"/>
                <w:color w:val="auto"/>
              </w:rPr>
              <w:t>Office</w:t>
            </w:r>
          </w:p>
        </w:tc>
        <w:tc>
          <w:tcPr>
            <w:tcW w:w="2260" w:type="dxa"/>
            <w:vAlign w:val="bottom"/>
            <w:gridSpan w:val="6"/>
          </w:tcPr>
          <w:p>
            <w:pPr>
              <w:spacing w:after="0"/>
              <w:rPr>
                <w:sz w:val="20"/>
                <w:szCs w:val="20"/>
                <w:color w:val="auto"/>
              </w:rPr>
            </w:pPr>
            <w:r>
              <w:rPr>
                <w:rFonts w:ascii="Arial" w:cs="Arial" w:eastAsia="Arial" w:hAnsi="Arial"/>
                <w:sz w:val="18"/>
                <w:szCs w:val="18"/>
                <w:color w:val="auto"/>
              </w:rPr>
              <w:t>Location</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40" w:type="dxa"/>
            <w:vAlign w:val="bottom"/>
            <w:gridSpan w:val="2"/>
            <w:vMerge w:val="restart"/>
          </w:tcPr>
          <w:p>
            <w:pPr>
              <w:spacing w:after="0" w:line="185" w:lineRule="exact"/>
              <w:rPr>
                <w:sz w:val="20"/>
                <w:szCs w:val="20"/>
                <w:color w:val="auto"/>
              </w:rPr>
            </w:pPr>
            <w:r>
              <w:rPr>
                <w:rFonts w:ascii="Arial" w:cs="Arial" w:eastAsia="Arial" w:hAnsi="Arial"/>
                <w:sz w:val="18"/>
                <w:szCs w:val="18"/>
                <w:color w:val="auto"/>
              </w:rPr>
              <w:t>Defiance Street</w:t>
            </w:r>
          </w:p>
        </w:tc>
        <w:tc>
          <w:tcPr>
            <w:tcW w:w="0" w:type="dxa"/>
            <w:vAlign w:val="bottom"/>
          </w:tcPr>
          <w:p>
            <w:pPr>
              <w:spacing w:after="0" w:line="20" w:lineRule="exact"/>
              <w:rPr>
                <w:sz w:val="1"/>
                <w:szCs w:val="1"/>
                <w:color w:val="auto"/>
              </w:rPr>
            </w:pPr>
          </w:p>
        </w:tc>
      </w:tr>
      <w:tr>
        <w:trPr>
          <w:trHeight w:val="165"/>
        </w:trPr>
        <w:tc>
          <w:tcPr>
            <w:tcW w:w="1360" w:type="dxa"/>
            <w:vAlign w:val="bottom"/>
          </w:tcPr>
          <w:p>
            <w:pPr>
              <w:spacing w:after="0"/>
              <w:rPr>
                <w:sz w:val="14"/>
                <w:szCs w:val="14"/>
                <w:color w:val="auto"/>
              </w:rPr>
            </w:pPr>
          </w:p>
        </w:tc>
        <w:tc>
          <w:tcPr>
            <w:tcW w:w="3980" w:type="dxa"/>
            <w:vAlign w:val="bottom"/>
            <w:gridSpan w:val="4"/>
          </w:tcPr>
          <w:p>
            <w:pPr>
              <w:spacing w:after="0" w:line="165" w:lineRule="exact"/>
              <w:rPr>
                <w:sz w:val="20"/>
                <w:szCs w:val="20"/>
                <w:color w:val="auto"/>
              </w:rPr>
            </w:pPr>
            <w:r>
              <w:rPr>
                <w:rFonts w:ascii="Arial" w:cs="Arial" w:eastAsia="Arial" w:hAnsi="Arial"/>
                <w:sz w:val="18"/>
                <w:szCs w:val="18"/>
                <w:color w:val="auto"/>
              </w:rPr>
              <w:t>Archbold, Ohio</w:t>
            </w:r>
          </w:p>
        </w:tc>
        <w:tc>
          <w:tcPr>
            <w:tcW w:w="280" w:type="dxa"/>
            <w:vAlign w:val="bottom"/>
          </w:tcPr>
          <w:p>
            <w:pPr>
              <w:spacing w:after="0" w:line="165" w:lineRule="exact"/>
              <w:rPr>
                <w:sz w:val="20"/>
                <w:szCs w:val="20"/>
                <w:color w:val="auto"/>
              </w:rPr>
            </w:pPr>
            <w:r>
              <w:rPr>
                <w:rFonts w:ascii="Arial" w:cs="Arial" w:eastAsia="Arial" w:hAnsi="Arial"/>
                <w:sz w:val="18"/>
                <w:szCs w:val="18"/>
                <w:color w:val="auto"/>
                <w:w w:val="86"/>
              </w:rPr>
              <w:t>307</w:t>
            </w:r>
          </w:p>
        </w:tc>
        <w:tc>
          <w:tcPr>
            <w:tcW w:w="340" w:type="dxa"/>
            <w:vAlign w:val="bottom"/>
            <w:gridSpan w:val="3"/>
          </w:tcPr>
          <w:p>
            <w:pPr>
              <w:ind w:left="20"/>
              <w:spacing w:after="0" w:line="165" w:lineRule="exact"/>
              <w:rPr>
                <w:sz w:val="20"/>
                <w:szCs w:val="20"/>
                <w:color w:val="auto"/>
              </w:rPr>
            </w:pPr>
            <w:r>
              <w:rPr>
                <w:rFonts w:ascii="Arial" w:cs="Arial" w:eastAsia="Arial" w:hAnsi="Arial"/>
                <w:sz w:val="18"/>
                <w:szCs w:val="18"/>
                <w:color w:val="auto"/>
              </w:rPr>
              <w:t>N</w:t>
            </w: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80" w:type="dxa"/>
            <w:vAlign w:val="bottom"/>
            <w:gridSpan w:val="2"/>
          </w:tcPr>
          <w:p>
            <w:pPr>
              <w:spacing w:after="0" w:line="184" w:lineRule="exact"/>
              <w:rPr>
                <w:sz w:val="20"/>
                <w:szCs w:val="20"/>
                <w:color w:val="auto"/>
              </w:rPr>
            </w:pPr>
            <w:r>
              <w:rPr>
                <w:rFonts w:ascii="Arial" w:cs="Arial" w:eastAsia="Arial" w:hAnsi="Arial"/>
                <w:sz w:val="18"/>
                <w:szCs w:val="18"/>
                <w:color w:val="auto"/>
                <w:w w:val="89"/>
              </w:rPr>
              <w:t>1313</w:t>
            </w:r>
          </w:p>
        </w:tc>
        <w:tc>
          <w:tcPr>
            <w:tcW w:w="1880" w:type="dxa"/>
            <w:vAlign w:val="bottom"/>
            <w:gridSpan w:val="4"/>
          </w:tcPr>
          <w:p>
            <w:pPr>
              <w:ind w:left="20"/>
              <w:spacing w:after="0" w:line="184" w:lineRule="exact"/>
              <w:rPr>
                <w:sz w:val="20"/>
                <w:szCs w:val="20"/>
                <w:color w:val="auto"/>
              </w:rPr>
            </w:pPr>
            <w:r>
              <w:rPr>
                <w:rFonts w:ascii="Arial" w:cs="Arial" w:eastAsia="Arial" w:hAnsi="Arial"/>
                <w:sz w:val="18"/>
                <w:szCs w:val="18"/>
                <w:color w:val="auto"/>
              </w:rPr>
              <w:t>S Defiance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Wauseon, Ohio</w:t>
            </w:r>
          </w:p>
        </w:tc>
        <w:tc>
          <w:tcPr>
            <w:tcW w:w="2260" w:type="dxa"/>
            <w:vAlign w:val="bottom"/>
            <w:gridSpan w:val="6"/>
          </w:tcPr>
          <w:p>
            <w:pPr>
              <w:spacing w:after="0" w:line="184" w:lineRule="exact"/>
              <w:rPr>
                <w:sz w:val="20"/>
                <w:szCs w:val="20"/>
                <w:color w:val="auto"/>
              </w:rPr>
            </w:pPr>
            <w:r>
              <w:rPr>
                <w:rFonts w:ascii="Arial" w:cs="Arial" w:eastAsia="Arial" w:hAnsi="Arial"/>
                <w:sz w:val="18"/>
                <w:szCs w:val="18"/>
                <w:color w:val="auto"/>
              </w:rPr>
              <w:t>1130 N Shoop Avenue</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260" w:type="dxa"/>
            <w:vAlign w:val="bottom"/>
            <w:gridSpan w:val="6"/>
          </w:tcPr>
          <w:p>
            <w:pPr>
              <w:spacing w:after="0" w:line="184" w:lineRule="exact"/>
              <w:rPr>
                <w:sz w:val="20"/>
                <w:szCs w:val="20"/>
                <w:color w:val="auto"/>
              </w:rPr>
            </w:pPr>
            <w:r>
              <w:rPr>
                <w:rFonts w:ascii="Arial" w:cs="Arial" w:eastAsia="Arial" w:hAnsi="Arial"/>
                <w:sz w:val="18"/>
                <w:szCs w:val="18"/>
                <w:color w:val="auto"/>
              </w:rPr>
              <w:t>119 N Fulton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Stryker, Ohio</w:t>
            </w:r>
          </w:p>
        </w:tc>
        <w:tc>
          <w:tcPr>
            <w:tcW w:w="280" w:type="dxa"/>
            <w:vAlign w:val="bottom"/>
          </w:tcPr>
          <w:p>
            <w:pPr>
              <w:spacing w:after="0" w:line="184" w:lineRule="exact"/>
              <w:rPr>
                <w:sz w:val="20"/>
                <w:szCs w:val="20"/>
                <w:color w:val="auto"/>
              </w:rPr>
            </w:pPr>
            <w:r>
              <w:rPr>
                <w:rFonts w:ascii="Arial" w:cs="Arial" w:eastAsia="Arial" w:hAnsi="Arial"/>
                <w:sz w:val="18"/>
                <w:szCs w:val="18"/>
                <w:color w:val="auto"/>
                <w:w w:val="86"/>
              </w:rPr>
              <w:t>300</w:t>
            </w:r>
          </w:p>
        </w:tc>
        <w:tc>
          <w:tcPr>
            <w:tcW w:w="1980" w:type="dxa"/>
            <w:vAlign w:val="bottom"/>
            <w:gridSpan w:val="5"/>
          </w:tcPr>
          <w:p>
            <w:pPr>
              <w:ind w:left="20"/>
              <w:spacing w:after="0" w:line="184" w:lineRule="exact"/>
              <w:rPr>
                <w:sz w:val="20"/>
                <w:szCs w:val="20"/>
                <w:color w:val="auto"/>
              </w:rPr>
            </w:pPr>
            <w:r>
              <w:rPr>
                <w:rFonts w:ascii="Arial" w:cs="Arial" w:eastAsia="Arial" w:hAnsi="Arial"/>
                <w:sz w:val="18"/>
                <w:szCs w:val="18"/>
                <w:color w:val="auto"/>
              </w:rPr>
              <w:t>S Defiance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West Unity, Ohio</w:t>
            </w:r>
          </w:p>
        </w:tc>
        <w:tc>
          <w:tcPr>
            <w:tcW w:w="280" w:type="dxa"/>
            <w:vAlign w:val="bottom"/>
          </w:tcPr>
          <w:p>
            <w:pPr>
              <w:spacing w:after="0" w:line="184" w:lineRule="exact"/>
              <w:rPr>
                <w:sz w:val="20"/>
                <w:szCs w:val="20"/>
                <w:color w:val="auto"/>
              </w:rPr>
            </w:pPr>
            <w:r>
              <w:rPr>
                <w:rFonts w:ascii="Arial" w:cs="Arial" w:eastAsia="Arial" w:hAnsi="Arial"/>
                <w:sz w:val="18"/>
                <w:szCs w:val="18"/>
                <w:color w:val="auto"/>
                <w:w w:val="86"/>
              </w:rPr>
              <w:t>200</w:t>
            </w:r>
          </w:p>
        </w:tc>
        <w:tc>
          <w:tcPr>
            <w:tcW w:w="1980" w:type="dxa"/>
            <w:vAlign w:val="bottom"/>
            <w:gridSpan w:val="5"/>
          </w:tcPr>
          <w:p>
            <w:pPr>
              <w:ind w:left="20"/>
              <w:spacing w:after="0" w:line="184" w:lineRule="exact"/>
              <w:rPr>
                <w:sz w:val="20"/>
                <w:szCs w:val="20"/>
                <w:color w:val="auto"/>
              </w:rPr>
            </w:pPr>
            <w:r>
              <w:rPr>
                <w:rFonts w:ascii="Arial" w:cs="Arial" w:eastAsia="Arial" w:hAnsi="Arial"/>
                <w:sz w:val="18"/>
                <w:szCs w:val="18"/>
                <w:color w:val="auto"/>
              </w:rPr>
              <w:t>W Jackson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Bryan, Ohio</w:t>
            </w:r>
          </w:p>
        </w:tc>
        <w:tc>
          <w:tcPr>
            <w:tcW w:w="280" w:type="dxa"/>
            <w:vAlign w:val="bottom"/>
          </w:tcPr>
          <w:p>
            <w:pPr>
              <w:spacing w:after="0" w:line="184" w:lineRule="exact"/>
              <w:rPr>
                <w:sz w:val="20"/>
                <w:szCs w:val="20"/>
                <w:color w:val="auto"/>
              </w:rPr>
            </w:pPr>
            <w:r>
              <w:rPr>
                <w:rFonts w:ascii="Arial" w:cs="Arial" w:eastAsia="Arial" w:hAnsi="Arial"/>
                <w:sz w:val="18"/>
                <w:szCs w:val="18"/>
                <w:color w:val="auto"/>
                <w:w w:val="86"/>
              </w:rPr>
              <w:t>929</w:t>
            </w:r>
          </w:p>
        </w:tc>
        <w:tc>
          <w:tcPr>
            <w:tcW w:w="1980" w:type="dxa"/>
            <w:vAlign w:val="bottom"/>
            <w:gridSpan w:val="5"/>
          </w:tcPr>
          <w:p>
            <w:pPr>
              <w:ind w:left="20"/>
              <w:spacing w:after="0" w:line="184" w:lineRule="exact"/>
              <w:rPr>
                <w:sz w:val="20"/>
                <w:szCs w:val="20"/>
                <w:color w:val="auto"/>
              </w:rPr>
            </w:pPr>
            <w:r>
              <w:rPr>
                <w:rFonts w:ascii="Arial" w:cs="Arial" w:eastAsia="Arial" w:hAnsi="Arial"/>
                <w:sz w:val="18"/>
                <w:szCs w:val="18"/>
                <w:color w:val="auto"/>
              </w:rPr>
              <w:t>E High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80" w:type="dxa"/>
            <w:vAlign w:val="bottom"/>
            <w:gridSpan w:val="2"/>
          </w:tcPr>
          <w:p>
            <w:pPr>
              <w:spacing w:after="0" w:line="184" w:lineRule="exact"/>
              <w:rPr>
                <w:sz w:val="20"/>
                <w:szCs w:val="20"/>
                <w:color w:val="auto"/>
              </w:rPr>
            </w:pPr>
            <w:r>
              <w:rPr>
                <w:rFonts w:ascii="Arial" w:cs="Arial" w:eastAsia="Arial" w:hAnsi="Arial"/>
                <w:sz w:val="18"/>
                <w:szCs w:val="18"/>
                <w:color w:val="auto"/>
                <w:w w:val="89"/>
              </w:rPr>
              <w:t>1000</w:t>
            </w:r>
          </w:p>
        </w:tc>
        <w:tc>
          <w:tcPr>
            <w:tcW w:w="1880" w:type="dxa"/>
            <w:vAlign w:val="bottom"/>
            <w:gridSpan w:val="4"/>
          </w:tcPr>
          <w:p>
            <w:pPr>
              <w:ind w:left="20"/>
              <w:spacing w:after="0" w:line="184" w:lineRule="exact"/>
              <w:rPr>
                <w:sz w:val="20"/>
                <w:szCs w:val="20"/>
                <w:color w:val="auto"/>
              </w:rPr>
            </w:pPr>
            <w:r>
              <w:rPr>
                <w:rFonts w:ascii="Arial" w:cs="Arial" w:eastAsia="Arial" w:hAnsi="Arial"/>
                <w:sz w:val="18"/>
                <w:szCs w:val="18"/>
                <w:color w:val="auto"/>
              </w:rPr>
              <w:t>S Main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Delta, Ohio</w:t>
            </w:r>
          </w:p>
        </w:tc>
        <w:tc>
          <w:tcPr>
            <w:tcW w:w="280" w:type="dxa"/>
            <w:vAlign w:val="bottom"/>
          </w:tcPr>
          <w:p>
            <w:pPr>
              <w:spacing w:after="0" w:line="184" w:lineRule="exact"/>
              <w:rPr>
                <w:sz w:val="20"/>
                <w:szCs w:val="20"/>
                <w:color w:val="auto"/>
              </w:rPr>
            </w:pPr>
            <w:r>
              <w:rPr>
                <w:rFonts w:ascii="Arial" w:cs="Arial" w:eastAsia="Arial" w:hAnsi="Arial"/>
                <w:sz w:val="18"/>
                <w:szCs w:val="18"/>
                <w:color w:val="auto"/>
                <w:w w:val="86"/>
              </w:rPr>
              <w:t>101</w:t>
            </w:r>
          </w:p>
        </w:tc>
        <w:tc>
          <w:tcPr>
            <w:tcW w:w="1980" w:type="dxa"/>
            <w:vAlign w:val="bottom"/>
            <w:gridSpan w:val="5"/>
          </w:tcPr>
          <w:p>
            <w:pPr>
              <w:ind w:left="20"/>
              <w:spacing w:after="0" w:line="184" w:lineRule="exact"/>
              <w:rPr>
                <w:sz w:val="20"/>
                <w:szCs w:val="20"/>
                <w:color w:val="auto"/>
              </w:rPr>
            </w:pPr>
            <w:r>
              <w:rPr>
                <w:rFonts w:ascii="Arial" w:cs="Arial" w:eastAsia="Arial" w:hAnsi="Arial"/>
                <w:sz w:val="18"/>
                <w:szCs w:val="18"/>
                <w:color w:val="auto"/>
              </w:rPr>
              <w:t>Main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Montpelier, Ohio</w:t>
            </w:r>
          </w:p>
        </w:tc>
        <w:tc>
          <w:tcPr>
            <w:tcW w:w="2260" w:type="dxa"/>
            <w:vAlign w:val="bottom"/>
            <w:gridSpan w:val="6"/>
          </w:tcPr>
          <w:p>
            <w:pPr>
              <w:spacing w:after="0" w:line="184" w:lineRule="exact"/>
              <w:rPr>
                <w:sz w:val="20"/>
                <w:szCs w:val="20"/>
                <w:color w:val="auto"/>
              </w:rPr>
            </w:pPr>
            <w:r>
              <w:rPr>
                <w:rFonts w:ascii="Arial" w:cs="Arial" w:eastAsia="Arial" w:hAnsi="Arial"/>
                <w:sz w:val="18"/>
                <w:szCs w:val="18"/>
                <w:color w:val="auto"/>
              </w:rPr>
              <w:t>1150 E Main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Napoleon, Ohio</w:t>
            </w:r>
          </w:p>
        </w:tc>
        <w:tc>
          <w:tcPr>
            <w:tcW w:w="380" w:type="dxa"/>
            <w:vAlign w:val="bottom"/>
            <w:gridSpan w:val="2"/>
          </w:tcPr>
          <w:p>
            <w:pPr>
              <w:spacing w:after="0" w:line="184" w:lineRule="exact"/>
              <w:rPr>
                <w:sz w:val="20"/>
                <w:szCs w:val="20"/>
                <w:color w:val="auto"/>
              </w:rPr>
            </w:pPr>
            <w:r>
              <w:rPr>
                <w:rFonts w:ascii="Arial" w:cs="Arial" w:eastAsia="Arial" w:hAnsi="Arial"/>
                <w:sz w:val="18"/>
                <w:szCs w:val="18"/>
                <w:color w:val="auto"/>
                <w:w w:val="89"/>
              </w:rPr>
              <w:t>2255</w:t>
            </w:r>
          </w:p>
        </w:tc>
        <w:tc>
          <w:tcPr>
            <w:tcW w:w="1880" w:type="dxa"/>
            <w:vAlign w:val="bottom"/>
            <w:gridSpan w:val="4"/>
          </w:tcPr>
          <w:p>
            <w:pPr>
              <w:ind w:left="20"/>
              <w:spacing w:after="0" w:line="184" w:lineRule="exact"/>
              <w:rPr>
                <w:sz w:val="20"/>
                <w:szCs w:val="20"/>
                <w:color w:val="auto"/>
              </w:rPr>
            </w:pPr>
            <w:r>
              <w:rPr>
                <w:rFonts w:ascii="Arial" w:cs="Arial" w:eastAsia="Arial" w:hAnsi="Arial"/>
                <w:sz w:val="18"/>
                <w:szCs w:val="18"/>
                <w:color w:val="auto"/>
              </w:rPr>
              <w:t>Scott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Swanton, Ohio</w:t>
            </w:r>
          </w:p>
        </w:tc>
        <w:tc>
          <w:tcPr>
            <w:tcW w:w="2260" w:type="dxa"/>
            <w:vAlign w:val="bottom"/>
            <w:gridSpan w:val="6"/>
          </w:tcPr>
          <w:p>
            <w:pPr>
              <w:spacing w:after="0" w:line="184" w:lineRule="exact"/>
              <w:rPr>
                <w:sz w:val="20"/>
                <w:szCs w:val="20"/>
                <w:color w:val="auto"/>
              </w:rPr>
            </w:pPr>
            <w:r>
              <w:rPr>
                <w:rFonts w:ascii="Arial" w:cs="Arial" w:eastAsia="Arial" w:hAnsi="Arial"/>
                <w:sz w:val="18"/>
                <w:szCs w:val="18"/>
                <w:color w:val="auto"/>
              </w:rPr>
              <w:t>7 Turtle Creek Circle</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Defiance, Ohio</w:t>
            </w:r>
          </w:p>
        </w:tc>
        <w:tc>
          <w:tcPr>
            <w:tcW w:w="2260" w:type="dxa"/>
            <w:vAlign w:val="bottom"/>
            <w:gridSpan w:val="6"/>
          </w:tcPr>
          <w:p>
            <w:pPr>
              <w:spacing w:after="0" w:line="184" w:lineRule="exact"/>
              <w:rPr>
                <w:sz w:val="20"/>
                <w:szCs w:val="20"/>
                <w:color w:val="auto"/>
              </w:rPr>
            </w:pPr>
            <w:r>
              <w:rPr>
                <w:rFonts w:ascii="Arial" w:cs="Arial" w:eastAsia="Arial" w:hAnsi="Arial"/>
                <w:sz w:val="18"/>
                <w:szCs w:val="18"/>
                <w:color w:val="auto"/>
              </w:rPr>
              <w:t>1175 Hotel Drive</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Perrysburg, Ohio</w:t>
            </w:r>
          </w:p>
        </w:tc>
        <w:tc>
          <w:tcPr>
            <w:tcW w:w="380" w:type="dxa"/>
            <w:vAlign w:val="bottom"/>
            <w:gridSpan w:val="2"/>
          </w:tcPr>
          <w:p>
            <w:pPr>
              <w:spacing w:after="0" w:line="184" w:lineRule="exact"/>
              <w:rPr>
                <w:sz w:val="20"/>
                <w:szCs w:val="20"/>
                <w:color w:val="auto"/>
              </w:rPr>
            </w:pPr>
            <w:r>
              <w:rPr>
                <w:rFonts w:ascii="Arial" w:cs="Arial" w:eastAsia="Arial" w:hAnsi="Arial"/>
                <w:sz w:val="18"/>
                <w:szCs w:val="18"/>
                <w:color w:val="auto"/>
                <w:w w:val="89"/>
              </w:rPr>
              <w:t>7001</w:t>
            </w:r>
          </w:p>
        </w:tc>
        <w:tc>
          <w:tcPr>
            <w:tcW w:w="1880" w:type="dxa"/>
            <w:vAlign w:val="bottom"/>
            <w:gridSpan w:val="4"/>
          </w:tcPr>
          <w:p>
            <w:pPr>
              <w:ind w:left="20"/>
              <w:spacing w:after="0" w:line="184" w:lineRule="exact"/>
              <w:rPr>
                <w:sz w:val="20"/>
                <w:szCs w:val="20"/>
                <w:color w:val="auto"/>
              </w:rPr>
            </w:pPr>
            <w:r>
              <w:rPr>
                <w:rFonts w:ascii="Arial" w:cs="Arial" w:eastAsia="Arial" w:hAnsi="Arial"/>
                <w:sz w:val="18"/>
                <w:szCs w:val="18"/>
                <w:color w:val="auto"/>
              </w:rPr>
              <w:t>Lighthouse Way</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Butler, Indiana</w:t>
            </w:r>
          </w:p>
        </w:tc>
        <w:tc>
          <w:tcPr>
            <w:tcW w:w="280" w:type="dxa"/>
            <w:vAlign w:val="bottom"/>
          </w:tcPr>
          <w:p>
            <w:pPr>
              <w:spacing w:after="0" w:line="184" w:lineRule="exact"/>
              <w:rPr>
                <w:sz w:val="20"/>
                <w:szCs w:val="20"/>
                <w:color w:val="auto"/>
              </w:rPr>
            </w:pPr>
            <w:r>
              <w:rPr>
                <w:rFonts w:ascii="Arial" w:cs="Arial" w:eastAsia="Arial" w:hAnsi="Arial"/>
                <w:sz w:val="18"/>
                <w:szCs w:val="18"/>
                <w:color w:val="auto"/>
                <w:w w:val="86"/>
              </w:rPr>
              <w:t>200</w:t>
            </w:r>
          </w:p>
        </w:tc>
        <w:tc>
          <w:tcPr>
            <w:tcW w:w="1980" w:type="dxa"/>
            <w:vAlign w:val="bottom"/>
            <w:gridSpan w:val="5"/>
          </w:tcPr>
          <w:p>
            <w:pPr>
              <w:ind w:left="20"/>
              <w:spacing w:after="0" w:line="184" w:lineRule="exact"/>
              <w:rPr>
                <w:sz w:val="20"/>
                <w:szCs w:val="20"/>
                <w:color w:val="auto"/>
              </w:rPr>
            </w:pPr>
            <w:r>
              <w:rPr>
                <w:rFonts w:ascii="Arial" w:cs="Arial" w:eastAsia="Arial" w:hAnsi="Arial"/>
                <w:sz w:val="18"/>
                <w:szCs w:val="18"/>
                <w:color w:val="auto"/>
              </w:rPr>
              <w:t>S Broadway</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Auburn, Indiana</w:t>
            </w:r>
          </w:p>
        </w:tc>
        <w:tc>
          <w:tcPr>
            <w:tcW w:w="280" w:type="dxa"/>
            <w:vAlign w:val="bottom"/>
          </w:tcPr>
          <w:p>
            <w:pPr>
              <w:spacing w:after="0" w:line="184" w:lineRule="exact"/>
              <w:rPr>
                <w:sz w:val="20"/>
                <w:szCs w:val="20"/>
                <w:color w:val="auto"/>
              </w:rPr>
            </w:pPr>
            <w:r>
              <w:rPr>
                <w:rFonts w:ascii="Arial" w:cs="Arial" w:eastAsia="Arial" w:hAnsi="Arial"/>
                <w:sz w:val="18"/>
                <w:szCs w:val="18"/>
                <w:color w:val="auto"/>
                <w:w w:val="86"/>
              </w:rPr>
              <w:t>403</w:t>
            </w:r>
          </w:p>
        </w:tc>
        <w:tc>
          <w:tcPr>
            <w:tcW w:w="1980" w:type="dxa"/>
            <w:vAlign w:val="bottom"/>
            <w:gridSpan w:val="5"/>
          </w:tcPr>
          <w:p>
            <w:pPr>
              <w:ind w:left="20"/>
              <w:spacing w:after="0" w:line="184" w:lineRule="exact"/>
              <w:rPr>
                <w:sz w:val="20"/>
                <w:szCs w:val="20"/>
                <w:color w:val="auto"/>
              </w:rPr>
            </w:pPr>
            <w:r>
              <w:rPr>
                <w:rFonts w:ascii="Arial" w:cs="Arial" w:eastAsia="Arial" w:hAnsi="Arial"/>
                <w:sz w:val="18"/>
                <w:szCs w:val="18"/>
                <w:color w:val="auto"/>
              </w:rPr>
              <w:t>Erie Pass</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Angola, Indiana</w:t>
            </w:r>
          </w:p>
        </w:tc>
        <w:tc>
          <w:tcPr>
            <w:tcW w:w="380" w:type="dxa"/>
            <w:vAlign w:val="bottom"/>
            <w:gridSpan w:val="2"/>
          </w:tcPr>
          <w:p>
            <w:pPr>
              <w:spacing w:after="0" w:line="184" w:lineRule="exact"/>
              <w:rPr>
                <w:sz w:val="20"/>
                <w:szCs w:val="20"/>
                <w:color w:val="auto"/>
              </w:rPr>
            </w:pPr>
            <w:r>
              <w:rPr>
                <w:rFonts w:ascii="Arial" w:cs="Arial" w:eastAsia="Arial" w:hAnsi="Arial"/>
                <w:sz w:val="18"/>
                <w:szCs w:val="18"/>
                <w:color w:val="auto"/>
                <w:w w:val="89"/>
              </w:rPr>
              <w:t>2310</w:t>
            </w:r>
          </w:p>
        </w:tc>
        <w:tc>
          <w:tcPr>
            <w:tcW w:w="1880" w:type="dxa"/>
            <w:vAlign w:val="bottom"/>
            <w:gridSpan w:val="4"/>
          </w:tcPr>
          <w:p>
            <w:pPr>
              <w:ind w:left="20"/>
              <w:spacing w:after="0" w:line="184" w:lineRule="exact"/>
              <w:rPr>
                <w:sz w:val="20"/>
                <w:szCs w:val="20"/>
                <w:color w:val="auto"/>
              </w:rPr>
            </w:pPr>
            <w:r>
              <w:rPr>
                <w:rFonts w:ascii="Arial" w:cs="Arial" w:eastAsia="Arial" w:hAnsi="Arial"/>
                <w:sz w:val="18"/>
                <w:szCs w:val="18"/>
                <w:color w:val="auto"/>
              </w:rPr>
              <w:t>N Wayne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Hicksville, Ohio</w:t>
            </w:r>
          </w:p>
        </w:tc>
        <w:tc>
          <w:tcPr>
            <w:tcW w:w="280" w:type="dxa"/>
            <w:vAlign w:val="bottom"/>
          </w:tcPr>
          <w:p>
            <w:pPr>
              <w:spacing w:after="0" w:line="184" w:lineRule="exact"/>
              <w:rPr>
                <w:sz w:val="20"/>
                <w:szCs w:val="20"/>
                <w:color w:val="auto"/>
              </w:rPr>
            </w:pPr>
            <w:r>
              <w:rPr>
                <w:rFonts w:ascii="Arial" w:cs="Arial" w:eastAsia="Arial" w:hAnsi="Arial"/>
                <w:sz w:val="18"/>
                <w:szCs w:val="18"/>
                <w:color w:val="auto"/>
                <w:w w:val="86"/>
              </w:rPr>
              <w:t>100</w:t>
            </w:r>
          </w:p>
        </w:tc>
        <w:tc>
          <w:tcPr>
            <w:tcW w:w="1980" w:type="dxa"/>
            <w:vAlign w:val="bottom"/>
            <w:gridSpan w:val="5"/>
          </w:tcPr>
          <w:p>
            <w:pPr>
              <w:ind w:left="20"/>
              <w:spacing w:after="0" w:line="184" w:lineRule="exact"/>
              <w:rPr>
                <w:sz w:val="20"/>
                <w:szCs w:val="20"/>
                <w:color w:val="auto"/>
              </w:rPr>
            </w:pPr>
            <w:r>
              <w:rPr>
                <w:rFonts w:ascii="Arial" w:cs="Arial" w:eastAsia="Arial" w:hAnsi="Arial"/>
                <w:sz w:val="18"/>
                <w:szCs w:val="18"/>
                <w:color w:val="auto"/>
              </w:rPr>
              <w:t>N Main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Waterville, Ohio</w:t>
            </w:r>
          </w:p>
        </w:tc>
        <w:tc>
          <w:tcPr>
            <w:tcW w:w="380" w:type="dxa"/>
            <w:vAlign w:val="bottom"/>
            <w:gridSpan w:val="2"/>
          </w:tcPr>
          <w:p>
            <w:pPr>
              <w:spacing w:after="0" w:line="184" w:lineRule="exact"/>
              <w:rPr>
                <w:sz w:val="20"/>
                <w:szCs w:val="20"/>
                <w:color w:val="auto"/>
              </w:rPr>
            </w:pPr>
            <w:r>
              <w:rPr>
                <w:rFonts w:ascii="Arial" w:cs="Arial" w:eastAsia="Arial" w:hAnsi="Arial"/>
                <w:sz w:val="18"/>
                <w:szCs w:val="18"/>
                <w:color w:val="auto"/>
                <w:w w:val="89"/>
              </w:rPr>
              <w:t>8720</w:t>
            </w:r>
          </w:p>
        </w:tc>
        <w:tc>
          <w:tcPr>
            <w:tcW w:w="1880" w:type="dxa"/>
            <w:vAlign w:val="bottom"/>
            <w:gridSpan w:val="4"/>
          </w:tcPr>
          <w:p>
            <w:pPr>
              <w:ind w:left="20"/>
              <w:spacing w:after="0" w:line="184" w:lineRule="exact"/>
              <w:rPr>
                <w:sz w:val="20"/>
                <w:szCs w:val="20"/>
                <w:color w:val="auto"/>
              </w:rPr>
            </w:pPr>
            <w:r>
              <w:rPr>
                <w:rFonts w:ascii="Arial" w:cs="Arial" w:eastAsia="Arial" w:hAnsi="Arial"/>
                <w:sz w:val="18"/>
                <w:szCs w:val="18"/>
                <w:color w:val="auto"/>
                <w:w w:val="90"/>
              </w:rPr>
              <w:t>Waterville-Swanton Road</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Custar, Ohio</w:t>
            </w:r>
          </w:p>
        </w:tc>
        <w:tc>
          <w:tcPr>
            <w:tcW w:w="2260" w:type="dxa"/>
            <w:vAlign w:val="bottom"/>
            <w:gridSpan w:val="6"/>
          </w:tcPr>
          <w:p>
            <w:pPr>
              <w:spacing w:after="0" w:line="184" w:lineRule="exact"/>
              <w:rPr>
                <w:sz w:val="20"/>
                <w:szCs w:val="20"/>
                <w:color w:val="auto"/>
              </w:rPr>
            </w:pPr>
            <w:r>
              <w:rPr>
                <w:rFonts w:ascii="Arial" w:cs="Arial" w:eastAsia="Arial" w:hAnsi="Arial"/>
                <w:sz w:val="18"/>
                <w:szCs w:val="18"/>
                <w:color w:val="auto"/>
              </w:rPr>
              <w:t>22973 Defiance Pike</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Sylvania, Ohio</w:t>
            </w:r>
          </w:p>
        </w:tc>
        <w:tc>
          <w:tcPr>
            <w:tcW w:w="380" w:type="dxa"/>
            <w:vAlign w:val="bottom"/>
            <w:gridSpan w:val="2"/>
          </w:tcPr>
          <w:p>
            <w:pPr>
              <w:spacing w:after="0" w:line="184" w:lineRule="exact"/>
              <w:rPr>
                <w:sz w:val="20"/>
                <w:szCs w:val="20"/>
                <w:color w:val="auto"/>
              </w:rPr>
            </w:pPr>
            <w:r>
              <w:rPr>
                <w:rFonts w:ascii="Arial" w:cs="Arial" w:eastAsia="Arial" w:hAnsi="Arial"/>
                <w:sz w:val="18"/>
                <w:szCs w:val="18"/>
                <w:color w:val="auto"/>
                <w:w w:val="89"/>
              </w:rPr>
              <w:t>5830</w:t>
            </w:r>
          </w:p>
        </w:tc>
        <w:tc>
          <w:tcPr>
            <w:tcW w:w="1880" w:type="dxa"/>
            <w:vAlign w:val="bottom"/>
            <w:gridSpan w:val="4"/>
          </w:tcPr>
          <w:p>
            <w:pPr>
              <w:ind w:left="20"/>
              <w:spacing w:after="0" w:line="184" w:lineRule="exact"/>
              <w:rPr>
                <w:sz w:val="20"/>
                <w:szCs w:val="20"/>
                <w:color w:val="auto"/>
              </w:rPr>
            </w:pPr>
            <w:r>
              <w:rPr>
                <w:rFonts w:ascii="Arial" w:cs="Arial" w:eastAsia="Arial" w:hAnsi="Arial"/>
                <w:sz w:val="18"/>
                <w:szCs w:val="18"/>
                <w:color w:val="auto"/>
              </w:rPr>
              <w:t>Monroe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Fort Wayne, Indiana</w:t>
            </w:r>
          </w:p>
        </w:tc>
        <w:tc>
          <w:tcPr>
            <w:tcW w:w="2260" w:type="dxa"/>
            <w:vAlign w:val="bottom"/>
            <w:gridSpan w:val="6"/>
          </w:tcPr>
          <w:p>
            <w:pPr>
              <w:spacing w:after="0" w:line="184" w:lineRule="exact"/>
              <w:rPr>
                <w:sz w:val="20"/>
                <w:szCs w:val="20"/>
                <w:color w:val="auto"/>
              </w:rPr>
            </w:pPr>
            <w:r>
              <w:rPr>
                <w:rFonts w:ascii="Arial" w:cs="Arial" w:eastAsia="Arial" w:hAnsi="Arial"/>
                <w:sz w:val="18"/>
                <w:szCs w:val="18"/>
                <w:color w:val="auto"/>
              </w:rPr>
              <w:t>12106 Lima Road</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Bowling Green, Ohio</w:t>
            </w:r>
          </w:p>
        </w:tc>
        <w:tc>
          <w:tcPr>
            <w:tcW w:w="2260" w:type="dxa"/>
            <w:vAlign w:val="bottom"/>
            <w:gridSpan w:val="6"/>
          </w:tcPr>
          <w:p>
            <w:pPr>
              <w:spacing w:after="0" w:line="184" w:lineRule="exact"/>
              <w:rPr>
                <w:sz w:val="20"/>
                <w:szCs w:val="20"/>
                <w:color w:val="auto"/>
              </w:rPr>
            </w:pPr>
            <w:r>
              <w:rPr>
                <w:rFonts w:ascii="Arial" w:cs="Arial" w:eastAsia="Arial" w:hAnsi="Arial"/>
                <w:sz w:val="18"/>
                <w:szCs w:val="18"/>
                <w:color w:val="auto"/>
              </w:rPr>
              <w:t>1072 N. Main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Findlay, Ohio</w:t>
            </w:r>
          </w:p>
        </w:tc>
        <w:tc>
          <w:tcPr>
            <w:tcW w:w="380" w:type="dxa"/>
            <w:vAlign w:val="bottom"/>
            <w:gridSpan w:val="2"/>
          </w:tcPr>
          <w:p>
            <w:pPr>
              <w:spacing w:after="0" w:line="184" w:lineRule="exact"/>
              <w:rPr>
                <w:sz w:val="20"/>
                <w:szCs w:val="20"/>
                <w:color w:val="auto"/>
              </w:rPr>
            </w:pPr>
            <w:r>
              <w:rPr>
                <w:rFonts w:ascii="Arial" w:cs="Arial" w:eastAsia="Arial" w:hAnsi="Arial"/>
                <w:sz w:val="18"/>
                <w:szCs w:val="18"/>
                <w:color w:val="auto"/>
                <w:w w:val="89"/>
              </w:rPr>
              <w:t>1660</w:t>
            </w:r>
          </w:p>
        </w:tc>
        <w:tc>
          <w:tcPr>
            <w:tcW w:w="1880" w:type="dxa"/>
            <w:vAlign w:val="bottom"/>
            <w:gridSpan w:val="4"/>
          </w:tcPr>
          <w:p>
            <w:pPr>
              <w:ind w:left="20"/>
              <w:spacing w:after="0" w:line="184" w:lineRule="exact"/>
              <w:rPr>
                <w:sz w:val="20"/>
                <w:szCs w:val="20"/>
                <w:color w:val="auto"/>
              </w:rPr>
            </w:pPr>
            <w:r>
              <w:rPr>
                <w:rFonts w:ascii="Arial" w:cs="Arial" w:eastAsia="Arial" w:hAnsi="Arial"/>
                <w:sz w:val="18"/>
                <w:szCs w:val="18"/>
                <w:color w:val="auto"/>
              </w:rPr>
              <w:t>Tiffin Avenue</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Geneva, Indiana</w:t>
            </w:r>
          </w:p>
        </w:tc>
        <w:tc>
          <w:tcPr>
            <w:tcW w:w="280" w:type="dxa"/>
            <w:vAlign w:val="bottom"/>
          </w:tcPr>
          <w:p>
            <w:pPr>
              <w:spacing w:after="0" w:line="184" w:lineRule="exact"/>
              <w:rPr>
                <w:sz w:val="20"/>
                <w:szCs w:val="20"/>
                <w:color w:val="auto"/>
              </w:rPr>
            </w:pPr>
            <w:r>
              <w:rPr>
                <w:rFonts w:ascii="Arial" w:cs="Arial" w:eastAsia="Arial" w:hAnsi="Arial"/>
                <w:sz w:val="18"/>
                <w:szCs w:val="18"/>
                <w:color w:val="auto"/>
                <w:w w:val="86"/>
              </w:rPr>
              <w:t>215</w:t>
            </w:r>
          </w:p>
        </w:tc>
        <w:tc>
          <w:tcPr>
            <w:tcW w:w="1980" w:type="dxa"/>
            <w:vAlign w:val="bottom"/>
            <w:gridSpan w:val="5"/>
          </w:tcPr>
          <w:p>
            <w:pPr>
              <w:ind w:left="20"/>
              <w:spacing w:after="0" w:line="184" w:lineRule="exact"/>
              <w:rPr>
                <w:sz w:val="20"/>
                <w:szCs w:val="20"/>
                <w:color w:val="auto"/>
              </w:rPr>
            </w:pPr>
            <w:r>
              <w:rPr>
                <w:rFonts w:ascii="Arial" w:cs="Arial" w:eastAsia="Arial" w:hAnsi="Arial"/>
                <w:sz w:val="18"/>
                <w:szCs w:val="18"/>
                <w:color w:val="auto"/>
              </w:rPr>
              <w:t>East Line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Monroe, Indiana</w:t>
            </w:r>
          </w:p>
        </w:tc>
        <w:tc>
          <w:tcPr>
            <w:tcW w:w="2260" w:type="dxa"/>
            <w:vAlign w:val="bottom"/>
            <w:gridSpan w:val="6"/>
          </w:tcPr>
          <w:p>
            <w:pPr>
              <w:spacing w:after="0" w:line="184" w:lineRule="exact"/>
              <w:rPr>
                <w:sz w:val="20"/>
                <w:szCs w:val="20"/>
                <w:color w:val="auto"/>
              </w:rPr>
            </w:pPr>
            <w:r>
              <w:rPr>
                <w:rFonts w:ascii="Arial" w:cs="Arial" w:eastAsia="Arial" w:hAnsi="Arial"/>
                <w:sz w:val="18"/>
                <w:szCs w:val="18"/>
                <w:color w:val="auto"/>
              </w:rPr>
              <w:t>150 W Washington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Berne, Indiana</w:t>
            </w:r>
          </w:p>
        </w:tc>
        <w:tc>
          <w:tcPr>
            <w:tcW w:w="2260" w:type="dxa"/>
            <w:vAlign w:val="bottom"/>
            <w:gridSpan w:val="6"/>
          </w:tcPr>
          <w:p>
            <w:pPr>
              <w:spacing w:after="0" w:line="184" w:lineRule="exact"/>
              <w:rPr>
                <w:sz w:val="20"/>
                <w:szCs w:val="20"/>
                <w:color w:val="auto"/>
              </w:rPr>
            </w:pPr>
            <w:r>
              <w:rPr>
                <w:rFonts w:ascii="Arial" w:cs="Arial" w:eastAsia="Arial" w:hAnsi="Arial"/>
                <w:sz w:val="18"/>
                <w:szCs w:val="18"/>
                <w:color w:val="auto"/>
              </w:rPr>
              <w:t>718 US Highway 27 N</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Monroeville, Indiana</w:t>
            </w:r>
          </w:p>
        </w:tc>
        <w:tc>
          <w:tcPr>
            <w:tcW w:w="280" w:type="dxa"/>
            <w:vAlign w:val="bottom"/>
          </w:tcPr>
          <w:p>
            <w:pPr>
              <w:spacing w:after="0" w:line="184" w:lineRule="exact"/>
              <w:rPr>
                <w:sz w:val="20"/>
                <w:szCs w:val="20"/>
                <w:color w:val="auto"/>
              </w:rPr>
            </w:pPr>
            <w:r>
              <w:rPr>
                <w:rFonts w:ascii="Arial" w:cs="Arial" w:eastAsia="Arial" w:hAnsi="Arial"/>
                <w:sz w:val="18"/>
                <w:szCs w:val="18"/>
                <w:color w:val="auto"/>
                <w:w w:val="86"/>
              </w:rPr>
              <w:t>103</w:t>
            </w:r>
          </w:p>
        </w:tc>
        <w:tc>
          <w:tcPr>
            <w:tcW w:w="1980" w:type="dxa"/>
            <w:vAlign w:val="bottom"/>
            <w:gridSpan w:val="5"/>
          </w:tcPr>
          <w:p>
            <w:pPr>
              <w:ind w:left="20"/>
              <w:spacing w:after="0" w:line="184" w:lineRule="exact"/>
              <w:rPr>
                <w:sz w:val="20"/>
                <w:szCs w:val="20"/>
                <w:color w:val="auto"/>
              </w:rPr>
            </w:pPr>
            <w:r>
              <w:rPr>
                <w:rFonts w:ascii="Arial" w:cs="Arial" w:eastAsia="Arial" w:hAnsi="Arial"/>
                <w:sz w:val="18"/>
                <w:szCs w:val="18"/>
                <w:color w:val="auto"/>
              </w:rPr>
              <w:t>Main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Portland, Indiana</w:t>
            </w:r>
          </w:p>
        </w:tc>
        <w:tc>
          <w:tcPr>
            <w:tcW w:w="380" w:type="dxa"/>
            <w:vAlign w:val="bottom"/>
            <w:gridSpan w:val="2"/>
          </w:tcPr>
          <w:p>
            <w:pPr>
              <w:spacing w:after="0" w:line="184" w:lineRule="exact"/>
              <w:rPr>
                <w:sz w:val="20"/>
                <w:szCs w:val="20"/>
                <w:color w:val="auto"/>
              </w:rPr>
            </w:pPr>
            <w:r>
              <w:rPr>
                <w:rFonts w:ascii="Arial" w:cs="Arial" w:eastAsia="Arial" w:hAnsi="Arial"/>
                <w:sz w:val="18"/>
                <w:szCs w:val="18"/>
                <w:color w:val="auto"/>
                <w:w w:val="89"/>
              </w:rPr>
              <w:t>1451</w:t>
            </w:r>
          </w:p>
        </w:tc>
        <w:tc>
          <w:tcPr>
            <w:tcW w:w="1880" w:type="dxa"/>
            <w:vAlign w:val="bottom"/>
            <w:gridSpan w:val="4"/>
          </w:tcPr>
          <w:p>
            <w:pPr>
              <w:ind w:left="20"/>
              <w:spacing w:after="0" w:line="184" w:lineRule="exact"/>
              <w:rPr>
                <w:sz w:val="20"/>
                <w:szCs w:val="20"/>
                <w:color w:val="auto"/>
              </w:rPr>
            </w:pPr>
            <w:r>
              <w:rPr>
                <w:rFonts w:ascii="Arial" w:cs="Arial" w:eastAsia="Arial" w:hAnsi="Arial"/>
                <w:sz w:val="18"/>
                <w:szCs w:val="18"/>
                <w:color w:val="auto"/>
              </w:rPr>
              <w:t>N Meridian Street</w:t>
            </w:r>
          </w:p>
        </w:tc>
        <w:tc>
          <w:tcPr>
            <w:tcW w:w="0" w:type="dxa"/>
            <w:vAlign w:val="bottom"/>
          </w:tcPr>
          <w:p>
            <w:pPr>
              <w:spacing w:after="0"/>
              <w:rPr>
                <w:sz w:val="1"/>
                <w:szCs w:val="1"/>
                <w:color w:val="auto"/>
              </w:rPr>
            </w:pPr>
          </w:p>
        </w:tc>
      </w:tr>
      <w:tr>
        <w:trPr>
          <w:trHeight w:val="24"/>
        </w:trPr>
        <w:tc>
          <w:tcPr>
            <w:tcW w:w="1360" w:type="dxa"/>
            <w:vAlign w:val="bottom"/>
          </w:tcPr>
          <w:p>
            <w:pPr>
              <w:spacing w:after="0"/>
              <w:rPr>
                <w:sz w:val="2"/>
                <w:szCs w:val="2"/>
                <w:color w:val="auto"/>
              </w:rPr>
            </w:pPr>
          </w:p>
        </w:tc>
        <w:tc>
          <w:tcPr>
            <w:tcW w:w="3980" w:type="dxa"/>
            <w:vAlign w:val="bottom"/>
            <w:gridSpan w:val="4"/>
          </w:tcPr>
          <w:p>
            <w:pPr>
              <w:spacing w:after="0"/>
              <w:rPr>
                <w:sz w:val="20"/>
                <w:szCs w:val="20"/>
                <w:color w:val="auto"/>
              </w:rPr>
            </w:pPr>
            <w:r>
              <w:rPr>
                <w:rFonts w:ascii="Arial" w:cs="Arial" w:eastAsia="Arial" w:hAnsi="Arial"/>
                <w:sz w:val="2"/>
                <w:szCs w:val="2"/>
                <w:color w:val="auto"/>
              </w:rPr>
              <w:t>Decatur, Indiana</w:t>
            </w:r>
          </w:p>
        </w:tc>
        <w:tc>
          <w:tcPr>
            <w:tcW w:w="380" w:type="dxa"/>
            <w:vAlign w:val="bottom"/>
            <w:gridSpan w:val="2"/>
          </w:tcPr>
          <w:p>
            <w:pPr>
              <w:spacing w:after="0"/>
              <w:rPr>
                <w:sz w:val="20"/>
                <w:szCs w:val="20"/>
                <w:color w:val="auto"/>
              </w:rPr>
            </w:pPr>
            <w:r>
              <w:rPr>
                <w:rFonts w:ascii="Arial" w:cs="Arial" w:eastAsia="Arial" w:hAnsi="Arial"/>
                <w:sz w:val="2"/>
                <w:szCs w:val="2"/>
                <w:color w:val="auto"/>
              </w:rPr>
              <w:t>1061</w:t>
            </w:r>
          </w:p>
        </w:tc>
        <w:tc>
          <w:tcPr>
            <w:tcW w:w="1880" w:type="dxa"/>
            <w:vAlign w:val="bottom"/>
            <w:gridSpan w:val="4"/>
          </w:tcPr>
          <w:p>
            <w:pPr>
              <w:ind w:left="20"/>
              <w:spacing w:after="0"/>
              <w:rPr>
                <w:sz w:val="20"/>
                <w:szCs w:val="20"/>
                <w:color w:val="auto"/>
              </w:rPr>
            </w:pPr>
            <w:r>
              <w:rPr>
                <w:rFonts w:ascii="Arial" w:cs="Arial" w:eastAsia="Arial" w:hAnsi="Arial"/>
                <w:sz w:val="2"/>
                <w:szCs w:val="2"/>
                <w:color w:val="auto"/>
              </w:rPr>
              <w:t>S 13  Street</w:t>
            </w:r>
          </w:p>
        </w:tc>
        <w:tc>
          <w:tcPr>
            <w:tcW w:w="0" w:type="dxa"/>
            <w:vAlign w:val="bottom"/>
          </w:tcPr>
          <w:p>
            <w:pPr>
              <w:spacing w:after="0" w:line="20" w:lineRule="exact"/>
              <w:rPr>
                <w:sz w:val="1"/>
                <w:szCs w:val="1"/>
                <w:color w:val="auto"/>
              </w:rPr>
            </w:pPr>
          </w:p>
        </w:tc>
      </w:tr>
      <w:tr>
        <w:trPr>
          <w:trHeight w:val="189"/>
        </w:trPr>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80" w:type="dxa"/>
            <w:vAlign w:val="bottom"/>
            <w:gridSpan w:val="3"/>
            <w:vMerge w:val="restart"/>
          </w:tcPr>
          <w:p>
            <w:pPr>
              <w:ind w:left="140"/>
              <w:spacing w:after="0"/>
              <w:rPr>
                <w:sz w:val="20"/>
                <w:szCs w:val="20"/>
                <w:color w:val="auto"/>
              </w:rPr>
            </w:pPr>
            <w:r>
              <w:rPr>
                <w:rFonts w:ascii="Arial" w:cs="Arial" w:eastAsia="Arial" w:hAnsi="Arial"/>
                <w:sz w:val="18"/>
                <w:szCs w:val="18"/>
                <w:color w:val="auto"/>
              </w:rPr>
              <w:t>*Office being closed in 2021</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5"/>
                <w:szCs w:val="15"/>
                <w:color w:val="auto"/>
              </w:rPr>
              <w:t>th</w:t>
            </w:r>
          </w:p>
        </w:tc>
        <w:tc>
          <w:tcPr>
            <w:tcW w:w="0" w:type="dxa"/>
            <w:vAlign w:val="bottom"/>
          </w:tcPr>
          <w:p>
            <w:pPr>
              <w:spacing w:after="0"/>
              <w:rPr>
                <w:sz w:val="1"/>
                <w:szCs w:val="1"/>
                <w:color w:val="auto"/>
              </w:rPr>
            </w:pPr>
          </w:p>
        </w:tc>
      </w:tr>
      <w:tr>
        <w:trPr>
          <w:trHeight w:val="194"/>
        </w:trPr>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8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620" w:type="dxa"/>
            <w:vAlign w:val="bottom"/>
            <w:gridSpan w:val="6"/>
          </w:tcPr>
          <w:p>
            <w:pPr>
              <w:spacing w:after="0"/>
              <w:rPr>
                <w:sz w:val="20"/>
                <w:szCs w:val="20"/>
                <w:color w:val="auto"/>
              </w:rPr>
            </w:pPr>
            <w:r>
              <w:rPr>
                <w:rFonts w:ascii="Arial" w:cs="Arial" w:eastAsia="Arial" w:hAnsi="Arial"/>
                <w:sz w:val="18"/>
                <w:szCs w:val="18"/>
                <w:color w:val="auto"/>
                <w:w w:val="92"/>
              </w:rPr>
              <w:t>All but one of the above locations has drive-up service facilities and an ATM.</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340" w:type="dxa"/>
            <w:vAlign w:val="bottom"/>
            <w:gridSpan w:val="5"/>
          </w:tcPr>
          <w:p>
            <w:pPr>
              <w:spacing w:after="0"/>
              <w:rPr>
                <w:sz w:val="20"/>
                <w:szCs w:val="20"/>
                <w:color w:val="auto"/>
              </w:rPr>
            </w:pPr>
            <w:r>
              <w:rPr>
                <w:rFonts w:ascii="Arial" w:cs="Arial" w:eastAsia="Arial" w:hAnsi="Arial"/>
                <w:sz w:val="18"/>
                <w:szCs w:val="18"/>
                <w:color w:val="auto"/>
              </w:rPr>
              <w:t>The Bank’s LPOs are at the following locations: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w w:val="88"/>
              </w:rPr>
              <w:t>LPO</w:t>
            </w:r>
          </w:p>
        </w:tc>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rPr>
              <w:t>Location</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80" w:type="dxa"/>
            <w:vAlign w:val="bottom"/>
            <w:gridSpan w:val="3"/>
          </w:tcPr>
          <w:p>
            <w:pPr>
              <w:spacing w:after="0" w:line="165" w:lineRule="exact"/>
              <w:rPr>
                <w:sz w:val="20"/>
                <w:szCs w:val="20"/>
                <w:color w:val="auto"/>
              </w:rPr>
            </w:pPr>
            <w:r>
              <w:rPr>
                <w:rFonts w:ascii="Arial" w:cs="Arial" w:eastAsia="Arial" w:hAnsi="Arial"/>
                <w:sz w:val="18"/>
                <w:szCs w:val="18"/>
                <w:color w:val="auto"/>
              </w:rPr>
              <w:t>Muncie, Indiana</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740" w:type="dxa"/>
            <w:vAlign w:val="bottom"/>
            <w:gridSpan w:val="3"/>
          </w:tcPr>
          <w:p>
            <w:pPr>
              <w:spacing w:after="0" w:line="165" w:lineRule="exact"/>
              <w:rPr>
                <w:sz w:val="20"/>
                <w:szCs w:val="20"/>
                <w:color w:val="auto"/>
              </w:rPr>
            </w:pPr>
            <w:r>
              <w:rPr>
                <w:rFonts w:ascii="Arial" w:cs="Arial" w:eastAsia="Arial" w:hAnsi="Arial"/>
                <w:sz w:val="18"/>
                <w:szCs w:val="18"/>
                <w:color w:val="auto"/>
              </w:rPr>
              <w:t>420 S High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80" w:type="dxa"/>
            <w:vAlign w:val="bottom"/>
            <w:gridSpan w:val="3"/>
          </w:tcPr>
          <w:p>
            <w:pPr>
              <w:spacing w:after="0" w:line="184" w:lineRule="exact"/>
              <w:rPr>
                <w:sz w:val="20"/>
                <w:szCs w:val="20"/>
                <w:color w:val="auto"/>
              </w:rPr>
            </w:pPr>
            <w:r>
              <w:rPr>
                <w:rFonts w:ascii="Arial" w:cs="Arial" w:eastAsia="Arial" w:hAnsi="Arial"/>
                <w:sz w:val="18"/>
                <w:szCs w:val="18"/>
                <w:color w:val="auto"/>
              </w:rPr>
              <w:t>Oxford, Ohio</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3"/>
          </w:tcPr>
          <w:p>
            <w:pPr>
              <w:spacing w:after="0" w:line="184" w:lineRule="exact"/>
              <w:rPr>
                <w:sz w:val="20"/>
                <w:szCs w:val="20"/>
                <w:color w:val="auto"/>
              </w:rPr>
            </w:pPr>
            <w:r>
              <w:rPr>
                <w:rFonts w:ascii="Arial" w:cs="Arial" w:eastAsia="Arial" w:hAnsi="Arial"/>
                <w:sz w:val="18"/>
                <w:szCs w:val="18"/>
                <w:color w:val="auto"/>
              </w:rPr>
              <w:t>29 N Beech Street</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West Bloomfield, Michigan</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w w:val="85"/>
              </w:rPr>
              <w:t>7031 Orchard Lake Road</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Captive operates from leased office space at 101 Convention Center Dr., Suite 850, Las Vegas, NV 89109.</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There are no material pending legal proceedings, other than ordinary routine proceedings incidental to the business of the Company or its subsidiaries, to which we are a party or of which any of our properties are the subject.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PART II</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MARKET FOR REGISTRANT'S COMMON EQUITY AND RELATED STOCKHOLDER MATTERS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listed on the NASDAQ Stock Market LLC under the trading symbol “FMAO.”</w:t>
      </w:r>
    </w:p>
    <w:p>
      <w:pPr>
        <w:spacing w:after="0" w:line="1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August 18, 2017, the Company’s Board of Directors authorized a two-for-one stock split payable on September 20, 2017, for shareholders of record on September 5, 2017.</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Computershare as its transfer agent.</w:t>
      </w:r>
    </w:p>
    <w:p>
      <w:pPr>
        <w:spacing w:after="0" w:line="1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2020, there were 1,783 record holders of our common stock of which 45.02% of the outstanding shares are being held in brokerage accounts or “street name” and only considered as one record holder.</w:t>
      </w:r>
    </w:p>
    <w:p>
      <w:pPr>
        <w:spacing w:after="0" w:line="7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Below is a line-graph presentation comparing the cumulative total shareholder returns for the Corporation, an index for NASDAQ Stock Market (U.S. Companies) comprised of all domestic common shares traded on the NASDAQ National Market System and the NASDAQ Bank Index for the five-year period ended December 31, 2020. The chart compares the value of $100 invested in the Corporation and each of the indices and assumes investment on December 31, 2015 with all dividends reinvested.</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Board of Directors recognizes that the market price of stock is influenced by many factors, only one of which is performance. The stock price performance shown on the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122555</wp:posOffset>
            </wp:positionV>
            <wp:extent cx="5613400" cy="1857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13400" cy="185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19"/>
                <w:szCs w:val="19"/>
                <w:color w:val="auto"/>
              </w:rPr>
            </w:pPr>
          </w:p>
        </w:tc>
      </w:tr>
      <w:tr>
        <w:trPr>
          <w:trHeight w:val="217"/>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FMAO</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133.49</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310.45</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297.43</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239.96</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191.71</w:t>
            </w:r>
          </w:p>
        </w:tc>
        <w:tc>
          <w:tcPr>
            <w:tcW w:w="120" w:type="dxa"/>
            <w:vAlign w:val="bottom"/>
            <w:shd w:val="clear" w:color="auto" w:fill="CFF0FC"/>
          </w:tcPr>
          <w:p>
            <w:pPr>
              <w:spacing w:after="0"/>
              <w:rPr>
                <w:sz w:val="18"/>
                <w:szCs w:val="18"/>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NASDAQ - COMPOSITE</w:t>
            </w:r>
          </w:p>
        </w:tc>
        <w:tc>
          <w:tcPr>
            <w:tcW w:w="90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108.84</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140.64</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136.93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185.37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265.54</w:t>
            </w:r>
          </w:p>
        </w:tc>
        <w:tc>
          <w:tcPr>
            <w:tcW w:w="120" w:type="dxa"/>
            <w:vAlign w:val="bottom"/>
          </w:tcPr>
          <w:p>
            <w:pPr>
              <w:spacing w:after="0"/>
              <w:rPr>
                <w:sz w:val="19"/>
                <w:szCs w:val="19"/>
                <w:color w:val="auto"/>
              </w:rPr>
            </w:pPr>
          </w:p>
        </w:tc>
      </w:tr>
      <w:tr>
        <w:trPr>
          <w:trHeight w:val="224"/>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NASDAQ - BANK INDEX</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137.22</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144.43</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122.33</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138.70</w:t>
            </w:r>
          </w:p>
        </w:tc>
        <w:tc>
          <w:tcPr>
            <w:tcW w:w="12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Dividends are declared and paid quarterly. Per share dividends declared for the years ended 2020 and 2019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80" w:type="dxa"/>
            <w:vAlign w:val="bottom"/>
            <w:tcBorders>
              <w:bottom w:val="single" w:sz="8" w:color="CFF0FC"/>
            </w:tcBorders>
          </w:tcPr>
          <w:p>
            <w:pPr>
              <w:spacing w:after="0"/>
              <w:rPr>
                <w:sz w:val="19"/>
                <w:szCs w:val="19"/>
                <w:color w:val="auto"/>
              </w:rPr>
            </w:pPr>
          </w:p>
        </w:tc>
        <w:tc>
          <w:tcPr>
            <w:tcW w:w="24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6"/>
              </w:rPr>
              <w:t>1st Quarter</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w w:val="91"/>
              </w:rPr>
              <w:t>2nd Quarter</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6"/>
              </w:rPr>
              <w:t>3rd Quarter</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5"/>
              </w:rPr>
              <w:t>4th Quarter</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FF0FC"/>
            </w:tcBorders>
          </w:tcPr>
          <w:p>
            <w:pPr>
              <w:spacing w:after="0"/>
              <w:rPr>
                <w:sz w:val="19"/>
                <w:szCs w:val="19"/>
                <w:color w:val="auto"/>
              </w:rPr>
            </w:pPr>
          </w:p>
        </w:tc>
      </w:tr>
      <w:tr>
        <w:trPr>
          <w:trHeight w:val="217"/>
        </w:trPr>
        <w:tc>
          <w:tcPr>
            <w:tcW w:w="2780" w:type="dxa"/>
            <w:vAlign w:val="bottom"/>
            <w:shd w:val="clear" w:color="auto" w:fill="CFF0FC"/>
          </w:tcPr>
          <w:p>
            <w:pPr>
              <w:jc w:val="right"/>
              <w:ind w:right="2332"/>
              <w:spacing w:after="0"/>
              <w:rPr>
                <w:sz w:val="20"/>
                <w:szCs w:val="20"/>
                <w:color w:val="auto"/>
              </w:rPr>
            </w:pPr>
            <w:r>
              <w:rPr>
                <w:rFonts w:ascii="Arial" w:cs="Arial" w:eastAsia="Arial" w:hAnsi="Arial"/>
                <w:sz w:val="18"/>
                <w:szCs w:val="18"/>
                <w:color w:val="auto"/>
                <w:w w:val="84"/>
              </w:rPr>
              <w:t>2020</w:t>
            </w:r>
          </w:p>
        </w:tc>
        <w:tc>
          <w:tcPr>
            <w:tcW w:w="2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2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FF0FC"/>
          </w:tcPr>
          <w:p>
            <w:pPr>
              <w:spacing w:after="0"/>
              <w:rPr>
                <w:sz w:val="18"/>
                <w:szCs w:val="18"/>
                <w:color w:val="auto"/>
              </w:rPr>
            </w:pPr>
          </w:p>
        </w:tc>
      </w:tr>
      <w:tr>
        <w:trPr>
          <w:trHeight w:val="223"/>
        </w:trPr>
        <w:tc>
          <w:tcPr>
            <w:tcW w:w="2780" w:type="dxa"/>
            <w:vAlign w:val="bottom"/>
          </w:tcPr>
          <w:p>
            <w:pPr>
              <w:jc w:val="right"/>
              <w:ind w:right="2332"/>
              <w:spacing w:after="0"/>
              <w:rPr>
                <w:sz w:val="20"/>
                <w:szCs w:val="20"/>
                <w:color w:val="auto"/>
              </w:rPr>
            </w:pPr>
            <w:r>
              <w:rPr>
                <w:rFonts w:ascii="Arial" w:cs="Arial" w:eastAsia="Arial" w:hAnsi="Arial"/>
                <w:sz w:val="18"/>
                <w:szCs w:val="18"/>
                <w:color w:val="auto"/>
                <w:w w:val="84"/>
              </w:rPr>
              <w:t>2019</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19"/>
                <w:szCs w:val="19"/>
                <w:color w:val="auto"/>
              </w:rPr>
            </w:pPr>
          </w:p>
        </w:tc>
        <w:tc>
          <w:tcPr>
            <w:tcW w:w="380" w:type="dxa"/>
            <w:vAlign w:val="bottom"/>
          </w:tcPr>
          <w:p>
            <w:pPr>
              <w:jc w:val="right"/>
              <w:ind w:right="22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0.16</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9"/>
                <w:szCs w:val="19"/>
                <w:color w:val="auto"/>
              </w:rPr>
            </w:pPr>
          </w:p>
        </w:tc>
      </w:tr>
    </w:tbl>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Dividends declared during 2020 were $0.66 per share totaling $7.3 million, 8.2% higher than 2019 declared dividends of $0.61 per share. During 2020, the Company awarded 37,832 shares to 92 employees and 2,175 shares were forfeited under its long term incentive plan. At year-end 2020, the Company held 1,032,456 shares in Treasury stock and 88,226 in unearned stock awards.</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Dividends declared during 2019 were $0.61 per share totaling $6.73 million, 8.9% higher than 2018 declared dividends of $0.56 per share. During 2019, the Company awarded 38,100 restricted shares to 94 employees and 3,220 shares were forfeited under its long term incentive plan. At year-end 2019, the Company held 1,093,065 shares in Treasury stock and 88,450 in unearned stock awards.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to continue to maintain the payment of its quarterly dividend consistent with its past practices.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2"/>
        </w:trPr>
        <w:tc>
          <w:tcPr>
            <w:tcW w:w="7000" w:type="dxa"/>
            <w:vAlign w:val="bottom"/>
            <w:gridSpan w:val="2"/>
          </w:tcPr>
          <w:p>
            <w:pPr>
              <w:spacing w:after="0"/>
              <w:rPr>
                <w:sz w:val="20"/>
                <w:szCs w:val="20"/>
                <w:color w:val="auto"/>
              </w:rPr>
            </w:pPr>
            <w:r>
              <w:rPr>
                <w:rFonts w:ascii="Arial" w:cs="Arial" w:eastAsia="Arial" w:hAnsi="Arial"/>
                <w:sz w:val="18"/>
                <w:szCs w:val="18"/>
                <w:color w:val="auto"/>
              </w:rPr>
              <w:t>The Company continues to have a strong capital base.</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4"/>
        </w:trPr>
        <w:tc>
          <w:tcPr>
            <w:tcW w:w="1700" w:type="dxa"/>
            <w:vAlign w:val="bottom"/>
          </w:tcPr>
          <w:p>
            <w:pPr>
              <w:spacing w:after="0"/>
              <w:rPr>
                <w:sz w:val="19"/>
                <w:szCs w:val="19"/>
                <w:color w:val="auto"/>
              </w:rPr>
            </w:pPr>
          </w:p>
        </w:tc>
        <w:tc>
          <w:tcPr>
            <w:tcW w:w="53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FF0FC"/>
            </w:tcBorders>
          </w:tcPr>
          <w:p>
            <w:pPr>
              <w:spacing w:after="0"/>
              <w:rPr>
                <w:sz w:val="19"/>
                <w:szCs w:val="19"/>
                <w:color w:val="auto"/>
              </w:rPr>
            </w:pPr>
          </w:p>
        </w:tc>
      </w:tr>
      <w:tr>
        <w:trPr>
          <w:trHeight w:val="217"/>
        </w:trPr>
        <w:tc>
          <w:tcPr>
            <w:tcW w:w="170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Tier I Leverage Ratio</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10.46%</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11.52%</w:t>
            </w:r>
          </w:p>
        </w:tc>
      </w:tr>
      <w:tr>
        <w:trPr>
          <w:trHeight w:val="224"/>
        </w:trPr>
        <w:tc>
          <w:tcPr>
            <w:tcW w:w="7000" w:type="dxa"/>
            <w:vAlign w:val="bottom"/>
            <w:gridSpan w:val="2"/>
          </w:tcPr>
          <w:p>
            <w:pPr>
              <w:ind w:left="1700"/>
              <w:spacing w:after="0"/>
              <w:rPr>
                <w:sz w:val="20"/>
                <w:szCs w:val="20"/>
                <w:color w:val="auto"/>
              </w:rPr>
            </w:pPr>
            <w:r>
              <w:rPr>
                <w:rFonts w:ascii="Arial" w:cs="Arial" w:eastAsia="Arial" w:hAnsi="Arial"/>
                <w:sz w:val="18"/>
                <w:szCs w:val="18"/>
                <w:color w:val="auto"/>
              </w:rPr>
              <w:t>Risk Based Capital Tier I</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13.60%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13.63%</w:t>
            </w:r>
          </w:p>
        </w:tc>
      </w:tr>
      <w:tr>
        <w:trPr>
          <w:trHeight w:val="224"/>
        </w:trPr>
        <w:tc>
          <w:tcPr>
            <w:tcW w:w="170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Total Risk Based Capital</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14.61%</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14.22%</w:t>
            </w:r>
          </w:p>
        </w:tc>
      </w:tr>
      <w:tr>
        <w:trPr>
          <w:trHeight w:val="223"/>
        </w:trPr>
        <w:tc>
          <w:tcPr>
            <w:tcW w:w="7000" w:type="dxa"/>
            <w:vAlign w:val="bottom"/>
            <w:gridSpan w:val="2"/>
          </w:tcPr>
          <w:p>
            <w:pPr>
              <w:ind w:left="1700"/>
              <w:spacing w:after="0"/>
              <w:rPr>
                <w:sz w:val="20"/>
                <w:szCs w:val="20"/>
                <w:color w:val="auto"/>
              </w:rPr>
            </w:pPr>
            <w:r>
              <w:rPr>
                <w:rFonts w:ascii="Arial" w:cs="Arial" w:eastAsia="Arial" w:hAnsi="Arial"/>
                <w:sz w:val="18"/>
                <w:szCs w:val="18"/>
                <w:color w:val="auto"/>
              </w:rPr>
              <w:t>Stockholders' Equity/Total Assets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13.05%</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14.33%</w:t>
            </w:r>
          </w:p>
        </w:tc>
      </w:tr>
    </w:tbl>
    <w:p>
      <w:pPr>
        <w:spacing w:after="0" w:line="94" w:lineRule="exact"/>
        <w:rPr>
          <w:sz w:val="20"/>
          <w:szCs w:val="20"/>
          <w:color w:val="auto"/>
        </w:rPr>
      </w:pPr>
    </w:p>
    <w:p>
      <w:pPr>
        <w:spacing w:after="0" w:line="325" w:lineRule="auto"/>
        <w:rPr>
          <w:sz w:val="20"/>
          <w:szCs w:val="20"/>
          <w:color w:val="auto"/>
        </w:rPr>
      </w:pPr>
      <w:r>
        <w:rPr>
          <w:rFonts w:ascii="Arial" w:cs="Arial" w:eastAsia="Arial" w:hAnsi="Arial"/>
          <w:sz w:val="16"/>
          <w:szCs w:val="16"/>
          <w:color w:val="auto"/>
        </w:rPr>
        <w:t>On January 15, 2021, the Company announced the authorization by its Board of Directors for the Company’s repurchase, either on the open market, or in privately negotiated transactions, of up to 500,000 shares of its outstanding common stock commencing January 15, 2021 and ending December 31, 2021.</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020" w:type="dxa"/>
            <w:vAlign w:val="bottom"/>
            <w:gridSpan w:val="6"/>
          </w:tcPr>
          <w:p>
            <w:pPr>
              <w:ind w:left="320"/>
              <w:spacing w:after="0"/>
              <w:rPr>
                <w:sz w:val="20"/>
                <w:szCs w:val="20"/>
                <w:color w:val="auto"/>
              </w:rPr>
            </w:pPr>
            <w:r>
              <w:rPr>
                <w:rFonts w:ascii="Arial" w:cs="Arial" w:eastAsia="Arial" w:hAnsi="Arial"/>
                <w:sz w:val="18"/>
                <w:szCs w:val="18"/>
                <w:b w:val="1"/>
                <w:bCs w:val="1"/>
                <w:color w:val="auto"/>
              </w:rPr>
              <w:t>ISSUER PURCHASES OF EQUITY SECURITIES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3"/>
        </w:trPr>
        <w:tc>
          <w:tcPr>
            <w:tcW w:w="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Remaining</w:t>
            </w:r>
          </w:p>
        </w:tc>
      </w:tr>
      <w:tr>
        <w:trPr>
          <w:trHeight w:val="211"/>
        </w:trPr>
        <w:tc>
          <w:tcPr>
            <w:tcW w:w="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Total Number of Shares</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Share</w:t>
            </w:r>
          </w:p>
        </w:tc>
      </w:tr>
      <w:tr>
        <w:trPr>
          <w:trHeight w:val="211"/>
        </w:trPr>
        <w:tc>
          <w:tcPr>
            <w:tcW w:w="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w w:val="91"/>
              </w:rPr>
              <w:t>Total Number of</w:t>
            </w:r>
          </w:p>
        </w:tc>
        <w:tc>
          <w:tcPr>
            <w:tcW w:w="58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w w:val="95"/>
              </w:rPr>
              <w:t>Average Price</w:t>
            </w:r>
          </w:p>
        </w:tc>
        <w:tc>
          <w:tcPr>
            <w:tcW w:w="580" w:type="dxa"/>
            <w:vAlign w:val="bottom"/>
          </w:tcPr>
          <w:p>
            <w:pPr>
              <w:spacing w:after="0"/>
              <w:rPr>
                <w:sz w:val="18"/>
                <w:szCs w:val="18"/>
                <w:color w:val="auto"/>
              </w:rPr>
            </w:pPr>
          </w:p>
        </w:tc>
        <w:tc>
          <w:tcPr>
            <w:tcW w:w="24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Purchased as Part of Publicly</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2"/>
              </w:rPr>
              <w:t>Repurchases</w:t>
            </w:r>
          </w:p>
        </w:tc>
      </w:tr>
      <w:tr>
        <w:trPr>
          <w:trHeight w:val="184"/>
        </w:trPr>
        <w:tc>
          <w:tcPr>
            <w:tcW w:w="2780" w:type="dxa"/>
            <w:vAlign w:val="bottom"/>
            <w:gridSpan w:val="2"/>
          </w:tcPr>
          <w:p>
            <w:pPr>
              <w:spacing w:after="0" w:line="183" w:lineRule="exact"/>
              <w:rPr>
                <w:sz w:val="20"/>
                <w:szCs w:val="20"/>
                <w:color w:val="auto"/>
              </w:rPr>
            </w:pPr>
            <w:r>
              <w:rPr>
                <w:rFonts w:ascii="Arial" w:cs="Arial" w:eastAsia="Arial" w:hAnsi="Arial"/>
                <w:sz w:val="18"/>
                <w:szCs w:val="18"/>
                <w:color w:val="auto"/>
              </w:rPr>
              <w:t>Period</w:t>
            </w:r>
          </w:p>
        </w:tc>
        <w:tc>
          <w:tcPr>
            <w:tcW w:w="1240" w:type="dxa"/>
            <w:vAlign w:val="bottom"/>
          </w:tcPr>
          <w:p>
            <w:pPr>
              <w:jc w:val="right"/>
              <w:spacing w:after="0" w:line="183" w:lineRule="exact"/>
              <w:rPr>
                <w:sz w:val="20"/>
                <w:szCs w:val="20"/>
                <w:color w:val="auto"/>
              </w:rPr>
            </w:pPr>
            <w:r>
              <w:rPr>
                <w:rFonts w:ascii="Arial" w:cs="Arial" w:eastAsia="Arial" w:hAnsi="Arial"/>
                <w:sz w:val="18"/>
                <w:szCs w:val="18"/>
                <w:color w:val="auto"/>
                <w:w w:val="81"/>
              </w:rPr>
              <w:t>Shares Purchased</w:t>
            </w:r>
          </w:p>
        </w:tc>
        <w:tc>
          <w:tcPr>
            <w:tcW w:w="580" w:type="dxa"/>
            <w:vAlign w:val="bottom"/>
          </w:tcPr>
          <w:p>
            <w:pPr>
              <w:spacing w:after="0"/>
              <w:rPr>
                <w:sz w:val="15"/>
                <w:szCs w:val="15"/>
                <w:color w:val="auto"/>
              </w:rPr>
            </w:pPr>
          </w:p>
        </w:tc>
        <w:tc>
          <w:tcPr>
            <w:tcW w:w="1220" w:type="dxa"/>
            <w:vAlign w:val="bottom"/>
          </w:tcPr>
          <w:p>
            <w:pPr>
              <w:jc w:val="right"/>
              <w:ind w:right="12"/>
              <w:spacing w:after="0" w:line="183" w:lineRule="exact"/>
              <w:rPr>
                <w:sz w:val="20"/>
                <w:szCs w:val="20"/>
                <w:color w:val="auto"/>
              </w:rPr>
            </w:pPr>
            <w:r>
              <w:rPr>
                <w:rFonts w:ascii="Arial" w:cs="Arial" w:eastAsia="Arial" w:hAnsi="Arial"/>
                <w:sz w:val="18"/>
                <w:szCs w:val="18"/>
                <w:color w:val="auto"/>
                <w:w w:val="91"/>
              </w:rPr>
              <w:t>Paid per Share</w:t>
            </w:r>
          </w:p>
        </w:tc>
        <w:tc>
          <w:tcPr>
            <w:tcW w:w="580" w:type="dxa"/>
            <w:vAlign w:val="bottom"/>
          </w:tcPr>
          <w:p>
            <w:pPr>
              <w:spacing w:after="0"/>
              <w:rPr>
                <w:sz w:val="15"/>
                <w:szCs w:val="15"/>
                <w:color w:val="auto"/>
              </w:rPr>
            </w:pPr>
          </w:p>
        </w:tc>
        <w:tc>
          <w:tcPr>
            <w:tcW w:w="2400" w:type="dxa"/>
            <w:vAlign w:val="bottom"/>
            <w:gridSpan w:val="2"/>
          </w:tcPr>
          <w:p>
            <w:pPr>
              <w:jc w:val="center"/>
              <w:ind w:right="260"/>
              <w:spacing w:after="0" w:line="183" w:lineRule="exact"/>
              <w:rPr>
                <w:sz w:val="20"/>
                <w:szCs w:val="20"/>
                <w:color w:val="auto"/>
              </w:rPr>
            </w:pPr>
            <w:r>
              <w:rPr>
                <w:rFonts w:ascii="Arial" w:cs="Arial" w:eastAsia="Arial" w:hAnsi="Arial"/>
                <w:sz w:val="18"/>
                <w:szCs w:val="18"/>
                <w:color w:val="auto"/>
                <w:w w:val="87"/>
              </w:rPr>
              <w:t>Announced Plan or Programs</w:t>
            </w:r>
          </w:p>
        </w:tc>
        <w:tc>
          <w:tcPr>
            <w:tcW w:w="1300" w:type="dxa"/>
            <w:vAlign w:val="bottom"/>
            <w:gridSpan w:val="2"/>
          </w:tcPr>
          <w:p>
            <w:pPr>
              <w:jc w:val="center"/>
              <w:ind w:right="100"/>
              <w:spacing w:after="0" w:line="183" w:lineRule="exact"/>
              <w:rPr>
                <w:sz w:val="20"/>
                <w:szCs w:val="20"/>
                <w:color w:val="auto"/>
              </w:rPr>
            </w:pPr>
            <w:r>
              <w:rPr>
                <w:rFonts w:ascii="Arial" w:cs="Arial" w:eastAsia="Arial" w:hAnsi="Arial"/>
                <w:sz w:val="18"/>
                <w:szCs w:val="18"/>
                <w:color w:val="auto"/>
                <w:w w:val="91"/>
              </w:rPr>
              <w:t>Authorization</w:t>
            </w:r>
          </w:p>
        </w:tc>
      </w:tr>
      <w:tr>
        <w:trPr>
          <w:trHeight w:val="20"/>
        </w:trPr>
        <w:tc>
          <w:tcPr>
            <w:tcW w:w="460" w:type="dxa"/>
            <w:vAlign w:val="bottom"/>
            <w:tcBorders>
              <w:top w:val="single" w:sz="8" w:color="auto"/>
              <w:bottom w:val="single" w:sz="8" w:color="CFF0FC"/>
            </w:tcBorders>
          </w:tcPr>
          <w:p>
            <w:pPr>
              <w:spacing w:after="0" w:line="20" w:lineRule="exact"/>
              <w:rPr>
                <w:sz w:val="1"/>
                <w:szCs w:val="1"/>
                <w:color w:val="auto"/>
              </w:rPr>
            </w:pPr>
          </w:p>
        </w:tc>
        <w:tc>
          <w:tcPr>
            <w:tcW w:w="2320" w:type="dxa"/>
            <w:vAlign w:val="bottom"/>
            <w:tcBorders>
              <w:bottom w:val="single" w:sz="8" w:color="CFF0FC"/>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FF0FC"/>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FF0FC"/>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217"/>
        </w:trPr>
        <w:tc>
          <w:tcPr>
            <w:tcW w:w="2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10/1/2020</w:t>
            </w:r>
          </w:p>
        </w:tc>
        <w:tc>
          <w:tcPr>
            <w:tcW w:w="1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to</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545,000</w:t>
            </w:r>
          </w:p>
        </w:tc>
        <w:tc>
          <w:tcPr>
            <w:tcW w:w="80" w:type="dxa"/>
            <w:vAlign w:val="bottom"/>
          </w:tcPr>
          <w:p>
            <w:pPr>
              <w:spacing w:after="0"/>
              <w:rPr>
                <w:sz w:val="19"/>
                <w:szCs w:val="19"/>
                <w:color w:val="auto"/>
              </w:rPr>
            </w:pPr>
          </w:p>
        </w:tc>
      </w:tr>
      <w:tr>
        <w:trPr>
          <w:trHeight w:val="224"/>
        </w:trPr>
        <w:tc>
          <w:tcPr>
            <w:tcW w:w="2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10/31/2020</w:t>
            </w:r>
          </w:p>
        </w:tc>
        <w:tc>
          <w:tcPr>
            <w:tcW w:w="1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4"/>
        </w:trPr>
        <w:tc>
          <w:tcPr>
            <w:tcW w:w="4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4"/>
        </w:trPr>
        <w:tc>
          <w:tcPr>
            <w:tcW w:w="2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11/1/2020</w:t>
            </w:r>
          </w:p>
        </w:tc>
        <w:tc>
          <w:tcPr>
            <w:tcW w:w="1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to</w:t>
            </w:r>
          </w:p>
        </w:tc>
        <w:tc>
          <w:tcPr>
            <w:tcW w:w="1240" w:type="dxa"/>
            <w:vAlign w:val="bottom"/>
          </w:tcPr>
          <w:p>
            <w:pPr>
              <w:jc w:val="right"/>
              <w:spacing w:after="0"/>
              <w:rPr>
                <w:sz w:val="20"/>
                <w:szCs w:val="20"/>
                <w:color w:val="auto"/>
              </w:rPr>
            </w:pPr>
            <w:r>
              <w:rPr>
                <w:rFonts w:ascii="Arial" w:cs="Arial" w:eastAsia="Arial" w:hAnsi="Arial"/>
                <w:sz w:val="18"/>
                <w:szCs w:val="18"/>
                <w:color w:val="auto"/>
              </w:rPr>
              <w:t>332</w:t>
            </w:r>
          </w:p>
        </w:tc>
        <w:tc>
          <w:tcPr>
            <w:tcW w:w="580" w:type="dxa"/>
            <w:vAlign w:val="bottom"/>
          </w:tcPr>
          <w:p>
            <w:pPr>
              <w:jc w:val="right"/>
              <w:ind w:right="105"/>
              <w:spacing w:after="0"/>
              <w:rPr>
                <w:sz w:val="20"/>
                <w:szCs w:val="20"/>
                <w:color w:val="auto"/>
              </w:rPr>
            </w:pPr>
            <w:r>
              <w:rPr>
                <w:rFonts w:ascii="Arial" w:cs="Arial" w:eastAsia="Arial" w:hAnsi="Arial"/>
                <w:sz w:val="15"/>
                <w:szCs w:val="15"/>
                <w:color w:val="auto"/>
              </w:rPr>
              <w:t>(2 )</w:t>
            </w:r>
          </w:p>
        </w:tc>
        <w:tc>
          <w:tcPr>
            <w:tcW w:w="1220" w:type="dxa"/>
            <w:vAlign w:val="bottom"/>
          </w:tcPr>
          <w:p>
            <w:pPr>
              <w:jc w:val="right"/>
              <w:spacing w:after="0"/>
              <w:rPr>
                <w:sz w:val="20"/>
                <w:szCs w:val="20"/>
                <w:color w:val="auto"/>
              </w:rPr>
            </w:pPr>
            <w:r>
              <w:rPr>
                <w:rFonts w:ascii="Arial" w:cs="Arial" w:eastAsia="Arial" w:hAnsi="Arial"/>
                <w:sz w:val="18"/>
                <w:szCs w:val="18"/>
                <w:color w:val="auto"/>
              </w:rPr>
              <w:t>23.13</w:t>
            </w:r>
          </w:p>
        </w:tc>
        <w:tc>
          <w:tcPr>
            <w:tcW w:w="580" w:type="dxa"/>
            <w:vAlign w:val="bottom"/>
          </w:tcPr>
          <w:p>
            <w:pPr>
              <w:jc w:val="right"/>
              <w:ind w:right="125"/>
              <w:spacing w:after="0"/>
              <w:rPr>
                <w:sz w:val="20"/>
                <w:szCs w:val="20"/>
                <w:color w:val="auto"/>
              </w:rPr>
            </w:pPr>
            <w:r>
              <w:rPr>
                <w:rFonts w:ascii="Arial" w:cs="Arial" w:eastAsia="Arial" w:hAnsi="Arial"/>
                <w:sz w:val="15"/>
                <w:szCs w:val="15"/>
                <w:color w:val="auto"/>
              </w:rPr>
              <w:t>(2 )</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545,000</w:t>
            </w:r>
          </w:p>
        </w:tc>
        <w:tc>
          <w:tcPr>
            <w:tcW w:w="80" w:type="dxa"/>
            <w:vAlign w:val="bottom"/>
          </w:tcPr>
          <w:p>
            <w:pPr>
              <w:spacing w:after="0"/>
              <w:rPr>
                <w:sz w:val="19"/>
                <w:szCs w:val="19"/>
                <w:color w:val="auto"/>
              </w:rPr>
            </w:pPr>
          </w:p>
        </w:tc>
      </w:tr>
      <w:tr>
        <w:trPr>
          <w:trHeight w:val="224"/>
        </w:trPr>
        <w:tc>
          <w:tcPr>
            <w:tcW w:w="2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11/30/2020</w:t>
            </w:r>
          </w:p>
        </w:tc>
        <w:tc>
          <w:tcPr>
            <w:tcW w:w="1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4"/>
        </w:trPr>
        <w:tc>
          <w:tcPr>
            <w:tcW w:w="4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4"/>
        </w:trPr>
        <w:tc>
          <w:tcPr>
            <w:tcW w:w="2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12/1/2020</w:t>
            </w:r>
          </w:p>
        </w:tc>
        <w:tc>
          <w:tcPr>
            <w:tcW w:w="1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to</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545,000</w:t>
            </w:r>
          </w:p>
        </w:tc>
        <w:tc>
          <w:tcPr>
            <w:tcW w:w="80" w:type="dxa"/>
            <w:vAlign w:val="bottom"/>
          </w:tcPr>
          <w:p>
            <w:pPr>
              <w:spacing w:after="0"/>
              <w:rPr>
                <w:sz w:val="19"/>
                <w:szCs w:val="19"/>
                <w:color w:val="auto"/>
              </w:rPr>
            </w:pPr>
          </w:p>
        </w:tc>
      </w:tr>
      <w:tr>
        <w:trPr>
          <w:trHeight w:val="224"/>
        </w:trPr>
        <w:tc>
          <w:tcPr>
            <w:tcW w:w="2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12/31/2020</w:t>
            </w:r>
          </w:p>
        </w:tc>
        <w:tc>
          <w:tcPr>
            <w:tcW w:w="1240" w:type="dxa"/>
            <w:vAlign w:val="bottom"/>
            <w:tcBorders>
              <w:bottom w:val="single" w:sz="8" w:color="auto"/>
            </w:tcBorders>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16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7"/>
        </w:trPr>
        <w:tc>
          <w:tcPr>
            <w:tcW w:w="2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58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w:t>
            </w:r>
          </w:p>
        </w:tc>
        <w:tc>
          <w:tcPr>
            <w:tcW w:w="5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545,000</w:t>
            </w:r>
          </w:p>
        </w:tc>
        <w:tc>
          <w:tcPr>
            <w:tcW w:w="80" w:type="dxa"/>
            <w:vAlign w:val="bottom"/>
          </w:tcPr>
          <w:p>
            <w:pPr>
              <w:spacing w:after="0"/>
              <w:rPr>
                <w:sz w:val="18"/>
                <w:szCs w:val="18"/>
                <w:color w:val="auto"/>
              </w:rPr>
            </w:pPr>
          </w:p>
        </w:tc>
      </w:tr>
    </w:tbl>
    <w:p>
      <w:pPr>
        <w:spacing w:after="0" w:line="198" w:lineRule="exact"/>
        <w:rPr>
          <w:sz w:val="20"/>
          <w:szCs w:val="20"/>
          <w:color w:val="auto"/>
        </w:rPr>
      </w:pPr>
    </w:p>
    <w:p>
      <w:pPr>
        <w:ind w:left="540" w:hanging="535"/>
        <w:spacing w:after="0" w:line="282"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6"/>
          <w:szCs w:val="16"/>
          <w:color w:val="auto"/>
        </w:rPr>
        <w:t>From time to time, the Company purchases shares in the market pursuant to a stock repurchase program publicly announced on January 17, 2020. On that date, the Board of Directors authorized the repurchase of 550,000 common shares between January 17, 2020 and December 31, 2020.</w:t>
      </w:r>
    </w:p>
    <w:p>
      <w:pPr>
        <w:ind w:left="540" w:hanging="535"/>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8"/>
          <w:szCs w:val="18"/>
          <w:color w:val="auto"/>
        </w:rPr>
        <w:t>Shares which were repurchased for taxes on vested stock awards are outside of this program.</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2019 and 2018 consolidated financial statements have been reclassified to conform with the 2020 presentation.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SUMMARY OF SELECTED CONSOLIDATED FINANCIAL DATA</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Summary of Consolidated Statement of Income</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5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8"/>
                <w:szCs w:val="18"/>
                <w:color w:val="auto"/>
                <w:w w:val="92"/>
              </w:rPr>
              <w:t>(In Thousands, except share data)</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4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Summary of Income:</w:t>
            </w: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20" w:type="dxa"/>
            <w:vAlign w:val="bottom"/>
            <w:gridSpan w:val="2"/>
          </w:tcPr>
          <w:p>
            <w:pPr>
              <w:ind w:left="240"/>
              <w:spacing w:after="0"/>
              <w:rPr>
                <w:sz w:val="20"/>
                <w:szCs w:val="20"/>
                <w:color w:val="auto"/>
              </w:rPr>
            </w:pPr>
            <w:r>
              <w:rPr>
                <w:rFonts w:ascii="Arial" w:cs="Arial" w:eastAsia="Arial" w:hAnsi="Arial"/>
                <w:sz w:val="18"/>
                <w:szCs w:val="18"/>
                <w:color w:val="auto"/>
              </w:rPr>
              <w:t>Interest income</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70,169</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68,306</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46,429</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41,248</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10,393</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14,759</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6,572</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20" w:type="dxa"/>
            <w:vAlign w:val="bottom"/>
            <w:gridSpan w:val="2"/>
          </w:tcPr>
          <w:p>
            <w:pPr>
              <w:ind w:left="480"/>
              <w:spacing w:after="0"/>
              <w:rPr>
                <w:sz w:val="20"/>
                <w:szCs w:val="20"/>
                <w:color w:val="auto"/>
              </w:rPr>
            </w:pPr>
            <w:r>
              <w:rPr>
                <w:rFonts w:ascii="Arial" w:cs="Arial" w:eastAsia="Arial" w:hAnsi="Arial"/>
                <w:sz w:val="18"/>
                <w:szCs w:val="18"/>
                <w:color w:val="auto"/>
              </w:rPr>
              <w:t>Net Interest Income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59,776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53,547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36,121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loan losses</w:t>
            </w:r>
          </w:p>
        </w:tc>
        <w:tc>
          <w:tcPr>
            <w:tcW w:w="3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6,981</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20" w:type="dxa"/>
            <w:vAlign w:val="bottom"/>
            <w:gridSpan w:val="2"/>
          </w:tcPr>
          <w:p>
            <w:pPr>
              <w:spacing w:after="0"/>
              <w:rPr>
                <w:sz w:val="20"/>
                <w:szCs w:val="20"/>
                <w:color w:val="auto"/>
              </w:rPr>
            </w:pPr>
            <w:r>
              <w:rPr>
                <w:rFonts w:ascii="Arial" w:cs="Arial" w:eastAsia="Arial" w:hAnsi="Arial"/>
                <w:sz w:val="18"/>
                <w:szCs w:val="18"/>
                <w:color w:val="auto"/>
              </w:rPr>
              <w:t>Net interest income after provision for loan losses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35,899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(27,589)</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(29,647)</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(21,283)</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(17,937)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(16,024)</w:t>
            </w:r>
          </w:p>
        </w:tc>
        <w:tc>
          <w:tcPr>
            <w:tcW w:w="0" w:type="dxa"/>
            <w:vAlign w:val="bottom"/>
          </w:tcPr>
          <w:p>
            <w:pPr>
              <w:spacing w:after="0"/>
              <w:rPr>
                <w:sz w:val="1"/>
                <w:szCs w:val="1"/>
                <w:color w:val="auto"/>
              </w:rPr>
            </w:pPr>
          </w:p>
        </w:tc>
      </w:tr>
      <w:tr>
        <w:trPr>
          <w:trHeight w:val="217"/>
        </w:trPr>
        <w:tc>
          <w:tcPr>
            <w:tcW w:w="5520" w:type="dxa"/>
            <w:vAlign w:val="bottom"/>
            <w:gridSpan w:val="2"/>
          </w:tcPr>
          <w:p>
            <w:pPr>
              <w:spacing w:after="0"/>
              <w:rPr>
                <w:sz w:val="20"/>
                <w:szCs w:val="20"/>
                <w:color w:val="auto"/>
              </w:rPr>
            </w:pPr>
            <w:r>
              <w:rPr>
                <w:rFonts w:ascii="Arial" w:cs="Arial" w:eastAsia="Arial" w:hAnsi="Arial"/>
                <w:sz w:val="18"/>
                <w:szCs w:val="18"/>
                <w:color w:val="auto"/>
              </w:rPr>
              <w:t>Net income before income taxes</w:t>
            </w: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25,206</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22,762</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18,250</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taxes</w:t>
            </w:r>
          </w:p>
        </w:tc>
        <w:tc>
          <w:tcPr>
            <w:tcW w:w="3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5,111</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4,360</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3,301</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520" w:type="dxa"/>
            <w:vAlign w:val="bottom"/>
            <w:gridSpan w:val="2"/>
          </w:tcPr>
          <w:p>
            <w:pPr>
              <w:ind w:left="480"/>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20,095</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18,402</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14,949</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12,720</w:t>
            </w:r>
          </w:p>
        </w:tc>
        <w:tc>
          <w:tcPr>
            <w:tcW w:w="1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11,664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5520" w:type="dxa"/>
            <w:vAlign w:val="bottom"/>
            <w:tcBorders>
              <w:top w:val="single" w:sz="8" w:color="CFF0FC"/>
            </w:tcBorders>
            <w:gridSpan w:val="2"/>
            <w:shd w:val="clear" w:color="auto" w:fill="CFF0FC"/>
          </w:tcPr>
          <w:p>
            <w:pPr>
              <w:spacing w:after="0" w:line="203" w:lineRule="exact"/>
              <w:rPr>
                <w:sz w:val="20"/>
                <w:szCs w:val="20"/>
                <w:color w:val="auto"/>
              </w:rPr>
            </w:pPr>
            <w:r>
              <w:rPr>
                <w:rFonts w:ascii="Arial" w:cs="Arial" w:eastAsia="Arial" w:hAnsi="Arial"/>
                <w:sz w:val="18"/>
                <w:szCs w:val="18"/>
                <w:color w:val="auto"/>
              </w:rPr>
              <w:t>Per Share of Common Stock:</w:t>
            </w:r>
          </w:p>
        </w:tc>
        <w:tc>
          <w:tcPr>
            <w:tcW w:w="3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520" w:type="dxa"/>
            <w:vAlign w:val="bottom"/>
            <w:gridSpan w:val="2"/>
          </w:tcPr>
          <w:p>
            <w:pPr>
              <w:ind w:left="240"/>
              <w:spacing w:after="0"/>
              <w:rPr>
                <w:sz w:val="20"/>
                <w:szCs w:val="20"/>
                <w:color w:val="auto"/>
              </w:rPr>
            </w:pPr>
            <w:r>
              <w:rPr>
                <w:rFonts w:ascii="Arial" w:cs="Arial" w:eastAsia="Arial" w:hAnsi="Arial"/>
                <w:sz w:val="18"/>
                <w:szCs w:val="18"/>
                <w:color w:val="auto"/>
              </w:rPr>
              <w:t>Earnings per common share outstanding *</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2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Net income</w:t>
            </w:r>
            <w:r>
              <w:rPr>
                <w:rFonts w:ascii="Arial" w:cs="Arial" w:eastAsia="Arial" w:hAnsi="Arial"/>
                <w:sz w:val="14"/>
                <w:szCs w:val="14"/>
                <w:color w:val="auto"/>
              </w:rPr>
              <w:t>(1)</w:t>
            </w: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ind w:left="480"/>
              <w:spacing w:after="0"/>
              <w:rPr>
                <w:sz w:val="20"/>
                <w:szCs w:val="20"/>
                <w:color w:val="auto"/>
              </w:rPr>
            </w:pPr>
            <w:r>
              <w:rPr>
                <w:rFonts w:ascii="Arial" w:cs="Arial" w:eastAsia="Arial" w:hAnsi="Arial"/>
                <w:sz w:val="18"/>
                <w:szCs w:val="18"/>
                <w:color w:val="auto"/>
              </w:rPr>
              <w:t>Dividends</w:t>
            </w:r>
            <w:r>
              <w:rPr>
                <w:rFonts w:ascii="Arial" w:cs="Arial" w:eastAsia="Arial" w:hAnsi="Arial"/>
                <w:sz w:val="14"/>
                <w:szCs w:val="14"/>
                <w:color w:val="auto"/>
              </w:rPr>
              <w:t>(1)</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gridSpan w:val="2"/>
            <w:vMerge w:val="continue"/>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20" w:type="dxa"/>
            <w:vAlign w:val="bottom"/>
            <w:tcBorders>
              <w:top w:val="single" w:sz="8" w:color="CFF0FC"/>
            </w:tcBorders>
            <w:gridSpan w:val="2"/>
            <w:shd w:val="clear" w:color="auto" w:fill="CFF0FC"/>
          </w:tcPr>
          <w:p>
            <w:pPr>
              <w:ind w:left="480"/>
              <w:spacing w:after="0" w:line="205" w:lineRule="exact"/>
              <w:rPr>
                <w:sz w:val="20"/>
                <w:szCs w:val="20"/>
                <w:color w:val="auto"/>
              </w:rPr>
            </w:pPr>
            <w:r>
              <w:rPr>
                <w:rFonts w:ascii="Arial" w:cs="Arial" w:eastAsia="Arial" w:hAnsi="Arial"/>
                <w:sz w:val="18"/>
                <w:szCs w:val="18"/>
                <w:color w:val="auto"/>
              </w:rPr>
              <w:t>Weighted average number of shares</w:t>
            </w:r>
          </w:p>
        </w:tc>
        <w:tc>
          <w:tcPr>
            <w:tcW w:w="3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outstanding, including participating</w:t>
            </w: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securities</w:t>
            </w:r>
            <w:r>
              <w:rPr>
                <w:rFonts w:ascii="Arial" w:cs="Arial" w:eastAsia="Arial" w:hAnsi="Arial"/>
                <w:sz w:val="14"/>
                <w:szCs w:val="14"/>
                <w:color w:val="auto"/>
              </w:rPr>
              <w:t>(1)</w:t>
            </w:r>
          </w:p>
        </w:tc>
        <w:tc>
          <w:tcPr>
            <w:tcW w:w="3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11,146,270</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11,113,810</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9,272,964</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9,250,825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9,224,230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40" w:hanging="535"/>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weighted average number of shares outstanding</w:t>
      </w:r>
    </w:p>
    <w:p>
      <w:pPr>
        <w:spacing w:after="0" w:line="15" w:lineRule="exact"/>
        <w:rPr>
          <w:sz w:val="20"/>
          <w:szCs w:val="20"/>
          <w:color w:val="auto"/>
        </w:rPr>
      </w:pPr>
    </w:p>
    <w:p>
      <w:pPr>
        <w:ind w:left="540" w:hanging="535"/>
        <w:spacing w:after="0"/>
        <w:tabs>
          <w:tab w:leader="none" w:pos="540" w:val="left"/>
        </w:tabs>
        <w:numPr>
          <w:ilvl w:val="0"/>
          <w:numId w:val="14"/>
        </w:numPr>
        <w:rPr>
          <w:rFonts w:ascii="Arial" w:cs="Arial" w:eastAsia="Arial" w:hAnsi="Arial"/>
          <w:sz w:val="15"/>
          <w:szCs w:val="15"/>
          <w:color w:val="auto"/>
        </w:rPr>
      </w:pPr>
      <w:r>
        <w:rPr>
          <w:rFonts w:ascii="Arial" w:cs="Arial" w:eastAsia="Arial" w:hAnsi="Arial"/>
          <w:sz w:val="18"/>
          <w:szCs w:val="18"/>
          <w:color w:val="auto"/>
        </w:rPr>
        <w:t>Share data has been adjusted to reflect a 2-for-1 stock split on September 20,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80" w:type="dxa"/>
            <w:vAlign w:val="bottom"/>
          </w:tcPr>
          <w:p>
            <w:pPr>
              <w:spacing w:after="0"/>
              <w:rPr>
                <w:sz w:val="20"/>
                <w:szCs w:val="20"/>
                <w:color w:val="auto"/>
              </w:rPr>
            </w:pPr>
            <w:r>
              <w:rPr>
                <w:rFonts w:ascii="Arial" w:cs="Arial" w:eastAsia="Arial" w:hAnsi="Arial"/>
                <w:sz w:val="18"/>
                <w:szCs w:val="18"/>
                <w:b w:val="1"/>
                <w:bCs w:val="1"/>
                <w:color w:val="auto"/>
              </w:rPr>
              <w:t>Summary of Consolidated Balance Sheet</w:t>
            </w:r>
          </w:p>
        </w:tc>
        <w:tc>
          <w:tcPr>
            <w:tcW w:w="1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48"/>
        </w:trPr>
        <w:tc>
          <w:tcPr>
            <w:tcW w:w="4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4"/>
              </w:rPr>
              <w:t>(In Thousands)</w:t>
            </w: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438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FF0FC"/>
            </w:tcBorders>
          </w:tcPr>
          <w:p>
            <w:pPr>
              <w:spacing w:after="0"/>
              <w:rPr>
                <w:sz w:val="18"/>
                <w:szCs w:val="18"/>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$ 1,909,544</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$ 1,607,330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$1,116,163</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$ 1,107,009</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$ 1,055,895</w:t>
            </w:r>
          </w:p>
        </w:tc>
        <w:tc>
          <w:tcPr>
            <w:tcW w:w="160" w:type="dxa"/>
            <w:vAlign w:val="bottom"/>
            <w:shd w:val="clear" w:color="auto" w:fill="CFF0FC"/>
          </w:tcPr>
          <w:p>
            <w:pPr>
              <w:spacing w:after="0"/>
              <w:rPr>
                <w:sz w:val="18"/>
                <w:szCs w:val="18"/>
                <w:color w:val="auto"/>
              </w:rPr>
            </w:pPr>
          </w:p>
        </w:tc>
      </w:tr>
      <w:tr>
        <w:trPr>
          <w:trHeight w:val="224"/>
        </w:trPr>
        <w:tc>
          <w:tcPr>
            <w:tcW w:w="4380" w:type="dxa"/>
            <w:vAlign w:val="bottom"/>
          </w:tcPr>
          <w:p>
            <w:pPr>
              <w:spacing w:after="0"/>
              <w:rPr>
                <w:sz w:val="20"/>
                <w:szCs w:val="20"/>
                <w:color w:val="auto"/>
              </w:rPr>
            </w:pPr>
            <w:r>
              <w:rPr>
                <w:rFonts w:ascii="Arial" w:cs="Arial" w:eastAsia="Arial" w:hAnsi="Arial"/>
                <w:sz w:val="18"/>
                <w:szCs w:val="18"/>
                <w:color w:val="auto"/>
              </w:rPr>
              <w:t>Loans, net</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1,289,318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1,211,771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839,599</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816,156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751,310</w:t>
            </w:r>
          </w:p>
        </w:tc>
        <w:tc>
          <w:tcPr>
            <w:tcW w:w="160" w:type="dxa"/>
            <w:vAlign w:val="bottom"/>
          </w:tcPr>
          <w:p>
            <w:pPr>
              <w:spacing w:after="0"/>
              <w:rPr>
                <w:sz w:val="19"/>
                <w:szCs w:val="19"/>
                <w:color w:val="auto"/>
              </w:rPr>
            </w:pPr>
          </w:p>
        </w:tc>
      </w:tr>
      <w:tr>
        <w:trPr>
          <w:trHeight w:val="224"/>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Total deposits</w:t>
            </w:r>
          </w:p>
        </w:tc>
        <w:tc>
          <w:tcPr>
            <w:tcW w:w="2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1,596,162</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1,288,347</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928,790</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919,340</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842,203</w:t>
            </w:r>
          </w:p>
        </w:tc>
        <w:tc>
          <w:tcPr>
            <w:tcW w:w="160" w:type="dxa"/>
            <w:vAlign w:val="bottom"/>
            <w:shd w:val="clear" w:color="auto" w:fill="CFF0FC"/>
          </w:tcPr>
          <w:p>
            <w:pPr>
              <w:spacing w:after="0"/>
              <w:rPr>
                <w:sz w:val="19"/>
                <w:szCs w:val="19"/>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Stockholders' equity</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249,160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230,258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143,287</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134,137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125,577</w:t>
            </w:r>
          </w:p>
        </w:tc>
        <w:tc>
          <w:tcPr>
            <w:tcW w:w="160" w:type="dxa"/>
            <w:vAlign w:val="bottom"/>
          </w:tcPr>
          <w:p>
            <w:pPr>
              <w:spacing w:after="0"/>
              <w:rPr>
                <w:sz w:val="19"/>
                <w:szCs w:val="19"/>
                <w:color w:val="auto"/>
              </w:rPr>
            </w:pP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Key Ratios</w:t>
            </w:r>
          </w:p>
        </w:tc>
        <w:tc>
          <w:tcPr>
            <w:tcW w:w="29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24"/>
        </w:trPr>
        <w:tc>
          <w:tcPr>
            <w:tcW w:w="4080" w:type="dxa"/>
            <w:vAlign w:val="bottom"/>
          </w:tcPr>
          <w:p>
            <w:pPr>
              <w:ind w:left="240"/>
              <w:spacing w:after="0"/>
              <w:rPr>
                <w:sz w:val="20"/>
                <w:szCs w:val="20"/>
                <w:color w:val="auto"/>
              </w:rPr>
            </w:pPr>
            <w:r>
              <w:rPr>
                <w:rFonts w:ascii="Arial" w:cs="Arial" w:eastAsia="Arial" w:hAnsi="Arial"/>
                <w:sz w:val="18"/>
                <w:szCs w:val="18"/>
                <w:color w:val="auto"/>
              </w:rPr>
              <w:t>Return on average equity</w:t>
            </w:r>
          </w:p>
        </w:tc>
        <w:tc>
          <w:tcPr>
            <w:tcW w:w="2900" w:type="dxa"/>
            <w:vAlign w:val="bottom"/>
          </w:tcPr>
          <w:p>
            <w:pPr>
              <w:jc w:val="right"/>
              <w:ind w:right="192"/>
              <w:spacing w:after="0"/>
              <w:rPr>
                <w:sz w:val="20"/>
                <w:szCs w:val="20"/>
                <w:color w:val="auto"/>
              </w:rPr>
            </w:pPr>
            <w:r>
              <w:rPr>
                <w:rFonts w:ascii="Arial" w:cs="Arial" w:eastAsia="Arial" w:hAnsi="Arial"/>
                <w:sz w:val="18"/>
                <w:szCs w:val="18"/>
                <w:color w:val="auto"/>
              </w:rPr>
              <w:t>8.38%</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8.26%</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10.86%</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9.75%</w:t>
            </w:r>
          </w:p>
        </w:tc>
        <w:tc>
          <w:tcPr>
            <w:tcW w:w="86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24"/>
        </w:trPr>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Return on average assets</w:t>
            </w:r>
          </w:p>
        </w:tc>
        <w:tc>
          <w:tcPr>
            <w:tcW w:w="290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rPr>
              <w:t>1.14%</w:t>
            </w:r>
          </w:p>
        </w:tc>
        <w:tc>
          <w:tcPr>
            <w:tcW w:w="114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rPr>
              <w:t>1.23%</w:t>
            </w:r>
          </w:p>
        </w:tc>
        <w:tc>
          <w:tcPr>
            <w:tcW w:w="112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rPr>
              <w:t>1.34%</w:t>
            </w:r>
          </w:p>
        </w:tc>
        <w:tc>
          <w:tcPr>
            <w:tcW w:w="114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1.18%</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r>
      <w:tr>
        <w:trPr>
          <w:trHeight w:val="224"/>
        </w:trPr>
        <w:tc>
          <w:tcPr>
            <w:tcW w:w="4080" w:type="dxa"/>
            <w:vAlign w:val="bottom"/>
          </w:tcPr>
          <w:p>
            <w:pPr>
              <w:ind w:left="240"/>
              <w:spacing w:after="0"/>
              <w:rPr>
                <w:sz w:val="20"/>
                <w:szCs w:val="20"/>
                <w:color w:val="auto"/>
              </w:rPr>
            </w:pPr>
            <w:r>
              <w:rPr>
                <w:rFonts w:ascii="Arial" w:cs="Arial" w:eastAsia="Arial" w:hAnsi="Arial"/>
                <w:sz w:val="18"/>
                <w:szCs w:val="18"/>
                <w:color w:val="auto"/>
              </w:rPr>
              <w:t>Loans to deposits</w:t>
            </w:r>
          </w:p>
        </w:tc>
        <w:tc>
          <w:tcPr>
            <w:tcW w:w="2900" w:type="dxa"/>
            <w:vAlign w:val="bottom"/>
          </w:tcPr>
          <w:p>
            <w:pPr>
              <w:jc w:val="right"/>
              <w:ind w:right="192"/>
              <w:spacing w:after="0"/>
              <w:rPr>
                <w:sz w:val="20"/>
                <w:szCs w:val="20"/>
                <w:color w:val="auto"/>
              </w:rPr>
            </w:pPr>
            <w:r>
              <w:rPr>
                <w:rFonts w:ascii="Arial" w:cs="Arial" w:eastAsia="Arial" w:hAnsi="Arial"/>
                <w:sz w:val="18"/>
                <w:szCs w:val="18"/>
                <w:color w:val="auto"/>
              </w:rPr>
              <w:t>80.78%</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94.06%</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90.40%</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88.78%</w:t>
            </w:r>
          </w:p>
        </w:tc>
        <w:tc>
          <w:tcPr>
            <w:tcW w:w="860" w:type="dxa"/>
            <w:vAlign w:val="bottom"/>
          </w:tcPr>
          <w:p>
            <w:pPr>
              <w:jc w:val="right"/>
              <w:spacing w:after="0"/>
              <w:rPr>
                <w:sz w:val="20"/>
                <w:szCs w:val="20"/>
                <w:color w:val="auto"/>
              </w:rPr>
            </w:pPr>
            <w:r>
              <w:rPr>
                <w:rFonts w:ascii="Arial" w:cs="Arial" w:eastAsia="Arial" w:hAnsi="Arial"/>
                <w:sz w:val="18"/>
                <w:szCs w:val="18"/>
                <w:color w:val="auto"/>
              </w:rPr>
              <w:t>89.45%</w:t>
            </w:r>
          </w:p>
        </w:tc>
      </w:tr>
      <w:tr>
        <w:trPr>
          <w:trHeight w:val="224"/>
        </w:trPr>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to assets</w:t>
            </w:r>
          </w:p>
        </w:tc>
        <w:tc>
          <w:tcPr>
            <w:tcW w:w="290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rPr>
              <w:t>13.05%</w:t>
            </w:r>
          </w:p>
        </w:tc>
        <w:tc>
          <w:tcPr>
            <w:tcW w:w="114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rPr>
              <w:t>14.33%</w:t>
            </w:r>
          </w:p>
        </w:tc>
        <w:tc>
          <w:tcPr>
            <w:tcW w:w="112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rPr>
              <w:t>12.84%</w:t>
            </w:r>
          </w:p>
        </w:tc>
        <w:tc>
          <w:tcPr>
            <w:tcW w:w="114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12.12%</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w:t>
            </w:r>
          </w:p>
        </w:tc>
      </w:tr>
      <w:tr>
        <w:trPr>
          <w:trHeight w:val="223"/>
        </w:trPr>
        <w:tc>
          <w:tcPr>
            <w:tcW w:w="4080" w:type="dxa"/>
            <w:vAlign w:val="bottom"/>
          </w:tcPr>
          <w:p>
            <w:pPr>
              <w:ind w:left="240"/>
              <w:spacing w:after="0"/>
              <w:rPr>
                <w:sz w:val="20"/>
                <w:szCs w:val="20"/>
                <w:color w:val="auto"/>
              </w:rPr>
            </w:pPr>
            <w:r>
              <w:rPr>
                <w:rFonts w:ascii="Arial" w:cs="Arial" w:eastAsia="Arial" w:hAnsi="Arial"/>
                <w:sz w:val="18"/>
                <w:szCs w:val="18"/>
                <w:color w:val="auto"/>
              </w:rPr>
              <w:t>Dividend payout</w:t>
            </w:r>
          </w:p>
        </w:tc>
        <w:tc>
          <w:tcPr>
            <w:tcW w:w="2900" w:type="dxa"/>
            <w:vAlign w:val="bottom"/>
          </w:tcPr>
          <w:p>
            <w:pPr>
              <w:jc w:val="right"/>
              <w:ind w:right="192"/>
              <w:spacing w:after="0"/>
              <w:rPr>
                <w:sz w:val="20"/>
                <w:szCs w:val="20"/>
                <w:color w:val="auto"/>
              </w:rPr>
            </w:pPr>
            <w:r>
              <w:rPr>
                <w:rFonts w:ascii="Arial" w:cs="Arial" w:eastAsia="Arial" w:hAnsi="Arial"/>
                <w:sz w:val="18"/>
                <w:szCs w:val="18"/>
                <w:color w:val="auto"/>
              </w:rPr>
              <w:t>36.36%</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36.59%</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34.40%</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36.02%</w:t>
            </w:r>
          </w:p>
        </w:tc>
        <w:tc>
          <w:tcPr>
            <w:tcW w:w="860" w:type="dxa"/>
            <w:vAlign w:val="bottom"/>
          </w:tcPr>
          <w:p>
            <w:pPr>
              <w:jc w:val="right"/>
              <w:spacing w:after="0"/>
              <w:rPr>
                <w:sz w:val="20"/>
                <w:szCs w:val="20"/>
                <w:color w:val="auto"/>
              </w:rPr>
            </w:pPr>
            <w:r>
              <w:rPr>
                <w:rFonts w:ascii="Arial" w:cs="Arial" w:eastAsia="Arial" w:hAnsi="Arial"/>
                <w:sz w:val="18"/>
                <w:szCs w:val="18"/>
                <w:color w:val="auto"/>
              </w:rPr>
              <w:t>35.67%</w:t>
            </w:r>
          </w:p>
        </w:tc>
      </w:tr>
    </w:tbl>
    <w:p>
      <w:pPr>
        <w:spacing w:after="0" w:line="338" w:lineRule="exact"/>
        <w:rPr>
          <w:sz w:val="20"/>
          <w:szCs w:val="20"/>
          <w:color w:val="auto"/>
        </w:rPr>
      </w:pPr>
    </w:p>
    <w:p>
      <w:pPr>
        <w:ind w:right="1520"/>
        <w:spacing w:after="0" w:line="492" w:lineRule="auto"/>
        <w:rPr>
          <w:sz w:val="20"/>
          <w:szCs w:val="20"/>
          <w:color w:val="auto"/>
        </w:rPr>
      </w:pPr>
      <w:r>
        <w:rPr>
          <w:rFonts w:ascii="Arial" w:cs="Arial" w:eastAsia="Arial" w:hAnsi="Arial"/>
          <w:sz w:val="18"/>
          <w:szCs w:val="18"/>
          <w:b w:val="1"/>
          <w:bCs w:val="1"/>
          <w:u w:val="single" w:color="auto"/>
          <w:color w:val="auto"/>
        </w:rPr>
        <w:t xml:space="preserve">ITEM 7. MANAGEMENTS DISCUSSION AND ANALYSIS OF FINANCIAL CONDITION AND RESULTS OF OPERATIONS </w:t>
      </w:r>
      <w:r>
        <w:rPr>
          <w:rFonts w:ascii="Arial" w:cs="Arial" w:eastAsia="Arial" w:hAnsi="Arial"/>
          <w:sz w:val="18"/>
          <w:szCs w:val="18"/>
          <w:b w:val="1"/>
          <w:bCs w:val="1"/>
          <w:color w:val="auto"/>
        </w:rPr>
        <w:t>Critical Accounting Policies and Estimates</w:t>
      </w:r>
    </w:p>
    <w:p>
      <w:pPr>
        <w:jc w:val="both"/>
        <w:spacing w:after="0" w:line="304" w:lineRule="auto"/>
        <w:rPr>
          <w:sz w:val="20"/>
          <w:szCs w:val="20"/>
          <w:color w:val="auto"/>
        </w:rPr>
      </w:pPr>
      <w:r>
        <w:rPr>
          <w:rFonts w:ascii="Arial" w:cs="Arial" w:eastAsia="Arial" w:hAnsi="Arial"/>
          <w:sz w:val="15"/>
          <w:szCs w:val="15"/>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 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420"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an impairment write-down or valuation reserve to be established, or when an asset or liability must be recorded contingent upon a future event.</w:t>
      </w:r>
    </w:p>
    <w:p>
      <w:pPr>
        <w:spacing w:after="0" w:line="23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All significant accounting policies followed by the Company are presented in Note 1 to the consolidated financial statements. These policies, along with the disclosures presented in the notes to the consolidated financial statements and in the management discussion and analysis of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Allowance for Loan and Lease Losses (ALLL) and the valuation of its Mortgage Servicing Rights (MSR) and Other Real Estate Owned (OREO) as the accounting areas that requires the most subjective or complex judgments, and as such could be the most subject to revision as new information becomes available.</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OREO, which is comprised of assets acquired by the Bank, through, or in lieu of, loan foreclosure are held for sale and are initially recorded at fair value at the date of foreclosure. Subsequent to foreclosure, valuations are periodically performed by management and the assets are carried at the lower of carrying amount or fair value less cost to sell.</w:t>
      </w:r>
    </w:p>
    <w:p>
      <w:pPr>
        <w:spacing w:after="0" w:line="189"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ALLL represents management's estimate of credit losses inherent in the Bank's loan portfolio at the report date. The estimate is a composite of a variety of factors including experience, collateral value, and the general economy. ALLL includes a specific portion, a formula driven portion, and a general nonspecific portion. The collection and ultimate recovery of the book value of the collateral, in most cases, is beyond our control.</w:t>
      </w:r>
    </w:p>
    <w:p>
      <w:pPr>
        <w:spacing w:after="0" w:line="15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is also required to estimate the value of its MSR. The Company recognizes as separate assets rights to service fixed rate single-family mortgage loans that it has sold without recourse but services for others for a fee. Mortgage servicing assets are initially recorded at fair value, based upon pricing multiples as determined by the purchaser, when the loans are sold. Mortgage servicing assets are carried at the lower of the initial carrying value, adjusted for amortization, or estimated fair value. Amortization is determined in proportion to and over the period of estimated net servicing income using the level yield method. For purposes of determining impairment, the mortgage servicing assets are stratified into like groups based on loan type, term, new versus seasoned and interest rate. The valuation is completed by an independent third party.</w:t>
      </w:r>
    </w:p>
    <w:p>
      <w:pPr>
        <w:spacing w:after="0" w:line="169"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Company’s mortgage servicing rights relating to loans serviced for others represent an asset of the Company. This asset is initially capitalized and included in other assets on the Company’s consolidated balance sheet. The mortgage servicing rights are then amortized as noninterest expense in proportion to, and over the period of, the estimated future net servicing income of the underlying mortgage servicing rights. There are a number of factors, however, that can affect the ultimate value of the mortgage servicing rights to the Company, including the estimated prepayment speed of the loan and the discount rate used to present value the servicing right. For example, if the mortgage loan is prepaid, the Company will receive fewer servicing fees, meaning that the present value of the mortgage servicing rights is less than the carrying value of those rights on the Company’s balance sheet. Therefore, in an attempt to reflect an accurate expected value to the Company of the mortgage servicing rights, the Company receives a valuation of its mortgage servicing rights from an independent third party. The independent third party’s valuation of the mortgage servicing rights is based on relevant characteristics of the Company’s loan servicing portfolio, such as loan terms, interest rates and recent national prepayment experience, as well as current national market interest rate levels, market forecasts and other economic conditions. Management, with the advice from its third party valuation firm, review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Company’s mortgage servicing rights, management then establishes a valuation allowance by each strata, if necessary, to quantify the likely impairment of the value of the mortgage servicing rights to the Company. The estimates of prepayment speeds and discount rates are inherently uncertain, and different estimates could have a material impact on the Company’s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can be directly tied back to the fact that management has not been required to record a valuation allowance through its income statement based upon the valuation of each stratum of serving rights.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more information regarding the estimates and calculations used to establish the ALLL and the value of Mortgage Servicing Rights, please see Note 1 to the consolidated financial statements provided herewith.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2020 in Review</w:t>
      </w:r>
    </w:p>
    <w:p>
      <w:pPr>
        <w:spacing w:after="0" w:line="1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2020 started out to be the year of execution. After a good beginning in terms of loan growth and initiatives the first two months, March brought the year of unprecedented change. The Federal Reserve decreased its overnight rate by fifty basis points on March 3rd. As we were adjusting to that change, they again decreased the rate on March 15th by a before unseen 100 basis points. We began to see the disruption caused by COVID-19 and the focus of the Bank quickly changed. Execution took on a new meaning related to following the actions governed by the Bank’s pandemic flu plan. The Bank took immediate measures and adjusted operations to protect the health and safety of their employees, customers and communities throughout the COVID-19 pandemic while continuing to provide financial services. </w:t>
      </w:r>
      <w:r>
        <w:rPr>
          <w:rFonts w:ascii="Arial" w:cs="Arial" w:eastAsia="Arial" w:hAnsi="Arial"/>
          <w:sz w:val="16"/>
          <w:szCs w:val="16"/>
          <w:b w:val="1"/>
          <w:bCs w:val="1"/>
          <w:color w:val="auto"/>
        </w:rPr>
        <w:t>Please see section titled COVID-19 for additional information related to actions taken</w:t>
      </w:r>
      <w:r>
        <w:rPr>
          <w:rFonts w:ascii="Arial" w:cs="Arial" w:eastAsia="Arial" w:hAnsi="Arial"/>
          <w:sz w:val="16"/>
          <w:szCs w:val="16"/>
          <w:color w:val="auto"/>
        </w:rPr>
        <w:t>.</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again reports record earnings in total and in earnings per share. This was achieved in the midst of a global pandemic. Net income of $20.1 million, which included $7.0 million of loan loss provision, increased by $1.7 million as compared to 2019. Earnings per share of $1.80 was $0.14 higher than 2019’s $1.66. The improvement is credited to an increase in net interest income and noninterest income offset by increases in loan loss provision and noninterest expense, primarily attributable to salaries, wages and employee benefits.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asset size grew $302.2 million with net loans accounting for $77.5 million and included $36.2 million of PPP loans, and the remaining difference primarily coming from an increase in cash and cash equivalents of $124.4 million and securities of $85.5 million.</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continued to work towards its three year strategic plan that was established in 2019. The vision statement, “Community Vested to Help People Realize Their Best Lives,” was accentuated with the approval of $87.8 million in PPP loans helping approximately 947 small businesses protect over 12,400 jobs. The following five strategic initiatives that will help take the Company to the next level are: customer acquisition and retention, talent optimization, actively pursue acquisition opportunities, improve operating efficiency and financial performance, and develop a comprehensive digital strategy for internal and external constituencies.</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strategic initiative of attracting and cultivating talent was explored with the retirements of our Chief Lending Officer and Marketing Manager in the first quarter. Todd Graham’s duties were assumed by Rex Rice who had been our Senior Commercial Banking Manager. The shift in the commercial team was completed with David Gerken promoted to Sr. VP/Commercial Banking Manager and we added Brett Baumeister as our Sr. VP/Commercial Banking Manager in Eastern Ohio. Mr. Gerken was an existing team member and Mr. Baumeister was a new addition within the last year. Marty Filogamo was replaced by Amy Cover, who had been the Assistant Marketing Manager.</w:t>
      </w:r>
    </w:p>
    <w:p>
      <w:pPr>
        <w:spacing w:after="0" w:line="195"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Due to the retirement of Jim Burkhart in the second quarter, the Bank hired Shalini Singhal as our new Chief Information Officer. Shalini is a proven CIO who will lead our digital efforts. The management team is experienced, and we are confident of their ability to lead the Bank in the years to come.</w:t>
      </w:r>
    </w:p>
    <w:p>
      <w:pPr>
        <w:spacing w:after="0" w:line="13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After the difficult growing conditions and tight margins encountered during 2019, the 2020 planting season was one of the smoothest we have seen in our market area for several years as crops were planted in a timely manner. Many farmers do continue to utilize crop insurance which protects revenue. COVID-19 has created challenges in the agriculture sector just as it has for the entire economy. These challenges include commodity prices, livestock supply chain, handling employees, and concerns with the overall health of the economy. The growing season in our market area was variable with some areas receiving timely rains and others needing moisture. The 2020 harvest fluctuated throughout our market area, but overall yields were positive. Strong global demand for agriculture products has created a rise in grain prices. This has resulted in profitable pricing opportunities for our customer base for both 2020 and 2021. The grain, livestock and agri-business sector of our portfolio continues to remain healthy and concerns manageable.</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2020 was an unprecedented year for both F&amp;M and our commercial clients. The COVID-19 pandemic caused issues for our labor force in the F&amp;M footprint. During the second half of the year, most of the commercial sector in the Bank’s markets returned to work. Business volumes and profitability returned for many commercial clients; however still lagged for those industries most impacted by COVID-19. The low rate environment continued to drive acquisitions and construction activity. Projects are moving forward, and leases are being executed. Commercial performance continues to remain strong.</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Loan Production Offices (LPO) in Muncie, Indiana, Oxford, Ohio and West Bloomfield, Michigan all have new loan activity and are helping extend the F&amp;M footprint. The Bank was able to hire well known talented bankers from each area. The Bank is completing a new full-service office in Fort Wayne, Indiana which will open in first quarter 2021.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24" w:name="page25"/>
    <w:bookmarkEnd w:id="24"/>
    <w:p>
      <w:pPr>
        <w:jc w:val="both"/>
        <w:spacing w:after="0" w:line="325" w:lineRule="auto"/>
        <w:rPr>
          <w:sz w:val="20"/>
          <w:szCs w:val="20"/>
          <w:color w:val="auto"/>
        </w:rPr>
      </w:pPr>
      <w:r>
        <w:rPr>
          <w:rFonts w:ascii="Arial" w:cs="Arial" w:eastAsia="Arial" w:hAnsi="Arial"/>
          <w:sz w:val="16"/>
          <w:szCs w:val="16"/>
          <w:color w:val="auto"/>
        </w:rPr>
        <w:t>In November, the Company purchased the assets and clients of Adams County Financial Resources (ACFR), a registered investment advisory firm located in Geneva, IN, with approximately $83.0 million of assets under management at November 30, 2020. Please refer to Note 2 for additional information.</w:t>
      </w:r>
    </w:p>
    <w:p>
      <w:pPr>
        <w:spacing w:after="0" w:line="134"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In December, the Company also announced the acquisition of Ossian Financial Services, Inc. (OFSI), which operates two full-service bank offices in Northeast Indiana and had approximately $122.0 million in assets as of September 30, 2020. Please refer to Note 20 for additional information.</w:t>
      </w:r>
    </w:p>
    <w:p>
      <w:pPr>
        <w:spacing w:after="0" w:line="13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 trend of increasing improvement in net income continued from 2018 through 2020. 2020 increased 9.2% over 2019 and 2019 was 23.1% higher than 2018. Dividends declared also increased over the corresponding years. 2020’s declared dividends at $0.66 a share was 8.2% higher than 2019’s $0.61 per share and 2019 was 8.9% higher than 2018’s $0.56 per share. The Company remains strong, stable and well capitalized and has the capacity to continue to cover the increased costs of doing business. The Company continues to look for new opportunities to generate and protect revenue while providing additional channels through which to serve our customers and maintain our high level of customer satisfaction. The Company plans to continue our strategy of expansion into new markets, whether by acquisition or the establishment of new branch office locations.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What the Company knows, what steps have been taken, what has changed going forward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declaration</w:t>
      </w:r>
    </w:p>
    <w:p>
      <w:pPr>
        <w:spacing w:after="0" w:line="11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expects to continue to maintain the payment of its quarterly dividend consistent with its past practices. We are sensitive to the needs of our long-time shareholders that utilize these funds to supplement their living expenses, especially in this low interest rate environment. Dividends declared during the quarter at $0.17 per share increased by 6.25% over last year’s fourth quarter at $0.16 per share. Total dividends of $0.66 declared for the year 2020 increased 8.20% over 2019’s total of $0.61.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held its Annual Meeting on April 16th; however, in light of the governmental restrictions the meeting was significantly different than in the past. There was no dinner, no presentation of 2019 or an outlook for 2020 and only a small group of directors and officers present. For the three items to be considered at the meeting, shareholders were asked to seriously consider not attending and vote by proxy. Over 80% of the shareholders voted by proxy. The Company plans to hold its annual meeting in 2021 virtually and will include a short presentation of the financials and comments from our Chairman and President.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Offices</w:t>
      </w:r>
    </w:p>
    <w:p>
      <w:pPr>
        <w:spacing w:after="0" w:line="11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With the health of our employees and customers being our top concern, as of March 20th, the Bank temporarily suspended branch lobby hours to the public for walk-in transactions. Appointments could be made at branches to complete all needed paperwork and transactions. Drive-thru services remained open as well as all ATM’s and ITM’s to complete needed transactions. To assure branches remained open, employees were divided into teams who rotated every three days to two weeks as a means to practice social distancing while limiting any possible exposure. During the month of May, the retail re-open team developed an employee handbook which focused on opening protocols, employee training, health and wellness and facility signage. Branch re-openings began on June 3rd with the last branches re-opening on June 15th. We have continued to monitor and adjust lobby access as needed. Following the holidays, we implemented a hub strategy keeping at least one office full service in each of six regions and limited lobby access at the remainder. We had a few rare occurrences when lack of staffing required us to initiate limited access for a day. All offices, as long as adequate staffing is available, returned to full access in February. This is an area where the Bank remains diligent in protecting staff and customers from contributing to the exposure and/or spread of the virus. Internal controls have not been significantly modified due to COVID-19.</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w:t>
      </w:r>
    </w:p>
    <w:p>
      <w:pPr>
        <w:spacing w:after="0" w:line="1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2020 was an unprecedented year for both F&amp;M and our business clients. The COVID-19 pandemic caused issues for the labor force in the F&amp;M footprint. As a Small Business Administration (SBA) approved provider, the Bank was able to immediately participate in the SBA PPP established under the CARES Act, which was signed into law on March 27, 2020. The PPP provided much needed assistance to businesses in our communities. The Bank was able to process applications for around 947 small businesses protecting over 12,400 jobs which provided approximately $87.8 million in needed funding. Loan size varied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from $300 to $2.3 million with only 2 loans over $2 million. Net fee income from PPP loans to be recognized over 24 months will be $3.2 million.</w:t>
      </w:r>
    </w:p>
    <w:p>
      <w:pPr>
        <w:spacing w:after="0" w:line="2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second half most of the commercial sector in the Bank’s markets returned to work in an increased capacity. Business volumes and profitability returned for many commercial clients, but still lag for those industries most impacted by COVID-19. The Bank began to take applications for PPP loan forgiveness in the third quarter. Forgiveness and principal payments received in the fourth quarter totaled $51.6 million in principal and represented accelerated fee income of $1.2 million for 2020. Forgiveness payments continue into the first quarter of 2021 on the remaining principal balance of $36.2 million. The Bank has also begun the initiating of the newest round of PPP for existing customers, representing round 2 for most; however, it may include some customers who are applying for the first time. F&amp;M remains prepared to assist our customers to take advantage of these programs with the assistance of a third party for reporting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Loan</w:t>
      </w:r>
    </w:p>
    <w:p>
      <w:pPr>
        <w:spacing w:after="0" w:line="1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With the Federal Reserve rate drops of 150 basis points in March (100 basis points of which was directly related to the effects of the virus on the economy), a surge in home loan activity has occurred. Much of the activity is refinance related and the Bank has experienced the highest amount of applications in its history, both in number of and dollar amount. Given the nature of the programs, the results were recorded beginning in the second quarter and continues into 2021. The Bank sells most of its home loans into the secondary market through Freddie Mac.</w:t>
      </w:r>
    </w:p>
    <w:p>
      <w:pPr>
        <w:spacing w:after="0" w:line="16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Existing loans on our books for which the Bank has received inquiries into forbearance agreements, totaled over 125 as of December 31, 2020. Of these inquiries, customers entered into agreements on 99 loans totaling just over $9.1 million. 30 loans were in-house making up $2.2 million in principal balance and 69 were secondary market loans which we service with balances totaling $6.9 million. Of the 30 in-house loans, 3 are still in forbearance, 2 are in an active repayment plan and 25 have transitioned from their forbearance into a current status by fully reinstating, completing a repayment plan, entering into a payment deferral, curing by refinance or paying off the loan. Of the 69 secondary market loans, 3 are still in forbearance, 5 are in an active repayment plan and 61 have transitioned from their forbearance into a current status by fully reinstating, completing a repayment plan, entering into a payment deferral, or paying off the loan. We remain ready to assist our customers as needs continue.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Loans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Bank offered its “Skip-a-pay” program to consumers with installment loans, which allows the customer to skip the payment and extend the maturity of the contract for the payment period. We are allowing two payments to be skipped upon request with an additional one possible at the end of the initial request upon review. Normally, the Bank would charge a fee for this program – the fee has been waived. The Bank would also normally require the interest for the period to be collected and that requirement is currently waived. Interest is a part of the extended maturity payments. We have assisted 149 customers currently with loan balances totaling just over $2.0 million. 139 loans have been extended representing approximately $1.9 million and 259 extended months.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Waiving of late payment fees for our customers was introduced on March 16, 2020 and ceased on June 30, 2020. As of June 30th, the Bank had foregone fees of $307 thousand on loans to help our customers. Of the $307 thousand, $131 thousand was related to two past due commercial loans. As a community bank, it is, by definition, what we should do.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Bank’s most popular checking account, which includes requirements to earn a reward, removed the requirement of debit card transactions to be completed during a cycle for the months of April and May. In the Bank’s geographical area, the states issued “stay at home” guidelines and many of our customers were concerned with being able to complete the requirement. This impacted almost 11.6 thousand accounts and represented just under $101 million in average account balances. The product includes the option of attaching a savings account for which the same requirements were waived and impacted an additional almost 7 thousand accounts and $113.1 million in average account balances, calculated as of June 30th. Overall, typically 80-85% of our customers meet all the requirements. The waiving of the debit card transactions allowed those customers to receive the reward and possibly an additional 77.5% of the previous non-qualifiers which represented the other 15-20% in total. With the removal of the “stay at home” guidelines, the debit card transaction requirement was reinstated beginning with the June cycle on May 29th. During the months of April and May, most individuals still met their debit card transaction requirement with the “stay at home” order in place. Our customers are meeting the same percentage of qualifications as pre-COVID levels.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Employees</w:t>
      </w:r>
    </w:p>
    <w:p>
      <w:pPr>
        <w:spacing w:after="0" w:line="11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Bank continued paying employees their full pay through March 31, 2020. During this time period, accumulated PTO and vacation time were frozen and not required to be used to receive full pay. The Bank continues to promote social distancing by encouraging employees who can work remotely to do so and in other cases, departments have been dispersed to keep the team separated. As of April 1st, the Bank is following The Families First Coronavirus Response Act (FFCRA) which requires employers to provide their employees with paid sick leave and extended family and medical leave for specified reasons related to COVID-19. These provisions were in effect until December 31, 2020. Qualifying reasons for leave related to COVID-19 include the employee: (1) being subject to a quarantine order, (2) being advised by a healthcare provider to self-quarantine, (3) experiencing COVID-19 symptoms and is seeking a medical diagnosis, (4) caring for an individual subject to a quarantine order, (5) caring for his or her child whose school or place of care is closed or (6) experiencing any other substantially-similar condition specified by the U.S. Department of Health and Human Services. All time off related to the above reasons was being separately documented within our time and attendance system. The Bank was able to reduce its employer tax for up to two weeks (80 hours, or a part-time employee’s two-week equivalent).</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At the end of December 2020, the Federal government extended the Family First Cares Act (FFCRA) into 2021. However, this extension is not mandatory, but at the discretion of the employer. To ensure our employees can make the best decisions about their health and keep our work environments safe, the Bank extended this leave through the end of March 2021.The Bank’s Pandemic team continues to meet bi-weekly and safety protocols continue to be followed, including masking and social distancing.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 Exposures</w:t>
      </w:r>
    </w:p>
    <w:p>
      <w:pPr>
        <w:spacing w:after="0" w:line="11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Given the timing of the outbreak in the United States of the COVID-19 pandemic, management believes that the main detrimental impact on the Company’s performance was a factor in the economic qualitative adjustment for the calculation of the allowance for loan loss. Subsequently, the loan loss provision was increased which also included an increase due to loan growth. The COVID-19 pandemic represents an unprecedented challenge to the global economy in general and the financial services sector in particular. However, there is still significant uncertainty regarding the overall length of the pandemic and the aggregate impact that it will have on global and regional economies, including uncertainties regarding the potential positive effects of governmental actions taken in response to the pandemic. With so much uncertainty, it is impossible for the Bank to accurately predict the impact that the pandemic will have on the Company’s primary markets and the overall extent to which it will affect the Company’s financial condition and results of operations. As the Bank reviews our business customers’ tax returns and initiates the PPP programs of 2021, we will begin to have a better handle on the impact to our customers during 2020 and into 2021. At a minimum, the actions taken by the Company to assist its customers experiencing challenges from the pandemic, such as through the Bank’s “Skip-a-pay” program, the waiver of late payment fees, and the entry into loan forbearance agreements, did have an impact on the Company’s 2020 performance. Nonetheless, management believes that the Company’s current regulatory capital position is adequate to face the coming challenges.</w:t>
      </w:r>
    </w:p>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has a limited exposure to many sectors of the economy that will likely be impacted for an extended period such as the travel, restaurant, hospitality, energy and retail industries. The Bank does not have any direct exposure to the energy industry. Hotels, entertainment and food related businesses are less than 10% of our overall loan portfolio as shown in the chart which follows. In addition, the Bank’s hotel customers are financially strong business owners, operating brand name hotels in compelling locations. The Bank, along with many other financial institutions, has increased its provision for loan losses in the current year compared to 2019 by approximately $5.9 million. The Bank is fully prepared to make additional provisions as warranted by the COVID-19 situation in 2021.</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Bank had 190 loans that received either deferment payments or interest only payments due to COVID-19. As of December 31, 2020, there were only five modifications left representing a total of $3.6 million. Of those remaining there were no outstanding full payment deferment loans. Three loans are interest only in the entertainment sector with $1.2 million in total balances with all scheduled for original repayment terms to begin by early April 2021. One office building with a $2.3 million balance with interest only payments will return to payments in May 2021. One restaurant with a $13 thousand balance received an interest only modification in December with payments to resume in March of 2021.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1"/>
        </w:trPr>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Percent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Percent of</w:t>
            </w:r>
          </w:p>
        </w:tc>
        <w:tc>
          <w:tcPr>
            <w:tcW w:w="0" w:type="dxa"/>
            <w:vAlign w:val="bottom"/>
          </w:tcPr>
          <w:p>
            <w:pPr>
              <w:spacing w:after="0"/>
              <w:rPr>
                <w:sz w:val="1"/>
                <w:szCs w:val="1"/>
                <w:color w:val="auto"/>
              </w:rPr>
            </w:pPr>
          </w:p>
        </w:tc>
      </w:tr>
      <w:tr>
        <w:trPr>
          <w:trHeight w:val="211"/>
        </w:trPr>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Percent of</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Total Loans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 Loans</w:t>
            </w:r>
          </w:p>
        </w:tc>
        <w:tc>
          <w:tcPr>
            <w:tcW w:w="0" w:type="dxa"/>
            <w:vAlign w:val="bottom"/>
          </w:tcPr>
          <w:p>
            <w:pPr>
              <w:spacing w:after="0"/>
              <w:rPr>
                <w:sz w:val="1"/>
                <w:szCs w:val="1"/>
                <w:color w:val="auto"/>
              </w:rPr>
            </w:pPr>
          </w:p>
        </w:tc>
      </w:tr>
      <w:tr>
        <w:trPr>
          <w:trHeight w:val="211"/>
        </w:trPr>
        <w:tc>
          <w:tcPr>
            <w:tcW w:w="2440" w:type="dxa"/>
            <w:vAlign w:val="bottom"/>
            <w:gridSpan w:val="2"/>
          </w:tcPr>
          <w:p>
            <w:pPr>
              <w:ind w:left="460"/>
              <w:spacing w:after="0"/>
              <w:rPr>
                <w:sz w:val="20"/>
                <w:szCs w:val="20"/>
                <w:color w:val="auto"/>
              </w:rPr>
            </w:pPr>
            <w:r>
              <w:rPr>
                <w:rFonts w:ascii="Arial" w:cs="Arial" w:eastAsia="Arial" w:hAnsi="Arial"/>
                <w:sz w:val="18"/>
                <w:szCs w:val="18"/>
                <w:color w:val="auto"/>
              </w:rPr>
              <w:t>Industry Segments</w:t>
            </w:r>
          </w:p>
        </w:tc>
        <w:tc>
          <w:tcPr>
            <w:tcW w:w="22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Arial" w:cs="Arial" w:eastAsia="Arial" w:hAnsi="Arial"/>
                <w:sz w:val="18"/>
                <w:szCs w:val="18"/>
                <w:color w:val="auto"/>
              </w:rPr>
              <w:t>Outstanding</w:t>
            </w: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Total Loan</w:t>
            </w:r>
          </w:p>
        </w:tc>
        <w:tc>
          <w:tcPr>
            <w:tcW w:w="1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Payment</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Adjusted with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Interest Only</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Adjusted with</w:t>
            </w:r>
          </w:p>
        </w:tc>
        <w:tc>
          <w:tcPr>
            <w:tcW w:w="0" w:type="dxa"/>
            <w:vAlign w:val="bottom"/>
          </w:tcPr>
          <w:p>
            <w:pPr>
              <w:spacing w:after="0"/>
              <w:rPr>
                <w:sz w:val="1"/>
                <w:szCs w:val="1"/>
                <w:color w:val="auto"/>
              </w:rPr>
            </w:pPr>
          </w:p>
        </w:tc>
      </w:tr>
      <w:tr>
        <w:trPr>
          <w:trHeight w:val="223"/>
        </w:trPr>
        <w:tc>
          <w:tcPr>
            <w:tcW w:w="22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(Dollars in Thousands)</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Loan Balance</w:t>
            </w:r>
          </w:p>
        </w:tc>
        <w:tc>
          <w:tcPr>
            <w:tcW w:w="3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Portfolio</w:t>
            </w:r>
          </w:p>
        </w:tc>
        <w:tc>
          <w:tcPr>
            <w:tcW w:w="3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0"/>
              </w:rPr>
              <w:t>Deferment</w:t>
            </w:r>
          </w:p>
        </w:tc>
        <w:tc>
          <w:tcPr>
            <w:tcW w:w="3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Deferment</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3"/>
              </w:rPr>
              <w:t>Modifications</w:t>
            </w:r>
          </w:p>
        </w:tc>
        <w:tc>
          <w:tcPr>
            <w:tcW w:w="3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Interest Only</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Hospitality (Hotels)</w:t>
            </w: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88,160</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4"/>
        </w:trPr>
        <w:tc>
          <w:tcPr>
            <w:tcW w:w="2440" w:type="dxa"/>
            <w:vAlign w:val="bottom"/>
            <w:gridSpan w:val="2"/>
          </w:tcPr>
          <w:p>
            <w:pPr>
              <w:spacing w:after="0"/>
              <w:rPr>
                <w:sz w:val="20"/>
                <w:szCs w:val="20"/>
                <w:color w:val="auto"/>
              </w:rPr>
            </w:pPr>
            <w:r>
              <w:rPr>
                <w:rFonts w:ascii="Arial" w:cs="Arial" w:eastAsia="Arial" w:hAnsi="Arial"/>
                <w:sz w:val="18"/>
                <w:szCs w:val="18"/>
                <w:color w:val="auto"/>
              </w:rPr>
              <w:t>Restaurants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20,610</w:t>
            </w:r>
          </w:p>
        </w:tc>
        <w:tc>
          <w:tcPr>
            <w:tcW w:w="3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2"/>
        </w:trPr>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Retail Commercial</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Real Estate *</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105,785</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64.85%</w:t>
            </w:r>
          </w:p>
        </w:tc>
        <w:tc>
          <w:tcPr>
            <w:tcW w:w="0" w:type="dxa"/>
            <w:vAlign w:val="bottom"/>
          </w:tcPr>
          <w:p>
            <w:pPr>
              <w:spacing w:after="0"/>
              <w:rPr>
                <w:sz w:val="1"/>
                <w:szCs w:val="1"/>
                <w:color w:val="auto"/>
              </w:rPr>
            </w:pPr>
          </w:p>
        </w:tc>
      </w:tr>
      <w:tr>
        <w:trPr>
          <w:trHeight w:val="224"/>
        </w:trPr>
        <w:tc>
          <w:tcPr>
            <w:tcW w:w="244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25,230</w:t>
            </w:r>
          </w:p>
        </w:tc>
        <w:tc>
          <w:tcPr>
            <w:tcW w:w="3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1,245</w:t>
            </w:r>
          </w:p>
        </w:tc>
        <w:tc>
          <w:tcPr>
            <w:tcW w:w="3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24"/>
        </w:trPr>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Car Dealers</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30,301</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4"/>
        </w:trPr>
        <w:tc>
          <w:tcPr>
            <w:tcW w:w="2440" w:type="dxa"/>
            <w:vAlign w:val="bottom"/>
            <w:gridSpan w:val="2"/>
          </w:tcPr>
          <w:p>
            <w:pPr>
              <w:spacing w:after="0"/>
              <w:rPr>
                <w:sz w:val="20"/>
                <w:szCs w:val="20"/>
                <w:color w:val="auto"/>
              </w:rPr>
            </w:pPr>
            <w:r>
              <w:rPr>
                <w:rFonts w:ascii="Arial" w:cs="Arial" w:eastAsia="Arial" w:hAnsi="Arial"/>
                <w:sz w:val="18"/>
                <w:szCs w:val="18"/>
                <w:color w:val="auto"/>
              </w:rPr>
              <w:t>Gas Stations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19,830</w:t>
            </w:r>
          </w:p>
        </w:tc>
        <w:tc>
          <w:tcPr>
            <w:tcW w:w="3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4"/>
        </w:trPr>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735,433</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56.34%</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4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40" w:type="dxa"/>
            <w:vAlign w:val="bottom"/>
            <w:gridSpan w:val="2"/>
            <w:vMerge w:val="continue"/>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1,025,349</w:t>
            </w: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78.54%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3,579</w:t>
            </w:r>
          </w:p>
        </w:tc>
        <w:tc>
          <w:tcPr>
            <w:tcW w:w="3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2440" w:type="dxa"/>
            <w:vAlign w:val="bottom"/>
            <w:gridSpan w:val="2"/>
          </w:tcPr>
          <w:p>
            <w:pPr>
              <w:spacing w:after="0"/>
              <w:rPr>
                <w:sz w:val="20"/>
                <w:szCs w:val="20"/>
                <w:color w:val="auto"/>
              </w:rPr>
            </w:pPr>
            <w:r>
              <w:rPr>
                <w:rFonts w:ascii="Arial" w:cs="Arial" w:eastAsia="Arial" w:hAnsi="Arial"/>
                <w:sz w:val="18"/>
                <w:szCs w:val="18"/>
                <w:color w:val="auto"/>
              </w:rPr>
              <w:t># of Customers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800"/>
        <w:spacing w:after="0"/>
        <w:rPr>
          <w:sz w:val="20"/>
          <w:szCs w:val="20"/>
          <w:color w:val="auto"/>
        </w:rPr>
      </w:pPr>
      <w:r>
        <w:rPr>
          <w:rFonts w:ascii="Arial" w:cs="Arial" w:eastAsia="Arial" w:hAnsi="Arial"/>
          <w:sz w:val="18"/>
          <w:szCs w:val="18"/>
          <w:color w:val="auto"/>
        </w:rPr>
        <w:t>*Includes Owner Occupied</w:t>
      </w:r>
    </w:p>
    <w:p>
      <w:pPr>
        <w:spacing w:after="0" w:line="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Report on Adjusted Loans as of December 31, 2020</w:t>
      </w:r>
    </w:p>
    <w:p>
      <w:pPr>
        <w:spacing w:after="0" w:line="20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credit administration is closely monitoring and analyzing these higher risk segments within the loan portfolio, tracking loan payment deferrals, customer liquidity and providing timely reports to senior management and the board of directors. The Bank is in frequent contact with our borrowers during this time of uncertainty and has had only one COVID-19 related downgrade which was less than $10 million during 2020. The Bank has stress tested our top five commercial concentrations which include retail commercial real estate, hotels, multi-family, industrial commercial real estate and assisted living. An outside third party has reviewed 55% of our commercial portfolio along with our internal credit department having reviewed 75% of our loan portfolio as a result of new money, renewals or annual reviews. Based on the Company’s capital levels, prudent underwriting policies, loan concentration diversification and our geographic footprint, we expect to be able to manage the economic risks and uncertainties associated with the pandemic and remain adequately capitalized.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Action</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December 21, 2020, the House and Senate passed legislation to supply the latest round of COVID-19 relief, authorizing more than $900 billion in economic aid to small businesses and consumers—the second largest stimulus in history, behind only the CARES Act that Congress enacted in March. The bill also includes appropriations provisions to keep the government funded through September 30, 2021, as well as a host of miscellaneous items. Key banking provisions under this legislation include the following:</w:t>
      </w:r>
    </w:p>
    <w:p>
      <w:pPr>
        <w:spacing w:after="0" w:line="3" w:lineRule="exact"/>
        <w:rPr>
          <w:sz w:val="20"/>
          <w:szCs w:val="20"/>
          <w:color w:val="auto"/>
        </w:rPr>
      </w:pPr>
    </w:p>
    <w:p>
      <w:pPr>
        <w:ind w:left="800" w:hanging="399"/>
        <w:spacing w:after="0" w:line="244"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additional $284.6 billion in Paycheck Protection Program (PPP) funding for loans to small businesses, including for borrowers who have previously received a PPP loan.</w:t>
      </w:r>
    </w:p>
    <w:p>
      <w:pPr>
        <w:ind w:left="800" w:hanging="399"/>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one-page simplified forgiveness process for PPP loans under $150,000.</w:t>
      </w:r>
    </w:p>
    <w:p>
      <w:pPr>
        <w:spacing w:after="0" w:line="3" w:lineRule="exact"/>
        <w:rPr>
          <w:rFonts w:ascii="Arial" w:cs="Arial" w:eastAsia="Arial" w:hAnsi="Arial"/>
          <w:sz w:val="18"/>
          <w:szCs w:val="18"/>
          <w:color w:val="auto"/>
        </w:rPr>
      </w:pPr>
    </w:p>
    <w:p>
      <w:pPr>
        <w:ind w:left="800" w:hanging="399"/>
        <w:spacing w:after="0" w:line="23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Clarification to various CARES Act provisions, the tax treatment of PPP expenses, lender responsibilities for agent fees, and lender “hold harmless” protections under the PPP and other laws.</w:t>
      </w:r>
    </w:p>
    <w:p>
      <w:pPr>
        <w:ind w:left="800" w:hanging="399"/>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further delay in Troubled Debt Restructuring (TDR) accounting until 60 days after the termination of the national emergency, or January 1, 2022.</w:t>
      </w:r>
    </w:p>
    <w:p>
      <w:pPr>
        <w:ind w:left="800" w:hanging="399"/>
        <w:spacing w:after="0" w:line="229"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further optional delay in Current Expected Credit Loss (CECL) accounting until January 1, 2022</w:t>
      </w:r>
    </w:p>
    <w:p>
      <w:pPr>
        <w:ind w:left="800" w:hanging="399"/>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new round of Economic Impact Payments (EIPs) for consumers, with aggressive distribution timelines and new exemptions from garnishments.</w:t>
      </w:r>
    </w:p>
    <w:p>
      <w:pPr>
        <w:spacing w:after="0" w:line="24" w:lineRule="exact"/>
        <w:rPr>
          <w:rFonts w:ascii="Arial" w:cs="Arial" w:eastAsia="Arial" w:hAnsi="Arial"/>
          <w:sz w:val="16"/>
          <w:szCs w:val="16"/>
          <w:color w:val="auto"/>
        </w:rPr>
      </w:pPr>
    </w:p>
    <w:p>
      <w:pPr>
        <w:ind w:left="800" w:hanging="399"/>
        <w:spacing w:after="0" w:line="231"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added support for Community Development Financial Institutions (CDFIs) and Minority Depository Institutions (MDIs).</w:t>
      </w:r>
    </w:p>
    <w:p>
      <w:pPr>
        <w:ind w:left="800" w:hanging="399"/>
        <w:spacing w:after="0" w:line="213"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Funding for agricultural support programs and for renter assistance programs.</w:t>
      </w:r>
    </w:p>
    <w:p>
      <w:pPr>
        <w:ind w:left="800" w:hanging="399"/>
        <w:spacing w:after="0" w:line="22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Termination of existing Federal Reserve emergency lending authority under the CARES Act, while preserving the Fed’s general 13(3) emergency authority existing prior to that Act.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Material Changes in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discussion now centers on the individual line items of the consolidated statement of income and their effect on net income. This section will focus on the most traditional source of revenue contributing to the profitability of the Company which is net interest income.</w:t>
      </w:r>
    </w:p>
    <w:p>
      <w:pPr>
        <w:spacing w:after="0" w:line="18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Net interest income is the difference between interest income earned on interest earning assets, such as loans and securities, and interest expense paid on interest bearing liabilities used to fund those assets, such as interest bearing deposits and other borrowings. Net interest income is affected by changes in both interest rates and the amount and composition of earning assets and liabilities. The change in net interest income is most often measured by two statistics – interest spread and net interest margin. The difference between the yields earned on earning assets and the rates paid for interest bearing liabilities represents the interest spread. The net interest margin is the difference of funds (interest expense) between the yield on earning assets and the cost as a percentage of earning assets. Because noninterest bearing sources of funds such as demand deposits and stockholders’ equity also support earning assets, the net interest margin exceeds the net interest spread.</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 mentioned previously, the largest factor of the record earnings for 2020 was the $6.2 million improvement in net interest income as compared to 2019. In 2019, net interest income increased $13.7 million as compared to 2018. Interest and fee income from loans were responsible for the improvement. Interest income from loans, including fees, increased $3.1 million in 2020 as compared to 2019. This was preceded by an increase in 2019 of $19.9 million as compared to 2018. The underlying factors for the reason of the increase differed between the two time periods. 2019 was aided by prime rate increases which drove the effective interest rates on the Bank’s variable loans over their floor rates. During the second half of 2019, the prime rate decreased 75 basis points in a 91-day time period which was followed by a decrease of 50 basis points on March 3</w:t>
      </w:r>
      <w:r>
        <w:rPr>
          <w:rFonts w:ascii="Arial" w:cs="Arial" w:eastAsia="Arial" w:hAnsi="Arial"/>
          <w:sz w:val="13"/>
          <w:szCs w:val="13"/>
          <w:color w:val="auto"/>
        </w:rPr>
        <w:t>rd</w:t>
      </w:r>
      <w:r>
        <w:rPr>
          <w:rFonts w:ascii="Arial" w:cs="Arial" w:eastAsia="Arial" w:hAnsi="Arial"/>
          <w:sz w:val="16"/>
          <w:szCs w:val="16"/>
          <w:color w:val="auto"/>
        </w:rPr>
        <w:t xml:space="preserve"> and a decrease of 100 basis points on March 15</w:t>
      </w:r>
      <w:r>
        <w:rPr>
          <w:rFonts w:ascii="Arial" w:cs="Arial" w:eastAsia="Arial" w:hAnsi="Arial"/>
          <w:sz w:val="13"/>
          <w:szCs w:val="13"/>
          <w:color w:val="auto"/>
        </w:rPr>
        <w:t>th.</w:t>
      </w:r>
      <w:r>
        <w:rPr>
          <w:rFonts w:ascii="Arial" w:cs="Arial" w:eastAsia="Arial" w:hAnsi="Arial"/>
          <w:sz w:val="16"/>
          <w:szCs w:val="16"/>
          <w:color w:val="auto"/>
        </w:rPr>
        <w:t xml:space="preserve"> In 2020, PPP loans generated $2.8 million in loan interest and fee income. 2019 loan interest income included $1.985 million for the reversal of a credit loss established for two commercial purchased credit-impaired loans that were paid off during the second quarter. In both 2020 and 2019, the volume of loan growth was the largest contributing factor to the improved profitability. Securities were sold or matured with the proceeds used to fund the loan growth. The security portfolio increased $47.1 million in average during 2020 as compared to 2019, and $1.6 million in average over 2018 average balances. Interest income from that balance sheet component increased $119 thousand over 2019 while 2019 increased $678 thousand over 2018. Overall, total interest income was $1.9 million higher for 2020 than 2019 and was $21.9 million higher for 2019 than 2018.</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Interest expense decreased from all interest bearing funding sources with the exception of federal funds purchased and securities sold under agreement to repurchase in 2020 over the time period of 2019. During 2019, interest expense increased in all interest bearing funding sources as compared to 2018. Overall, the funding goal the last three years has been to grow core deposits. Two strategies have been employed through the years, one of allowing expensive time deposits to run off until needed for funding and secondly to offer new non-interest bearing deposit products. Both of these strategies were to assist in controlling interest expense in a rising rate environment. Competition forced us to increase rates for deposits in 2019 while rates were lowered in 2020 in response to the prime rate drop of 150 basis points. Even with the interest rate decreases, average interest bearing deposits increased $158.6 million compared to 2019. During 2020, interest expense from deposits decreased by $4.3 million from 2019 and 2019 increased $7.0 million over 2018. The majority, approximately 137.5%, of the increased expense of 2020 was influenced by decreased rates rather than due to additional cost associated with deposit growth.</w:t>
      </w:r>
    </w:p>
    <w:p>
      <w:pPr>
        <w:spacing w:after="0" w:line="16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Total interest expense (which includes deposit, federal funds purchased, securities sold under agreement to repurchase, and borrowed funds) totaled $10.4, $14.8 and $6.6 million for 2020, 2019 and 2018 respectively. The decreased expense is approximately 134.2% attributable to the falling interest rate environment in 2020 as compared to 2019 and approximately the increased expense is 68.4% attributable to the rising interest rate environment in the 2019 to 2018 comparison. Borrowed fund balances increased in January of 2019, as a result of the acquisition of Bank of Geneva. 2015’s three year borrowing matured in December of 2018.</w:t>
      </w:r>
    </w:p>
    <w:p>
      <w:pPr>
        <w:spacing w:after="0" w:line="195" w:lineRule="exact"/>
        <w:rPr>
          <w:sz w:val="20"/>
          <w:szCs w:val="20"/>
          <w:color w:val="auto"/>
        </w:rPr>
      </w:pPr>
    </w:p>
    <w:p>
      <w:pPr>
        <w:jc w:val="both"/>
        <w:spacing w:after="0" w:line="362" w:lineRule="auto"/>
        <w:rPr>
          <w:sz w:val="20"/>
          <w:szCs w:val="20"/>
          <w:color w:val="auto"/>
        </w:rPr>
      </w:pPr>
      <w:r>
        <w:rPr>
          <w:rFonts w:ascii="Arial" w:cs="Arial" w:eastAsia="Arial" w:hAnsi="Arial"/>
          <w:sz w:val="15"/>
          <w:szCs w:val="15"/>
          <w:color w:val="auto"/>
        </w:rPr>
        <w:t>The success in improving net interest income confirmed that management’s long term strategy of repositioning the balance sheet and increasing loan balances was the correct approach. Funding loan growth with internal funds, whether from the liquidation of investment securities or core deposits, was a beneficial move.</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concludes the discussion by dollar amount of the improvement. Now the discussion moves on to the percentages and the change in the net interest margin and spread.</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Overall, we have seen a decrease in the net interest margin and spread from 2018 to 2020. Interest margin and spread decreased in 2020 as compared to 2019 with the lower asset yields only being partly offset by the decreased cost of funds.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29" w:name="page30"/>
    <w:bookmarkEnd w:id="29"/>
    <w:p>
      <w:pPr>
        <w:jc w:val="both"/>
        <w:spacing w:after="0" w:line="284" w:lineRule="auto"/>
        <w:rPr>
          <w:sz w:val="20"/>
          <w:szCs w:val="20"/>
          <w:color w:val="auto"/>
        </w:rPr>
      </w:pPr>
      <w:r>
        <w:rPr>
          <w:rFonts w:ascii="Arial" w:cs="Arial" w:eastAsia="Arial" w:hAnsi="Arial"/>
          <w:sz w:val="16"/>
          <w:szCs w:val="16"/>
          <w:color w:val="auto"/>
        </w:rPr>
        <w:t>Looking at the components behind the change in net interest margin for 2020 as compared to 2019, increased average balances in loans of $184.4 million stands out. The additional revenue of $3.1 million that those balances were responsible for was the largest contributor to the increased interest income of $1.9 million. In 2018 and 2019, loan revenue was positively impacted by the change in the interest rate. The majority of variable loans with floor rates attained the point where rate increases caused the rate to go above the floor. 2018 saw four additional rate hikes of 25 basis points while 2019 had three rate decreases of 25 basis points. As mentioned previously, March of 2020 had two rate decreases of 50 and 100 basis points. The large revenue gain in loan interest was aided by the increased earnings in securities of $678 thousand. The overall asset yield in 2020 decreased by 60 basis points over 2019.</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decreased interest expense in 2020 correlated to the lower rate environment which differed from 2019’s high rate environment in which competition for deposits forced higher interest rates. In the area where the strategic plan was to gather core deposits, the average balance in savings grew by $158.8 million during 2020 as compared to 2019’s average balance. The other average balance increase for core deposits was the change in non-interest bearing demand deposits. 2020’s average balance in this portfolio was $60.7 million higher than 2019’s average balance. Overall, cost of funds decreased 55 basis points for 2020 over 2019. The reason behind the decrease was largely due to rate decreases, not the volume increases.</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net interest margin for 2020 was 3.62% compared to 2019 which was 3.80%. The 0.18% decrease for 2020 was directly related to the decreased interest income which was greater than the decreased interest expense. Net interest spread was 3.38% for 2020 compared to 2019’s 3.43%, creating a 5 basis point difference in the spread. Loans as a percentage of earning assets was 79.3% while loans to total assets was 74.2% for 2020. The goal is, as always, to improve the net interest margin and spread and thereby improve profitability.</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comparing 2019 to 2018, loan volume was primarily responsible for the improvement in interest income as the yield on the overall loan portfolio increased 42 basis points during 2019. The only category of asset yield to decrease was the tax exempt investment securities. Overall, asset yield increased 39 basis points in 2019 as compared to 2018.</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net interest margin fell in 2019, ending 3 basis points below 2018. Asset yield increased 39 basis points while the cost of funds increased 56 basis points. The yields on the individual segments did cause the overall improvement as all increased with the exception of tax exempt securities. The improvement in the asset yield was primarily a result of the change in rate. In addition, loans as a percentage of earning assets increased to 79.9% in 2019 compared to 79.3% in 2018. Loans to total assets also increased to 75.3% for 2019 compared to 2018’s 74.8%. Overall yield improves when the balances of the highest yield asset increases, which is loans.</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 respect to the cost of funds, the Bank’s goal is to grow the least expensive category of funding sources. The largest average balance increase for 2019 was $169.1 million in savings deposits over 2018’s average balances. This growth was mostly responsible for the increase in funding expense of 56 basis points when comparing 2019 to 2018.</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will always prefer to see improvement in real dollars over percentages. The strategy for increasing core deposits, in order to mitigate the higher cost of funds and to continue to establish the opportunity for fee dollars from services provided, remains for 2021.</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Total assets of the Company increased overall as did the earning assets in both average and year-end during 2020 and 2019. This matched the movement in interest dollars. The percentage of average earning assets to total average assets reflects the best utilization of funds. For 2020, the percentage at 93.60% was only slightly lower than 2019 at 94.26%. The addition of new offices increased the non-earning assets with cash balances held at the new offices and also the investment in the capital assets of their building and furniture. One of the things that helped to improve the profitability of 2020 was the percentage of average loans to total assets. For 2020 the average balance of loans to total average assets was 74.21%, for 2019, 75.32%, for 2018, 74.77%. Loans are the highest yielding asset for the Company.</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Net interest spread is the difference between what the Company earns on its assets and what it pays on its liabilities. It is generally from this spread that the Company must fund its operations and generate profit. When the asset yield decreases so must funding costs in order to maintain profitability. It becomes increasingly challenging as the asset yield gets closer to the prime lending rate, or the break-even point, of operations. In a rising rate environment, the challenge is to hold the cost steady while allowing time for the asset portfolio to rise. Floors and ceilings on variable products also impact the level of increase in either scenario. The floors provide yield protection in the current lower rate environment while the rising rates will not benefit the asset yield until the spread plus prime is higher than the floor. The challenge is to increase the spread during renewals and on new loans. After the rate hikes in 2017 and 2018, the majority of the loans were now either equal to or over the floors which contributed to the increased asset yield in 2018 and 2019. With the rate decreases in 2019 and 2020, many loans reverted back to the floors.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0" w:name="page31"/>
    <w:bookmarkEnd w:id="30"/>
    <w:p>
      <w:pPr>
        <w:jc w:val="both"/>
        <w:spacing w:after="0" w:line="262" w:lineRule="auto"/>
        <w:rPr>
          <w:sz w:val="20"/>
          <w:szCs w:val="20"/>
          <w:color w:val="auto"/>
        </w:rPr>
      </w:pPr>
      <w:r>
        <w:rPr>
          <w:rFonts w:ascii="Arial" w:cs="Arial" w:eastAsia="Arial" w:hAnsi="Arial"/>
          <w:sz w:val="18"/>
          <w:szCs w:val="18"/>
          <w:color w:val="auto"/>
        </w:rPr>
        <w:t>In terms of interest expense, 2020’s decrease as compared to 2019 was approximately 134.2% due to the decrease in rates. 2019’s increase was due to an increase in rates as compared to 2018.</w:t>
      </w:r>
    </w:p>
    <w:p>
      <w:pPr>
        <w:spacing w:after="0" w:line="18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impact of the change in the portfolio mix was a factor in the liabilities as it was in the assets. In comparing to 2019, 2020 had movements as average balances increased in savings deposits, federal funds purchased, and securities sold to repurchase. Other borrowed money decreased as advances were paid down or matured. The advances were part of the acquisition of Bank of Geneva with the final advance maturing in 2028. Time deposits decreased $219 thousand as compared to 2019. In comparing to 2018, 2019 had increased average balances in all categories. Time deposits and saving deposits increased in interest expense for 2019 as compared to 2018. Fed Funds purchased and securities sold under agreement to repurchase only increased $41 thousand for 2019 and was mostly due to dollar value of advances.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following tables present net interest income, interest spread and net interest margin for the three years 2018 through 2020, comparing average outstanding balances of earning assets and interest bearing liabilities with the associated interest income and expense. The tables show the corresponding average rates of interest earned and paid. Average outstanding loan balances include non-performing loans and mortgage loans held for sale. Average outstanding security balances are computed based on carrying values including unrealized gains and losses on available-for-sale securities. The average cost of funds for 2020 was 0.87%, 55 basis points lower than 2019’s 1.42% for interest bearing liabilities.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yield on tax-exempt investment securities shown in the following charts were computed on a tax equivalent basis. The yield on loans has been tax adjusted for the portion of tax-exempt IDB loans included in the total. Total interest earning assets is therefore also reflecting a tax equivalent yield in both line items, also with the net interest spread and margin. The adjustments were based on a 21% tax rate for all years.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9"/>
        </w:trPr>
        <w:tc>
          <w:tcPr>
            <w:tcW w:w="1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color w:val="auto"/>
                <w:w w:val="92"/>
              </w:rPr>
              <w:t>Average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Interest/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color w:val="auto"/>
                <w:w w:val="95"/>
              </w:rPr>
              <w:t>Balance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Dividends</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Yield/Rate</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tcBorders>
              <w:top w:val="single" w:sz="8" w:color="CFF0FC"/>
            </w:tcBorders>
            <w:shd w:val="clear" w:color="auto" w:fill="CFF0FC"/>
          </w:tcPr>
          <w:p>
            <w:pPr>
              <w:ind w:left="220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1,313,675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65,317</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Taxable investment securities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219,044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4,136</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Tax-exempt investment securities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Federal funds sold &amp; other</w:t>
            </w: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99,304</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0.26%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 Interest Earning Assets</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1,656,981</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70,169</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4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Non-Interest Earning Assets:</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74,208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39,095</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1,770,284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tcBorders>
              <w:top w:val="single" w:sz="8" w:color="CFF0FC"/>
              <w:bottom w:val="single" w:sz="8" w:color="CFF0FC"/>
            </w:tcBorders>
            <w:vMerge w:val="restart"/>
          </w:tcPr>
          <w:p>
            <w:pPr>
              <w:ind w:left="640"/>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Bearing Liabilities: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Savings deposits</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879,669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3,942</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0.45%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time deposits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264,827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4,696</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Other borrowed money</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21,245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980</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4.61%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funds purchased and securities sold under</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agreement to repurchase</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32,363</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 Interest Bearing Liabilities</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1,198,104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10,393</w:t>
            </w:r>
          </w:p>
        </w:tc>
        <w:tc>
          <w:tcPr>
            <w:tcW w:w="220" w:type="dxa"/>
            <w:vAlign w:val="bottom"/>
          </w:tcPr>
          <w:p>
            <w:pPr>
              <w:spacing w:after="0"/>
              <w:rPr>
                <w:sz w:val="22"/>
                <w:szCs w:val="22"/>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0.87%</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490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b w:val="1"/>
                <w:bCs w:val="1"/>
                <w:color w:val="auto"/>
              </w:rPr>
              <w:t>Non-Interest Bearing Liabilities:</w:t>
            </w:r>
          </w:p>
        </w:tc>
        <w:tc>
          <w:tcPr>
            <w:tcW w:w="3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Non-interest bearing demand deposits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304,276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28,206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1,530,586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Shareholders' Equity</w:t>
            </w: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239,698</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 Liabilities and Shareholders' Equity</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1,770,284</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490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Interest/Dividend income/yield</w:t>
            </w:r>
          </w:p>
        </w:tc>
        <w:tc>
          <w:tcPr>
            <w:tcW w:w="3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70,169</w:t>
            </w:r>
          </w:p>
        </w:tc>
        <w:tc>
          <w:tcPr>
            <w:tcW w:w="220" w:type="dxa"/>
            <w:vAlign w:val="bottom"/>
            <w:tcBorders>
              <w:top w:val="single" w:sz="8" w:color="CFF0FC"/>
            </w:tcBorders>
            <w:shd w:val="clear" w:color="auto" w:fill="CFF0FC"/>
          </w:tcPr>
          <w:p>
            <w:pPr>
              <w:spacing w:after="0"/>
              <w:rPr>
                <w:sz w:val="17"/>
                <w:szCs w:val="17"/>
                <w:color w:val="auto"/>
              </w:rPr>
            </w:pPr>
          </w:p>
        </w:tc>
        <w:tc>
          <w:tcPr>
            <w:tcW w:w="1200" w:type="dxa"/>
            <w:vAlign w:val="bottom"/>
            <w:tcBorders>
              <w:top w:val="single" w:sz="8" w:color="CFF0FC"/>
            </w:tcBorders>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4.25%</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40" w:type="dxa"/>
            <w:vAlign w:val="bottom"/>
            <w:gridSpan w:val="2"/>
          </w:tcPr>
          <w:p>
            <w:pPr>
              <w:ind w:left="1140"/>
              <w:spacing w:after="0"/>
              <w:rPr>
                <w:sz w:val="20"/>
                <w:szCs w:val="20"/>
                <w:color w:val="auto"/>
              </w:rPr>
            </w:pPr>
            <w:r>
              <w:rPr>
                <w:rFonts w:ascii="Arial" w:cs="Arial" w:eastAsia="Arial" w:hAnsi="Arial"/>
                <w:sz w:val="18"/>
                <w:szCs w:val="18"/>
                <w:color w:val="auto"/>
              </w:rPr>
              <w:t>Interest Expense/cost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10,393</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0.87%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59,776</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4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Interest Margin</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3.62%</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ind w:left="554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60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40" w:type="dxa"/>
            <w:vAlign w:val="bottom"/>
            <w:tcBorders>
              <w:bottom w:val="single" w:sz="8" w:color="9A9A9A"/>
            </w:tcBorders>
          </w:tcPr>
          <w:p>
            <w:pPr>
              <w:spacing w:after="0"/>
              <w:rPr>
                <w:sz w:val="9"/>
                <w:szCs w:val="9"/>
                <w:color w:val="auto"/>
              </w:rPr>
            </w:pPr>
          </w:p>
        </w:tc>
        <w:tc>
          <w:tcPr>
            <w:tcW w:w="49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9"/>
        </w:trPr>
        <w:tc>
          <w:tcPr>
            <w:tcW w:w="1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jc w:val="right"/>
              <w:ind w:right="572"/>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Average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Interest/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Balance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Dividends</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Yield/Rate</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tcBorders>
              <w:top w:val="single" w:sz="8" w:color="CFF0FC"/>
            </w:tcBorders>
            <w:shd w:val="clear" w:color="auto" w:fill="CFF0FC"/>
          </w:tcPr>
          <w:p>
            <w:pPr>
              <w:ind w:left="220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1,129,231</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62,213</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Taxable investment securities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163,777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3,832</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Tax-exempt investment securities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Federal funds sold &amp; other</w:t>
            </w: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86,971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1.86%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 Interest Earning Assets</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1,413,091</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68,306</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4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Non-Interest Earning Assets:</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42,304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1,499,210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tcBorders>
              <w:top w:val="single" w:sz="8" w:color="CFF0FC"/>
              <w:bottom w:val="single" w:sz="8" w:color="CFF0FC"/>
            </w:tcBorders>
            <w:vMerge w:val="restart"/>
          </w:tcPr>
          <w:p>
            <w:pPr>
              <w:ind w:left="640"/>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Bearing Liabilities: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Savings deposits</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720,879</w:t>
            </w:r>
          </w:p>
        </w:tc>
        <w:tc>
          <w:tcPr>
            <w:tcW w:w="14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7,323</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time deposits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265,046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5,619</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Other borrowed money</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1,083</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4.24%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funds purchased and securities sold under</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agreement to repurchase</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 Interest Bearing Liabilities</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1,041,322</w:t>
            </w:r>
          </w:p>
        </w:tc>
        <w:tc>
          <w:tcPr>
            <w:tcW w:w="140" w:type="dxa"/>
            <w:vAlign w:val="bottom"/>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14,759</w:t>
            </w:r>
          </w:p>
        </w:tc>
        <w:tc>
          <w:tcPr>
            <w:tcW w:w="220" w:type="dxa"/>
            <w:vAlign w:val="bottom"/>
          </w:tcPr>
          <w:p>
            <w:pPr>
              <w:spacing w:after="0"/>
              <w:rPr>
                <w:sz w:val="22"/>
                <w:szCs w:val="22"/>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490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b w:val="1"/>
                <w:bCs w:val="1"/>
                <w:color w:val="auto"/>
              </w:rPr>
              <w:t>Non-Interest Bearing Liabilities:</w:t>
            </w:r>
          </w:p>
        </w:tc>
        <w:tc>
          <w:tcPr>
            <w:tcW w:w="3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Non-interest bearing demand deposits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243,551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(8,541)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1,276,332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Shareholders' Equity</w:t>
            </w: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222,878</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 Liabilities and Shareholders' Equity</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1,499,210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490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Interest/Dividend income/yield</w:t>
            </w:r>
          </w:p>
        </w:tc>
        <w:tc>
          <w:tcPr>
            <w:tcW w:w="3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68,306</w:t>
            </w:r>
          </w:p>
        </w:tc>
        <w:tc>
          <w:tcPr>
            <w:tcW w:w="220" w:type="dxa"/>
            <w:vAlign w:val="bottom"/>
            <w:tcBorders>
              <w:top w:val="single" w:sz="8" w:color="CFF0FC"/>
            </w:tcBorders>
            <w:shd w:val="clear" w:color="auto" w:fill="CFF0FC"/>
          </w:tcPr>
          <w:p>
            <w:pPr>
              <w:spacing w:after="0"/>
              <w:rPr>
                <w:sz w:val="17"/>
                <w:szCs w:val="17"/>
                <w:color w:val="auto"/>
              </w:rPr>
            </w:pPr>
          </w:p>
        </w:tc>
        <w:tc>
          <w:tcPr>
            <w:tcW w:w="1200" w:type="dxa"/>
            <w:vAlign w:val="bottom"/>
            <w:tcBorders>
              <w:top w:val="single" w:sz="8" w:color="CFF0FC"/>
            </w:tcBorders>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4.85%</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40" w:type="dxa"/>
            <w:vAlign w:val="bottom"/>
            <w:gridSpan w:val="2"/>
          </w:tcPr>
          <w:p>
            <w:pPr>
              <w:ind w:left="1140"/>
              <w:spacing w:after="0"/>
              <w:rPr>
                <w:sz w:val="20"/>
                <w:szCs w:val="20"/>
                <w:color w:val="auto"/>
              </w:rPr>
            </w:pPr>
            <w:r>
              <w:rPr>
                <w:rFonts w:ascii="Arial" w:cs="Arial" w:eastAsia="Arial" w:hAnsi="Arial"/>
                <w:sz w:val="18"/>
                <w:szCs w:val="18"/>
                <w:color w:val="auto"/>
              </w:rPr>
              <w:t>Interest Expense/cost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14,759</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53,547</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4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Interest Margin</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3.80%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ind w:left="554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60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40" w:type="dxa"/>
            <w:vAlign w:val="bottom"/>
            <w:tcBorders>
              <w:bottom w:val="single" w:sz="8" w:color="9A9A9A"/>
            </w:tcBorders>
          </w:tcPr>
          <w:p>
            <w:pPr>
              <w:spacing w:after="0"/>
              <w:rPr>
                <w:sz w:val="9"/>
                <w:szCs w:val="9"/>
                <w:color w:val="auto"/>
              </w:rPr>
            </w:pPr>
          </w:p>
        </w:tc>
        <w:tc>
          <w:tcPr>
            <w:tcW w:w="49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9"/>
        </w:trPr>
        <w:tc>
          <w:tcPr>
            <w:tcW w:w="1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color w:val="auto"/>
                <w:w w:val="92"/>
              </w:rPr>
              <w:t>Average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Interest/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color w:val="auto"/>
                <w:w w:val="95"/>
              </w:rPr>
              <w:t>Balance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Dividends</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Yield/Rate</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tcBorders>
              <w:top w:val="single" w:sz="8" w:color="CFF0FC"/>
            </w:tcBorders>
            <w:shd w:val="clear" w:color="auto" w:fill="CFF0FC"/>
          </w:tcPr>
          <w:p>
            <w:pPr>
              <w:ind w:left="220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831,614</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42,303</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Taxable investment securities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147,186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2,863</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Tax-exempt investment securities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48,059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Federal funds sold &amp; interest bearing deposits</w:t>
            </w: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21,218</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1.57%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 Interest Earning Assets</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1,048,077</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46,429</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4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Non-Interest Earning Assets:</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35,486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1,112,213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tcBorders>
              <w:top w:val="single" w:sz="8" w:color="CFF0FC"/>
              <w:bottom w:val="single" w:sz="8" w:color="CFF0FC"/>
            </w:tcBorders>
            <w:vMerge w:val="restart"/>
          </w:tcPr>
          <w:p>
            <w:pPr>
              <w:ind w:left="640"/>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Bearing Liabilities: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Savings deposits</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551,746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3,453</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0.63%</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time deposits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183,512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2,536</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Other borrowed money</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funds purchased and securities sold under</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agreement to repurchase</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 Interest Bearing Liabilities</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766,456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6,572</w:t>
            </w:r>
          </w:p>
        </w:tc>
        <w:tc>
          <w:tcPr>
            <w:tcW w:w="220" w:type="dxa"/>
            <w:vAlign w:val="bottom"/>
          </w:tcPr>
          <w:p>
            <w:pPr>
              <w:spacing w:after="0"/>
              <w:rPr>
                <w:sz w:val="22"/>
                <w:szCs w:val="22"/>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0.86%</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490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b w:val="1"/>
                <w:bCs w:val="1"/>
                <w:color w:val="auto"/>
              </w:rPr>
              <w:t>Non-Interest Bearing Liabilities:</w:t>
            </w:r>
          </w:p>
        </w:tc>
        <w:tc>
          <w:tcPr>
            <w:tcW w:w="3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Non-interest bearing demand deposits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194,548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13,570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974,574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Shareholders' Equity</w:t>
            </w: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137,639</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 Liabilities and Shareholders' Equity</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1,112,213</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490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Interest/Dividend income/yield</w:t>
            </w:r>
          </w:p>
        </w:tc>
        <w:tc>
          <w:tcPr>
            <w:tcW w:w="3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46,429</w:t>
            </w:r>
          </w:p>
        </w:tc>
        <w:tc>
          <w:tcPr>
            <w:tcW w:w="220" w:type="dxa"/>
            <w:vAlign w:val="bottom"/>
            <w:tcBorders>
              <w:top w:val="single" w:sz="8" w:color="CFF0FC"/>
            </w:tcBorders>
            <w:shd w:val="clear" w:color="auto" w:fill="CFF0FC"/>
          </w:tcPr>
          <w:p>
            <w:pPr>
              <w:spacing w:after="0"/>
              <w:rPr>
                <w:sz w:val="17"/>
                <w:szCs w:val="17"/>
                <w:color w:val="auto"/>
              </w:rPr>
            </w:pPr>
          </w:p>
        </w:tc>
        <w:tc>
          <w:tcPr>
            <w:tcW w:w="1200" w:type="dxa"/>
            <w:vAlign w:val="bottom"/>
            <w:tcBorders>
              <w:top w:val="single" w:sz="8" w:color="CFF0FC"/>
            </w:tcBorders>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4.46%</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40" w:type="dxa"/>
            <w:vAlign w:val="bottom"/>
            <w:gridSpan w:val="2"/>
          </w:tcPr>
          <w:p>
            <w:pPr>
              <w:ind w:left="1140"/>
              <w:spacing w:after="0"/>
              <w:rPr>
                <w:sz w:val="20"/>
                <w:szCs w:val="20"/>
                <w:color w:val="auto"/>
              </w:rPr>
            </w:pPr>
            <w:r>
              <w:rPr>
                <w:rFonts w:ascii="Arial" w:cs="Arial" w:eastAsia="Arial" w:hAnsi="Arial"/>
                <w:sz w:val="18"/>
                <w:szCs w:val="18"/>
                <w:color w:val="auto"/>
              </w:rPr>
              <w:t>Interest Expense/cost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6,572</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0.86%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39,857</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4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Interest Margin</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3.83%</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ind w:left="554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60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40" w:type="dxa"/>
            <w:vAlign w:val="bottom"/>
            <w:tcBorders>
              <w:bottom w:val="single" w:sz="8" w:color="9A9A9A"/>
            </w:tcBorders>
          </w:tcPr>
          <w:p>
            <w:pPr>
              <w:spacing w:after="0"/>
              <w:rPr>
                <w:sz w:val="9"/>
                <w:szCs w:val="9"/>
                <w:color w:val="auto"/>
              </w:rPr>
            </w:pPr>
          </w:p>
        </w:tc>
        <w:tc>
          <w:tcPr>
            <w:tcW w:w="49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4" w:name="page35"/>
    <w:bookmarkEnd w:id="34"/>
    <w:p>
      <w:pPr>
        <w:jc w:val="both"/>
        <w:spacing w:after="0" w:line="262" w:lineRule="auto"/>
        <w:rPr>
          <w:sz w:val="20"/>
          <w:szCs w:val="20"/>
          <w:color w:val="auto"/>
        </w:rPr>
      </w:pPr>
      <w:r>
        <w:rPr>
          <w:rFonts w:ascii="Arial" w:cs="Arial" w:eastAsia="Arial" w:hAnsi="Arial"/>
          <w:sz w:val="18"/>
          <w:szCs w:val="18"/>
          <w:color w:val="auto"/>
        </w:rPr>
        <w:t>The following tables show changes in interest income, interest expense and net interest resulting from changes in volume and rate variances for major categories of earnings assets and interest bearing liabilities.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8"/>
              </w:rPr>
              <w:t>2020 vs 2019</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99"/>
              </w:rPr>
              <w:t>(In Thousands)</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Net</w:t>
            </w:r>
          </w:p>
        </w:tc>
        <w:tc>
          <w:tcPr>
            <w:tcW w:w="1280" w:type="dxa"/>
            <w:vAlign w:val="bottom"/>
            <w:gridSpan w:val="4"/>
          </w:tcPr>
          <w:p>
            <w:pPr>
              <w:ind w:left="80"/>
              <w:spacing w:after="0"/>
              <w:rPr>
                <w:sz w:val="20"/>
                <w:szCs w:val="20"/>
                <w:color w:val="auto"/>
              </w:rPr>
            </w:pPr>
            <w:r>
              <w:rPr>
                <w:rFonts w:ascii="Arial" w:cs="Arial" w:eastAsia="Arial" w:hAnsi="Arial"/>
                <w:sz w:val="18"/>
                <w:szCs w:val="18"/>
                <w:color w:val="auto"/>
                <w:w w:val="97"/>
              </w:rPr>
              <w:t>Change Due to</w:t>
            </w:r>
          </w:p>
        </w:tc>
        <w:tc>
          <w:tcPr>
            <w:tcW w:w="1220" w:type="dxa"/>
            <w:vAlign w:val="bottom"/>
            <w:gridSpan w:val="4"/>
          </w:tcPr>
          <w:p>
            <w:pPr>
              <w:ind w:left="80"/>
              <w:spacing w:after="0"/>
              <w:rPr>
                <w:sz w:val="20"/>
                <w:szCs w:val="20"/>
                <w:color w:val="auto"/>
              </w:rPr>
            </w:pPr>
            <w:r>
              <w:rPr>
                <w:rFonts w:ascii="Arial" w:cs="Arial" w:eastAsia="Arial" w:hAnsi="Arial"/>
                <w:sz w:val="18"/>
                <w:szCs w:val="18"/>
                <w:color w:val="auto"/>
                <w:w w:val="92"/>
              </w:rPr>
              <w:t>Change Due to</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2"/>
              </w:rPr>
              <w:t>Change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Volume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Rate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Interest Earning Assets:</w:t>
            </w:r>
          </w:p>
        </w:tc>
        <w:tc>
          <w:tcPr>
            <w:tcW w:w="9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Loans</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3,104</w:t>
            </w:r>
          </w:p>
        </w:tc>
        <w:tc>
          <w:tcPr>
            <w:tcW w:w="14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10,169</w:t>
            </w:r>
          </w:p>
        </w:tc>
        <w:tc>
          <w:tcPr>
            <w:tcW w:w="140" w:type="dxa"/>
            <w:vAlign w:val="bottom"/>
          </w:tcPr>
          <w:p>
            <w:pPr>
              <w:spacing w:after="0"/>
              <w:rPr>
                <w:sz w:val="19"/>
                <w:szCs w:val="19"/>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(7,065)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Taxable investment securities</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Tax-exempt investment securities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Federal funds sold &amp; other</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(1,360)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Total Interest Earning Assets</w:t>
            </w: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340" w:type="dxa"/>
            <w:vAlign w:val="bottom"/>
            <w:vMerge w:val="continue"/>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1,863</w:t>
            </w:r>
          </w:p>
        </w:tc>
        <w:tc>
          <w:tcPr>
            <w:tcW w:w="140" w:type="dxa"/>
            <w:vAlign w:val="bottom"/>
          </w:tcPr>
          <w:p>
            <w:pPr>
              <w:spacing w:after="0"/>
              <w:rPr>
                <w:sz w:val="22"/>
                <w:szCs w:val="22"/>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11,493</w:t>
            </w:r>
          </w:p>
        </w:tc>
        <w:tc>
          <w:tcPr>
            <w:tcW w:w="140" w:type="dxa"/>
            <w:vAlign w:val="bottom"/>
          </w:tcPr>
          <w:p>
            <w:pPr>
              <w:spacing w:after="0"/>
              <w:rPr>
                <w:sz w:val="22"/>
                <w:szCs w:val="22"/>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(9,630)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34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Interest Bearing Liabilities: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Savings deposits</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(3,381)</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Other time deposits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borrowed money</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Federal funds purchased and securities sold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under agreement to repurchase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Interest Bearing Liabilities</w:t>
            </w:r>
          </w:p>
        </w:tc>
        <w:tc>
          <w:tcPr>
            <w:tcW w:w="9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vMerge w:val="continue"/>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(4,366)</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8"/>
              </w:rPr>
              <w:t>2019 vs 2018</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99"/>
              </w:rPr>
              <w:t>(In Thousands)</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Net</w:t>
            </w:r>
          </w:p>
        </w:tc>
        <w:tc>
          <w:tcPr>
            <w:tcW w:w="1280" w:type="dxa"/>
            <w:vAlign w:val="bottom"/>
            <w:gridSpan w:val="4"/>
          </w:tcPr>
          <w:p>
            <w:pPr>
              <w:ind w:left="80"/>
              <w:spacing w:after="0"/>
              <w:rPr>
                <w:sz w:val="20"/>
                <w:szCs w:val="20"/>
                <w:color w:val="auto"/>
              </w:rPr>
            </w:pPr>
            <w:r>
              <w:rPr>
                <w:rFonts w:ascii="Arial" w:cs="Arial" w:eastAsia="Arial" w:hAnsi="Arial"/>
                <w:sz w:val="18"/>
                <w:szCs w:val="18"/>
                <w:color w:val="auto"/>
                <w:w w:val="97"/>
              </w:rPr>
              <w:t>Change Due to</w:t>
            </w:r>
          </w:p>
        </w:tc>
        <w:tc>
          <w:tcPr>
            <w:tcW w:w="1220" w:type="dxa"/>
            <w:vAlign w:val="bottom"/>
            <w:gridSpan w:val="4"/>
          </w:tcPr>
          <w:p>
            <w:pPr>
              <w:ind w:left="80"/>
              <w:spacing w:after="0"/>
              <w:rPr>
                <w:sz w:val="20"/>
                <w:szCs w:val="20"/>
                <w:color w:val="auto"/>
              </w:rPr>
            </w:pPr>
            <w:r>
              <w:rPr>
                <w:rFonts w:ascii="Arial" w:cs="Arial" w:eastAsia="Arial" w:hAnsi="Arial"/>
                <w:sz w:val="18"/>
                <w:szCs w:val="18"/>
                <w:color w:val="auto"/>
                <w:w w:val="92"/>
              </w:rPr>
              <w:t>Change Due to</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2"/>
              </w:rPr>
              <w:t>Change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Volume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Rate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Interest Earning Assets:</w:t>
            </w:r>
          </w:p>
        </w:tc>
        <w:tc>
          <w:tcPr>
            <w:tcW w:w="9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Loans</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19,910</w:t>
            </w:r>
          </w:p>
        </w:tc>
        <w:tc>
          <w:tcPr>
            <w:tcW w:w="14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15,151</w:t>
            </w:r>
          </w:p>
        </w:tc>
        <w:tc>
          <w:tcPr>
            <w:tcW w:w="140" w:type="dxa"/>
            <w:vAlign w:val="bottom"/>
          </w:tcPr>
          <w:p>
            <w:pPr>
              <w:spacing w:after="0"/>
              <w:rPr>
                <w:sz w:val="19"/>
                <w:szCs w:val="19"/>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Taxable investment securities</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Tax-exempt investment securities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Federal funds sold &amp; interest bearing deposits</w:t>
            </w:r>
          </w:p>
        </w:tc>
        <w:tc>
          <w:tcPr>
            <w:tcW w:w="9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40" w:type="dxa"/>
            <w:vAlign w:val="bottom"/>
          </w:tcPr>
          <w:p>
            <w:pPr>
              <w:ind w:left="220"/>
              <w:spacing w:after="0"/>
              <w:rPr>
                <w:sz w:val="20"/>
                <w:szCs w:val="20"/>
                <w:color w:val="auto"/>
              </w:rPr>
            </w:pPr>
            <w:r>
              <w:rPr>
                <w:rFonts w:ascii="Arial" w:cs="Arial" w:eastAsia="Arial" w:hAnsi="Arial"/>
                <w:sz w:val="18"/>
                <w:szCs w:val="18"/>
                <w:b w:val="1"/>
                <w:bCs w:val="1"/>
                <w:color w:val="auto"/>
              </w:rPr>
              <w:t>Total Interest Earning Assets</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21,877</w:t>
            </w:r>
          </w:p>
        </w:tc>
        <w:tc>
          <w:tcPr>
            <w:tcW w:w="140" w:type="dxa"/>
            <w:vAlign w:val="bottom"/>
          </w:tcPr>
          <w:p>
            <w:pPr>
              <w:spacing w:after="0"/>
              <w:rPr>
                <w:sz w:val="22"/>
                <w:szCs w:val="22"/>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16,140</w:t>
            </w:r>
          </w:p>
        </w:tc>
        <w:tc>
          <w:tcPr>
            <w:tcW w:w="140" w:type="dxa"/>
            <w:vAlign w:val="bottom"/>
          </w:tcPr>
          <w:p>
            <w:pPr>
              <w:spacing w:after="0"/>
              <w:rPr>
                <w:sz w:val="22"/>
                <w:szCs w:val="22"/>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5,737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34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Interest Bearing Liabilities: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Savings deposits</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3,870</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Other time deposits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borrowed money</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Federal funds purchased and securities sold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FF0FC"/>
            </w:tcBorders>
          </w:tcPr>
          <w:p>
            <w:pPr>
              <w:ind w:left="340"/>
              <w:spacing w:after="0"/>
              <w:rPr>
                <w:sz w:val="20"/>
                <w:szCs w:val="20"/>
                <w:color w:val="auto"/>
              </w:rPr>
            </w:pPr>
            <w:r>
              <w:rPr>
                <w:rFonts w:ascii="Arial" w:cs="Arial" w:eastAsia="Arial" w:hAnsi="Arial"/>
                <w:sz w:val="18"/>
                <w:szCs w:val="18"/>
                <w:color w:val="auto"/>
              </w:rPr>
              <w:t>under agreement to repurchase</w:t>
            </w:r>
          </w:p>
        </w:tc>
        <w:tc>
          <w:tcPr>
            <w:tcW w:w="9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Interest Bearing Liabilities</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8,187</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2,587</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Income</w:t>
      </w:r>
    </w:p>
    <w:p>
      <w:pPr>
        <w:spacing w:after="0" w:line="221" w:lineRule="exact"/>
        <w:rPr>
          <w:sz w:val="20"/>
          <w:szCs w:val="20"/>
          <w:color w:val="auto"/>
        </w:rPr>
      </w:pPr>
    </w:p>
    <w:p>
      <w:pPr>
        <w:jc w:val="both"/>
        <w:ind w:right="20"/>
        <w:spacing w:after="0" w:line="362" w:lineRule="auto"/>
        <w:rPr>
          <w:sz w:val="20"/>
          <w:szCs w:val="20"/>
          <w:color w:val="auto"/>
        </w:rPr>
      </w:pPr>
      <w:r>
        <w:rPr>
          <w:rFonts w:ascii="Arial" w:cs="Arial" w:eastAsia="Arial" w:hAnsi="Arial"/>
          <w:sz w:val="15"/>
          <w:szCs w:val="15"/>
          <w:color w:val="auto"/>
        </w:rPr>
        <w:t>The discussion now focuses on the non-interest income and expense generated from the Company for the years ended 2018 through 2020. Non-interest income increased in total for 2020 as compared to 2019, ending at $16.8 million. 2019 had non-interest income of $11.8 million which exceeded 2018’s $10.9 million.</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one line item of non-interest income on the consolidated income statement for 2020 which improved over both 2019 and 2018 was customer service fee revenue. 2020 customer service fee revenue was $2.2 million higher than 2019 while 2019 was $791.0 thousand higher than 2018, mainly due to increased mortgage servicing rights income, debit card income and mortgage release fees. 2020 included a one-time $430 thousand gain on the settlement of a bank owned life insurance contract. Other service charges and fees decreased $841.3 thousand from 2019 which increased $261.9 thousand over 2018’s $4.2 million. The majority of the decrease for 2020 and the increase for 2019 was attributed to overdraft, returned check charges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jc w:val="both"/>
        <w:spacing w:after="0" w:line="262" w:lineRule="auto"/>
        <w:rPr>
          <w:sz w:val="20"/>
          <w:szCs w:val="20"/>
          <w:color w:val="auto"/>
        </w:rPr>
      </w:pPr>
      <w:r>
        <w:rPr>
          <w:rFonts w:ascii="Arial" w:cs="Arial" w:eastAsia="Arial" w:hAnsi="Arial"/>
          <w:sz w:val="18"/>
          <w:szCs w:val="18"/>
          <w:color w:val="auto"/>
        </w:rPr>
        <w:t>recurring overdraft fees from combined business accounts and consumer accounts. Upgrades to our digital products and services continue to occur in both retail and business lines.</w:t>
      </w:r>
    </w:p>
    <w:p>
      <w:pPr>
        <w:spacing w:after="0" w:line="18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Bank has long promoted the use of debit cards by its customers and continues to build on that philosophy with the introduction of new products. During 2020 the Bank collected interchange revenue, combined with fees collected on foreign ATM usage (noncustomers utilizing our ATMs), of $3.9 million which was $518.2 thousand higher than 2019 and $465.5 thousand higher than 2018. In December of 2019, the Bank became a principal with MasterCard and received a $1.75 million signing bonus. The signing bonus is based on achieving $1.1 billion in signature transactions within the next five years. The bonus is being recognized over 60 months with $350.8 thousand included in 2020’s $3.9 million. While this revenue stream continues to improve with more depositors using electronic methods for purchasing, the expense attributable to card fraud has offset a portion of the revenue gain. Further discussion can be found in the non-interest section regarding the net effect of debit card activity.</w:t>
      </w:r>
    </w:p>
    <w:p>
      <w:pPr>
        <w:spacing w:after="0" w:line="1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Noninterest income from net gain on sales of loans was the highest in 2020 of the three year periods shown. The change was related to the decrease in rates after a couple of years of a rising interest rate environment. The net gain on sale of loans is derived from sales of real estate loans into the secondary market. Of these loan types, the Bank sells 100% of the residential loans and 90% of the agricultural loans. 65.2% of the gains were attributed to the residential loans in 2020, 56.0% in 2019 and 66.5% in 2018. In conjunction with these sales, the Bank maintains servicing rights and those income amounts during all three years are included in the customer service fee income line item and accounted for $1.7 million in 2020, $731.4 thousand in 2019 and $449.1 thousand in revenue for 2018.</w:t>
      </w:r>
    </w:p>
    <w:p>
      <w:pPr>
        <w:spacing w:after="0" w:line="197"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The last item in the non-interest income section is the net gain of sale of investments. The Bank has sold securities over the last three years for two main purposes: to provide funds for loan growth and to take advantage of the position of the yield curve when a gain can be recognized on sales without extending the duration of the portfolio longer than wanted. In February of 2020, the Bank did complete security swap transactions that resulted in a gain of $270 thousand. 2019 and 2018 had limited sales for gain recognition due to the flatness of the yield curve which began to occur in second half of 2017. The Bank will not increase short-term gains at the sacrifice of long-term profitability. The available for sale security portfolio switched from an unrealized loss position in 2018 into an unrealized gain position in 2019. The Bank recognized net losses of $26.3 thousand in 2019 and net gains of $9.8 thousand in 2018. The Company also recognized a gain on sale of securities from the holding company of $0.4 thousand in 2019 while proceeds from 2018 were used to provide cash for the acquisition with the losses totaling $19.2 thousand. The net effect of the consolidated number is what shows on the line item of net loss of $26 thousand for 2019 and $9 thousand for 2018.</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Noninterest expense increased 7.0% in 2020 as compared to 2019 and was preceded by a 29.0% increase in 2019 as compared to 2018. Represented in dollars, 2020 was $2.9 million higher than 2019 and 2019 was $9.3 million higher than 2018. The largest factor behind the increase in both years was the expense of employee salaries and wages. During 2020, an additional $2.2 million was spent over 2019 which correlates to an 13.2% increase. When making the same analysis for 2019 as compared to 2018, 2019’s costs increased $2.6 million or 18.7%. Three main components flow into salaries and wages: base salary, deferred costs, and incentives composed of the expense of restricted stock awards and performance incentives. Base pay increased in 2020 with the creation of pay grades and a minimum living wage of $26,000 or $12.50 per hour. 2019 increased with the addition of the six offices acquired from Bank of Geneva. Normal yearly increases to the employees would be included in all years. Base pay was up $2.9 million for 2020 over the previous year and 2019 was up $3.2 million over 2018. The full time equivalent number of employees at each year-end increased to 367 for 2020, to 357 for 2019 compared to 2018’s 288. The Company had also chosen to invest a portion of the tax savings dollars of 2018 to increase the base pay of our lowest paid employees.</w:t>
      </w:r>
    </w:p>
    <w:p>
      <w:pPr>
        <w:spacing w:after="0" w:line="16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Incentive pay as it related to performance was up $194.0 thousand in 2020 over 2019 and down $386.3 thousand in 2019 over 2018. The Return on Assets multiple used to award incentive pay dropped in 2020 and 2019 to 1.0 compared to 2018’s 1.367. The effect of acquisition costs and fair value accretions/amortizations were removed in 2019 and 2018 for the calculation. The measurements used for award incentive pay had improved in 2018 and employees benefited accordingly. The target measurements used for 2018 were increased to negate the paying of incentive for the benefit of the lower tax rate. The expense for the restricted stock awards decreased in 2020 as less shares have been granted to a slightly smaller number of employees and the market value of the shares has decreased. The market value of the Company’s stock increased significantly with the listing on NASDAQ and being included in the Russell 3000 Index during the second quarter of 2017. 718 less shares were awarded in 2020 with a lower value as compared to 2019; therefore, the expense for 2020 was lower by $63.9 thousand which included accelerated expense due to retirement and other of $163.4 thousand as compared to 2019. 5,100 additional restricted shares were awarded in 2019 as compared to 2018 with the value of these awards much lower. 2019’s cost for this program was $342.8 thousand higher than 2018 which included expense due to retirement of $244.7 thousand. The awards incorporate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6" w:name="page37"/>
    <w:bookmarkEnd w:id="36"/>
    <w:p>
      <w:pPr>
        <w:jc w:val="both"/>
        <w:spacing w:after="0" w:line="253" w:lineRule="auto"/>
        <w:rPr>
          <w:sz w:val="20"/>
          <w:szCs w:val="20"/>
          <w:color w:val="auto"/>
        </w:rPr>
      </w:pPr>
      <w:r>
        <w:rPr>
          <w:rFonts w:ascii="Arial" w:cs="Arial" w:eastAsia="Arial" w:hAnsi="Arial"/>
          <w:sz w:val="18"/>
          <w:szCs w:val="18"/>
          <w:color w:val="auto"/>
        </w:rPr>
        <w:t>a three year vesting period so the increase of any one year carries forward through the next two years. This expense should continue to increase as the Company continues its expansion strategy. For further discussion in incentive pay and restricted stock awards, see Note 11 of the consolidated financial statements.</w:t>
      </w:r>
    </w:p>
    <w:p>
      <w:pPr>
        <w:spacing w:after="0" w:line="18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Along with the salary and wage increase was a slight increase in employee benefits in 2020 as compared to 2019. Employee group insurance accounted for the largest portion of the cost, which was an increase of $441.6 thousand over 2019. This was due to an increase in the cost to provide to a larger number of employees along with a higher level of medical claims. The cost of the 401-K retirement plan decreased $185.1 thousand for 2020 as compared to 2019. The contribution portion relating to the discretionary profit-sharing percentage was 4.6% in 2020 compared to 5.25% for 2019. Workers compensation decreased $173.1 thousand compared to 2019 with the bureau issuing three dividend checks totaling $185.9 thousand. Overall, employee benefits increased $43.0 thousand or 0.8% from 2019.</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Along with the salary and wage increase was an increase in employee benefits in 2019 as compared to 2018. Employee group insurance accounted for the largest portion of the cost, which was an increase of $775.6 thousand over 2018. This was due to an increase in the cost to provide to a larger number of employees along with a higher level of medical claims. The cost of the 401-K retirement plan also increased $198.3 thousand for 2019 as compared to 2018. Overall, employee benefits increased $1.4 million or 35.1% from 2018.</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Net occupancy expense typically increases as the Company expands, which is what has occurred for 2018 through 2019; however, a decrease occurred for 2020. One factor that can offset occupancy expense is the receipt by the Company of building rent as it is netted out of occupancy expense. The greatest contributor to building rent comes from the division of FM Investments within the Bank. This division experienced a stronger 2020 than 2019; however weaker than 2018. The department was short staffed most of 2020 through 2018. For 2020, building rent as generated from FM Investments was higher by $24.8 thousand. Rent is received in lieu of commissions. This increase of revenue in addition to decreased automobile expenses of $64.2 thousand and building repair and maintenance expenses of $69.7 thousand contributed to the decreased net occupancy expense of $46.0 thousand for 2020 as compared to 2019. Building rent as generated by FM Investments was lower by $60.6 thousand in 2019 contributing to the overall increase to net occupancy to $560.0 thousand in 2019 as compared to 2018.</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1-4 family mortgage refinancing activity saw a tremendous increase in 2020 with the decline in interest rates. 2020 accounted for the largest number of loans being closed in the Bank’s history. A correlating expense to that activity as it relates to loans sold to the secondary market, is the amortization of mortgage servicing rights. The amortization is the expense that offsets the income recognized when the loan is first made. Income is recorded when the mortgage loan is first sold with servicing retained and is therefore recognized within one year. The amortization, however, is calculated over the life of the loan and accelerated as loans are paid off early. An increase in this expense can be driven by two activities: an increase in the number of sold loans and/or by the acceleration of the expense from payoff and refinance activity. The best picture of the bottom line impact is achieved by netting the income with the expense each year. The net income for 2020 was $691 thousand; 2019 had net income of $244 thousand and was preceded by net income of $86 thousand for 2018. Of course, the value (or income) of the mortgage servicing right when the loans are sold also impacts the net position. As of December 31, 2020, 4,034 loans are being serviced with corresponding balances of $377.5 million. 2019 had 3,691 loans serviced with corresponding balances of $303.9 million. As of December 2018, 3,588 loans were being serviced with balances of $289.2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impact of mortgage servicing rights to both noninterest income and expense is shown in the following table:</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3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w w:val="89"/>
              </w:rPr>
              <w:t>(In Thousands)</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3380" w:type="dxa"/>
            <w:vAlign w:val="bottom"/>
            <w:tcBorders>
              <w:bottom w:val="single" w:sz="8" w:color="CFF0FC"/>
            </w:tcBorders>
          </w:tcPr>
          <w:p>
            <w:pPr>
              <w:spacing w:after="0"/>
              <w:rPr>
                <w:sz w:val="18"/>
                <w:szCs w:val="18"/>
                <w:color w:val="auto"/>
              </w:rPr>
            </w:pPr>
          </w:p>
        </w:tc>
        <w:tc>
          <w:tcPr>
            <w:tcW w:w="16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FF0FC"/>
            </w:tcBorders>
          </w:tcPr>
          <w:p>
            <w:pPr>
              <w:spacing w:after="0"/>
              <w:rPr>
                <w:sz w:val="18"/>
                <w:szCs w:val="18"/>
                <w:color w:val="auto"/>
              </w:rPr>
            </w:pPr>
          </w:p>
        </w:tc>
      </w:tr>
      <w:tr>
        <w:trPr>
          <w:trHeight w:val="217"/>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Beginning of Year</w:t>
            </w:r>
          </w:p>
        </w:tc>
        <w:tc>
          <w:tcPr>
            <w:tcW w:w="1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w:t>
            </w:r>
          </w:p>
        </w:tc>
        <w:tc>
          <w:tcPr>
            <w:tcW w:w="80" w:type="dxa"/>
            <w:vAlign w:val="bottom"/>
            <w:shd w:val="clear" w:color="auto" w:fill="CFF0FC"/>
          </w:tcPr>
          <w:p>
            <w:pPr>
              <w:spacing w:after="0"/>
              <w:rPr>
                <w:sz w:val="18"/>
                <w:szCs w:val="18"/>
                <w:color w:val="auto"/>
              </w:rPr>
            </w:pPr>
          </w:p>
        </w:tc>
      </w:tr>
      <w:tr>
        <w:trPr>
          <w:trHeight w:val="224"/>
        </w:trPr>
        <w:tc>
          <w:tcPr>
            <w:tcW w:w="3380" w:type="dxa"/>
            <w:vAlign w:val="bottom"/>
          </w:tcPr>
          <w:p>
            <w:pPr>
              <w:ind w:left="240"/>
              <w:spacing w:after="0"/>
              <w:rPr>
                <w:sz w:val="20"/>
                <w:szCs w:val="20"/>
                <w:color w:val="auto"/>
              </w:rPr>
            </w:pPr>
            <w:r>
              <w:rPr>
                <w:rFonts w:ascii="Arial" w:cs="Arial" w:eastAsia="Arial" w:hAnsi="Arial"/>
                <w:sz w:val="18"/>
                <w:szCs w:val="18"/>
                <w:color w:val="auto"/>
              </w:rPr>
              <w:t>Capitalized Additions</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r>
      <w:tr>
        <w:trPr>
          <w:trHeight w:val="224"/>
        </w:trPr>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(364)</w:t>
            </w:r>
          </w:p>
        </w:tc>
      </w:tr>
      <w:tr>
        <w:trPr>
          <w:trHeight w:val="224"/>
        </w:trPr>
        <w:tc>
          <w:tcPr>
            <w:tcW w:w="3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Valuation Allowance</w:t>
            </w:r>
          </w:p>
        </w:tc>
        <w:tc>
          <w:tcPr>
            <w:tcW w:w="1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r>
      <w:tr>
        <w:trPr>
          <w:trHeight w:val="217"/>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End of Year</w:t>
            </w:r>
          </w:p>
        </w:tc>
        <w:tc>
          <w:tcPr>
            <w:tcW w:w="1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80" w:type="dxa"/>
            <w:vAlign w:val="bottom"/>
            <w:shd w:val="clear" w:color="auto" w:fill="CFF0FC"/>
          </w:tcPr>
          <w:p>
            <w:pPr>
              <w:spacing w:after="0"/>
              <w:rPr>
                <w:sz w:val="18"/>
                <w:szCs w:val="18"/>
                <w:color w:val="auto"/>
              </w:rPr>
            </w:pPr>
          </w:p>
        </w:tc>
      </w:tr>
      <w:tr>
        <w:trPr>
          <w:trHeight w:val="20"/>
        </w:trPr>
        <w:tc>
          <w:tcPr>
            <w:tcW w:w="338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Furniture and equipment steadily increase as we continue to add facilities and invest in technology. Annual maintenance costs continue to grow and become a greater piece of the overall cost. As new services are provided to our customers, the backroom cost to supply them continues to rise. The Company accepts it is an expected cost of doing business and keeping our services relevant to the industry.</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Data processing costs were lower in 2020 as compared to 2019 by $785.0 thousand of which $867.6 thousand was acquisition related for termination fees incurred in 2019. Overall, data processing expense for 2019 was expected to be higher with the addition of the six acquired Indiana offices. Data processing expense increased $1.2 million during 2019 as compared to 2018.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7" w:name="page38"/>
    <w:bookmarkEnd w:id="37"/>
    <w:p>
      <w:pPr>
        <w:jc w:val="both"/>
        <w:spacing w:after="0" w:line="262" w:lineRule="auto"/>
        <w:rPr>
          <w:sz w:val="20"/>
          <w:szCs w:val="20"/>
          <w:color w:val="auto"/>
        </w:rPr>
      </w:pPr>
      <w:r>
        <w:rPr>
          <w:rFonts w:ascii="Arial" w:cs="Arial" w:eastAsia="Arial" w:hAnsi="Arial"/>
          <w:sz w:val="18"/>
          <w:szCs w:val="18"/>
          <w:color w:val="auto"/>
        </w:rPr>
        <w:t>As the pricing on many services is based on number of accounts and the Bank fully expects those to increase with the growth from the newer offices and overall Bank growth, this line item is expected to also increase.</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FDIC assessment increased over 2019 while 2019 decreased as compared to 2018. This line item speaks to the health of the Bank and the financial industry. The assessment for 2020 was up $450.0 thousand compared to 2019 as a result of the total assessment base increasing. In 2020, Small Bank Assessment Credits of $125.9 thousand were applied to first quarter’s invoice. Credits in the amount of $204.2 thousand were applied to third and fourth quarter 2019’s invoice. The assessment for 2019 was down $143.0 thousand from 2018.</w:t>
      </w:r>
    </w:p>
    <w:p>
      <w:pPr>
        <w:spacing w:after="0" w:line="19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last line items with significant variation in noninterest expense to discuss is “consulting fees” and “other general and administrative.” Consulting fees increased by $300.0 thousand in 2020 over 2019 while decreased $259.9 thousand in 2019 compared to 2018. In 2020, $167.0 thousand was paid to the firm who assisted with identifying profit enhancements, $48.0 thousand for Chief Information Officer search, $25.0 thousand to Kasasa for contract termination and $34.0 thousand to develop a predictive customer behavior model. During 2019, consultants were used to complete a pay study review, assist with developing a three year strategic plan and to identify profit enhancement initiatives. Acquisition costs incurred in 2019 and 2018 total $1.28 million and $742.1 thousand respectively with expenses being recorded in multiple line items. Core deposit intangible expense which is included in the other general and administrative line decreased in 2020 compared to 2019 by $7.0 thousand; however, increased in 2019 compared to 2018 by $560.0 thousand with the acquisition. Advertising and public relations decreased in 2020 by $237.0 thousand with many events canceled due to the pandemic; however, had increased in 2019 by $682 thousand over 2018. With the addition of new offices in both years behind the increases, 2020 was expected to increase due to additional offices being added. The Bank also celebrates the anniversary of office openings with a special event in each community.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Provision expense increased by $5.8 million for 2020 as compared to 2019 and $814 thousand for 2019 as compared to 2018. The large increase in provision expense for 2020 was attributable to the uncertainties associated with COVID-19 and its effects on the ability of individuals, businesses and other entities to meet their financial obligations. Therefore, it is prudent to incorporate the impact of COVID-19 in the evaluation of the adequacy of Allowance for Loan and Lease Losses (ALLL). The restaurant and hospitality sectors have been hit especially hard. Risk in the Consumer and 1-4 Family Portfolio has increased but the full impact remains unknown. Increases to the Bank’s ALLL centered around current customers and businesses that are particularly vulnerable and qualitative factors were adjusted accordingly. Management continues to monitor asset quality, making adjustments to the provision as necessary. The increase in the provision for loan losses in 2019 over 2018 was due primarily to the level of charge-offs and the overall growth in the loan portfolio year over year. The consumer portfolios had the highest levels of charge-off activity in 2020, 2019 and 2018 at $380, $491 and $359 thousand respectively. Net charge offs in the consumer portfolio were $240, $371 and $245 thousand for 2020, 2019 and 2018 respectively. Total net charge-offs were $537, $685 and $417 thousand for 2020, 2019 and 2018, respectively.</w:t>
      </w:r>
    </w:p>
    <w:p>
      <w:pPr>
        <w:spacing w:after="0" w:line="172"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The Company segregates its Allowance for Credit Losses (ACL) into two reserves: The ALLL and the Allowance for Unfunded Loan Commitments and Letters of Credit (AULC). When combined, these reserves constitute the total ACL. The AUCL is included in other liabilities on the consolidated balance sheets.</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Bank’s ALLL methodology captures trends in leading, current, and lagging indicators which will directly affect the Bank’s allocation amount. The Bank monitors trends in such leading indicators as delinquency, unemployment changes in the Bank’s service area, experience and ability of staff, regulatory trends, and credit concentrations. A current indicator such as the total watch list loan amount to Capital, and a lagging indicator such as the charge off amount are referenced as well. A matrix formed by loan type from these indicators is used in making ALLL adjustments.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Watch list loan balances are comprised of loans graded 5-8. At year-end December 31, 2020 these loans totaled $56.3 million and were $3.9 million lower than December 31, 2019. Grade 5 decreased $6.1 million in 2020 as compared to 2019 and Grade 6 increased by $2.2 million in the same comparison. Grade 7 increased a mere $29 thousand in 2020 as compared to 2019.</w:t>
      </w:r>
    </w:p>
    <w:p>
      <w:pPr>
        <w:spacing w:after="0" w:line="189"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At year-end December 31, 2019, the watch list loans totaled $60.2 million and were $52.3 million higher than December 31, 2018. Grade 5 increased $19.9 million in 2019 as compared to 2018 and grade 6 increased by $32.2 million in the same comparison. Grade 7 increased $200 thousand in 2019 as compared to 2018. Much of the total increase in 2019, $33.4 million, is in the agricultural real estate portfolio which expanded with the acquired loan portfolio.</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watch list loans as of December 31, 2018 totaled $7.9 million. Grade 5 loans were $3.8 million, Grade 6 were $3.2 million and Grade 7 loans were $886.0 thousand.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8" w:name="page39"/>
    <w:bookmarkEnd w:id="38"/>
    <w:p>
      <w:pPr>
        <w:jc w:val="both"/>
        <w:spacing w:after="0" w:line="300" w:lineRule="auto"/>
        <w:rPr>
          <w:sz w:val="20"/>
          <w:szCs w:val="20"/>
          <w:color w:val="auto"/>
        </w:rPr>
      </w:pPr>
      <w:r>
        <w:rPr>
          <w:rFonts w:ascii="Arial" w:cs="Arial" w:eastAsia="Arial" w:hAnsi="Arial"/>
          <w:sz w:val="16"/>
          <w:szCs w:val="16"/>
          <w:color w:val="auto"/>
        </w:rPr>
        <w:t>At December 31, 2020, 31.2% of the watch list was classified as special mention, with an additional 66.8% classified as substandard and a small 2.0% or $1.1 million of the $56.3 million watch list was classified as doubtful. At year-end 2019, 39.3% of the watch list was classified as special mention, with an additional 58.9% classified as substandard. A small 1.8% or $1.1 million of the $60.2 million watch list was classified as doubtful.</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the aggregate watch list loan balances, as of December 31, 2018, special mention accounted for 47.5% with substandard comprising 41.4% and doubtful accounting for the final 11.1%.</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response to these fluctuations and loan growth during 2018 through 2020, the Bank’s ALLL to outstanding loan coverage percentage changed to 1.05% as of December 31, 2020, 0.59% as of December 31, 2019, and 0.80% as of December 31, 2018. In addition, for 2020 and 2019 our allowance for loan and lease losses does not include a $1.7 and $2.1 million credit mark, respectively associated with the Limberlost acquisition, which further supports the current position of the ALLL.</w:t>
      </w:r>
    </w:p>
    <w:p>
      <w:pPr>
        <w:spacing w:after="0" w:line="19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above indicators impacting the ALLL are reviewed at a minimum quarterly. Some of the indicators are quantifiable and, as such, will automatically adjust the ALLL once calculated. These indicators include the ratio of past due loans to total loans, loans past due greater than 30 days, and the ratio of watch list loans to capital, with the watch list made up of loans graded 5, 6 or 7 on a scale of 1 (best) to 7 (worst). Other indicators consist of more subjective data used to evaluate the potential for inherent losses in the Bank’s loan portfolio. For example, the economic indicator uses the unemployment statistics from the communities in our market area to help determine whether the ALLL should be adjusted. At the end of each of 2018 and 2019 improvements were noted in unemployment figures. In 2020, a COVID-19 factor was added and adjusted during the year.</w:t>
      </w:r>
    </w:p>
    <w:p>
      <w:pPr>
        <w:spacing w:after="0" w:line="169"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All commercial and agricultural relationships with lines of credit greater than $50,000 and aggregate loan exposure greater than $250,000 are reviewed annually by the Bank’s Credit Department. All commercial and agricultural relationships with term debt only and aggregate loan exposure greater than $750,000 are also reviewed by the Bank’s Credit Department. These reviews are conducted to identify early signs of deterioration.</w:t>
      </w:r>
    </w:p>
    <w:p>
      <w:pPr>
        <w:spacing w:after="0" w:line="153" w:lineRule="exact"/>
        <w:rPr>
          <w:sz w:val="20"/>
          <w:szCs w:val="20"/>
          <w:color w:val="auto"/>
        </w:rPr>
      </w:pPr>
    </w:p>
    <w:p>
      <w:pPr>
        <w:jc w:val="both"/>
        <w:spacing w:after="0" w:line="328" w:lineRule="auto"/>
        <w:rPr>
          <w:sz w:val="20"/>
          <w:szCs w:val="20"/>
          <w:color w:val="auto"/>
        </w:rPr>
      </w:pPr>
      <w:r>
        <w:rPr>
          <w:rFonts w:ascii="Arial" w:cs="Arial" w:eastAsia="Arial" w:hAnsi="Arial"/>
          <w:sz w:val="15"/>
          <w:szCs w:val="15"/>
          <w:color w:val="auto"/>
        </w:rPr>
        <w:t>To establish the specific reserve allocation for real estate, a discount to the market value is established to account for liquidation expenses. The discounting percentage used for real estate mirrors the discounting of real estate as provided for in the Bank’s Loan Policy. However, unique or unusual circumstances may be present which will affect the real estate value and, when appropriately identified, can adjust the discounting percentage at the discretion of management.</w:t>
      </w:r>
    </w:p>
    <w:p>
      <w:pPr>
        <w:spacing w:after="0" w:line="136" w:lineRule="exact"/>
        <w:rPr>
          <w:sz w:val="20"/>
          <w:szCs w:val="20"/>
          <w:color w:val="auto"/>
        </w:rPr>
      </w:pPr>
    </w:p>
    <w:p>
      <w:pPr>
        <w:jc w:val="both"/>
        <w:spacing w:after="0" w:line="328" w:lineRule="auto"/>
        <w:rPr>
          <w:sz w:val="20"/>
          <w:szCs w:val="20"/>
          <w:color w:val="auto"/>
        </w:rPr>
      </w:pPr>
      <w:r>
        <w:rPr>
          <w:rFonts w:ascii="Arial" w:cs="Arial" w:eastAsia="Arial" w:hAnsi="Arial"/>
          <w:sz w:val="15"/>
          <w:szCs w:val="15"/>
          <w:color w:val="auto"/>
        </w:rPr>
        <w:t>The ACL increased $6.6 million during 2020 while increasing $658 thousand and decreasing $46 thousand during 2019 and 2018 respectively. The percentage of ACL to the total loan portfolio was 0.83% as of December 31, 2018 and 0.63% as of December 31, 2019, and 1.1% as of December 31, 2020. December 31, 2018 had the lowest loans past due 30+ day percentage at 0.09% in the last ten years. December 31, 2019 and 2020 were still at respectable lows of 0.18% and 0.29%.</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Please see Note 4 in the consolidated financial statement for additional tables regarding the composition of the ACL.</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Income tax expense was $751 thousand more for 2020 than 2019 as result of approximately $2.4 million of additional income. The Tax Cuts and Jobs Act, which was signed into law on December 22, 2017, became effective for the Company’s 2018 fiscal year and created a single corporate tax rate of 21%. Effective tax rates were 20.28%, 19.15% and 18.09%, for 2020, 2019 and 2018 respectively. The effect of tax-exempt interest from holding tax-exempt securities and Industrial Development Bonds (IDBs) was $150, $182 and $229 thousand for 2020, 2019 and 2018, respectively less the TEFRA adjustments of $4, $12 and $8 thousand respectively. One of the benefits from the establishment of the Captive subsidiary was a lower effective tax rate.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Material Changes in Financial Condition</w:t>
      </w:r>
    </w:p>
    <w:p>
      <w:pPr>
        <w:spacing w:after="0" w:line="1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shifts in the balance sheet during 2020 through 2018 have positioned the Company for continued improvement in profitability. On the asset side, interest income increased primarily from loan growth with funding for the increase provided by growth in core deposits and growth in other borrowings primarily related to the acquisition of the Bank of Geneva. The cost of funds has been impacted by the increase of both interest bearing liabilities and the pressure on rates from competition for funds. In 2020, the rate pressure from competition basically subsided. Increased balances in non-interest bearing deposits aided in profitability also. Loan growth and a widened net interest margin contributed to improved profitability in 2019 and 2018. With the rate decreases in 2020, net interest margin decreased 18 basis points compared to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Average earning assets increased in balances through 2020 and 2019. Loan growth in both years was the main factor.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Securities</w:t>
      </w:r>
    </w:p>
    <w:p>
      <w:pPr>
        <w:spacing w:after="0" w:line="11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investment portfolio is primarily used to provide overall liquidity for the Bank. It is also used to provide required collateral for pledging to the Bank’s Ohio public depositors for amounts on deposit in excess of the FDIC coverage limits. It may also be used to pledge for additional borrowings from third parties. Investments are made with the above criteria in mind while still seeking a fair market rate of return and looking for maturities that fall within the projected overall strategy of the Bank. The possible need to fund future loan growth is also a consideration.</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2016, the Bank began to utilize Promontory’s ICS, product to replace pledged securities; thereby increasing liquidity. ICS utilizes a nation-wide bank network to provide FDIC insurance coverage to the Bank’s depositors. The Bank is using the product to replace pledged securities to the Bank’s Ohio public customers and for commercial sweep customers previously utilizing daily repurchase agreements to protect balances over $250 thousand. The majority of the commercial accounts converted in 2017.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All of the Bank’s security portfolio is categorized as available for sale and as such is recorded at market value.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w w:val="99"/>
              </w:rPr>
              <w:t>Security balances as of December 31 are summarized below:</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5"/>
        </w:trPr>
        <w:tc>
          <w:tcPr>
            <w:tcW w:w="11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9"/>
              </w:rPr>
              <w:t>(In Thousands)</w:t>
            </w: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1140" w:type="dxa"/>
            <w:vAlign w:val="bottom"/>
          </w:tcPr>
          <w:p>
            <w:pPr>
              <w:spacing w:after="0"/>
              <w:rPr>
                <w:sz w:val="18"/>
                <w:szCs w:val="18"/>
                <w:color w:val="auto"/>
              </w:rPr>
            </w:pPr>
          </w:p>
        </w:tc>
        <w:tc>
          <w:tcPr>
            <w:tcW w:w="3780" w:type="dxa"/>
            <w:vAlign w:val="bottom"/>
            <w:tcBorders>
              <w:bottom w:val="single" w:sz="8" w:color="CFF0FC"/>
            </w:tcBorders>
          </w:tcPr>
          <w:p>
            <w:pPr>
              <w:spacing w:after="0"/>
              <w:rPr>
                <w:sz w:val="18"/>
                <w:szCs w:val="18"/>
                <w:color w:val="auto"/>
              </w:rPr>
            </w:pPr>
          </w:p>
        </w:tc>
        <w:tc>
          <w:tcPr>
            <w:tcW w:w="6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FF0FC"/>
            </w:tcBorders>
          </w:tcPr>
          <w:p>
            <w:pPr>
              <w:spacing w:after="0"/>
              <w:rPr>
                <w:sz w:val="18"/>
                <w:szCs w:val="18"/>
                <w:color w:val="auto"/>
              </w:rPr>
            </w:pPr>
          </w:p>
        </w:tc>
      </w:tr>
      <w:tr>
        <w:trPr>
          <w:trHeight w:val="217"/>
        </w:trPr>
        <w:tc>
          <w:tcPr>
            <w:tcW w:w="114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10,021</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22,830</w:t>
            </w:r>
          </w:p>
        </w:tc>
        <w:tc>
          <w:tcPr>
            <w:tcW w:w="80" w:type="dxa"/>
            <w:vAlign w:val="bottom"/>
            <w:shd w:val="clear" w:color="auto" w:fill="CFF0FC"/>
          </w:tcPr>
          <w:p>
            <w:pPr>
              <w:spacing w:after="0"/>
              <w:rPr>
                <w:sz w:val="18"/>
                <w:szCs w:val="18"/>
                <w:color w:val="auto"/>
              </w:rPr>
            </w:pPr>
          </w:p>
        </w:tc>
      </w:tr>
      <w:tr>
        <w:trPr>
          <w:trHeight w:val="224"/>
        </w:trPr>
        <w:tc>
          <w:tcPr>
            <w:tcW w:w="4920" w:type="dxa"/>
            <w:vAlign w:val="bottom"/>
            <w:gridSpan w:val="2"/>
          </w:tcPr>
          <w:p>
            <w:pPr>
              <w:ind w:left="1140"/>
              <w:spacing w:after="0"/>
              <w:rPr>
                <w:sz w:val="20"/>
                <w:szCs w:val="20"/>
                <w:color w:val="auto"/>
              </w:rPr>
            </w:pPr>
            <w:r>
              <w:rPr>
                <w:rFonts w:ascii="Arial" w:cs="Arial" w:eastAsia="Arial" w:hAnsi="Arial"/>
                <w:sz w:val="18"/>
                <w:szCs w:val="18"/>
                <w:color w:val="auto"/>
              </w:rPr>
              <w:t>U.S. Government agencies</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124,241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62,445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69,327</w:t>
            </w:r>
          </w:p>
        </w:tc>
        <w:tc>
          <w:tcPr>
            <w:tcW w:w="80" w:type="dxa"/>
            <w:vAlign w:val="bottom"/>
          </w:tcPr>
          <w:p>
            <w:pPr>
              <w:spacing w:after="0"/>
              <w:rPr>
                <w:sz w:val="19"/>
                <w:szCs w:val="19"/>
                <w:color w:val="auto"/>
              </w:rPr>
            </w:pPr>
          </w:p>
        </w:tc>
      </w:tr>
      <w:tr>
        <w:trPr>
          <w:trHeight w:val="224"/>
        </w:trPr>
        <w:tc>
          <w:tcPr>
            <w:tcW w:w="114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113,056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95,197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36,262</w:t>
            </w:r>
          </w:p>
        </w:tc>
        <w:tc>
          <w:tcPr>
            <w:tcW w:w="80" w:type="dxa"/>
            <w:vAlign w:val="bottom"/>
            <w:shd w:val="clear" w:color="auto" w:fill="CFF0FC"/>
          </w:tcPr>
          <w:p>
            <w:pPr>
              <w:spacing w:after="0"/>
              <w:rPr>
                <w:sz w:val="19"/>
                <w:szCs w:val="19"/>
                <w:color w:val="auto"/>
              </w:rPr>
            </w:pPr>
          </w:p>
        </w:tc>
      </w:tr>
      <w:tr>
        <w:trPr>
          <w:trHeight w:val="224"/>
        </w:trPr>
        <w:tc>
          <w:tcPr>
            <w:tcW w:w="4920" w:type="dxa"/>
            <w:vAlign w:val="bottom"/>
            <w:gridSpan w:val="2"/>
          </w:tcPr>
          <w:p>
            <w:pPr>
              <w:ind w:left="1140"/>
              <w:spacing w:after="0"/>
              <w:rPr>
                <w:sz w:val="20"/>
                <w:szCs w:val="20"/>
                <w:color w:val="auto"/>
              </w:rPr>
            </w:pPr>
            <w:r>
              <w:rPr>
                <w:rFonts w:ascii="Arial" w:cs="Arial" w:eastAsia="Arial" w:hAnsi="Arial"/>
                <w:sz w:val="18"/>
                <w:szCs w:val="18"/>
                <w:color w:val="auto"/>
              </w:rPr>
              <w:t>State and local governments</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70,515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54,630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40,028</w:t>
            </w:r>
          </w:p>
        </w:tc>
        <w:tc>
          <w:tcPr>
            <w:tcW w:w="8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78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7"/>
        </w:trPr>
        <w:tc>
          <w:tcPr>
            <w:tcW w:w="1140" w:type="dxa"/>
            <w:vAlign w:val="bottom"/>
          </w:tcPr>
          <w:p>
            <w:pPr>
              <w:spacing w:after="0"/>
              <w:rPr>
                <w:sz w:val="18"/>
                <w:szCs w:val="18"/>
                <w:color w:val="auto"/>
              </w:rPr>
            </w:pPr>
          </w:p>
        </w:tc>
        <w:tc>
          <w:tcPr>
            <w:tcW w:w="37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307,812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222,293</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168,447</w:t>
            </w:r>
          </w:p>
        </w:tc>
        <w:tc>
          <w:tcPr>
            <w:tcW w:w="80" w:type="dxa"/>
            <w:vAlign w:val="bottom"/>
            <w:shd w:val="clear" w:color="auto" w:fill="CFF0FC"/>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7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table sets forth the maturities of investment securities as of December 31, 2020 and the weighted average yields of such securities calculated on the basis of cost and effective yields weighted for the scheduled maturity of each security. Tax-equivalent adjustments, using a twenty-one percent rate, have been made in yields on obligations of state and political subdivisions. Stocks of domestic corporations have not been included. Maturities of mortgage-backed securities are based on the stated maturity date of the security. Due to prepayments, actual maturities may be different.</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3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Maturities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4"/>
        </w:trPr>
        <w:tc>
          <w:tcPr>
            <w:tcW w:w="3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ind w:left="280"/>
              <w:spacing w:after="0"/>
              <w:rPr>
                <w:sz w:val="20"/>
                <w:szCs w:val="20"/>
                <w:color w:val="auto"/>
              </w:rPr>
            </w:pPr>
            <w:r>
              <w:rPr>
                <w:rFonts w:ascii="Arial" w:cs="Arial" w:eastAsia="Arial" w:hAnsi="Arial"/>
                <w:sz w:val="18"/>
                <w:szCs w:val="18"/>
                <w:color w:val="auto"/>
              </w:rPr>
              <w:t>(Amounts in Thousands)</w:t>
            </w:r>
          </w:p>
        </w:tc>
        <w:tc>
          <w:tcPr>
            <w:tcW w:w="10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7"/>
        </w:trPr>
        <w:tc>
          <w:tcPr>
            <w:tcW w:w="3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4"/>
          </w:tcPr>
          <w:p>
            <w:pPr>
              <w:jc w:val="center"/>
              <w:ind w:right="400"/>
              <w:spacing w:after="0"/>
              <w:rPr>
                <w:sz w:val="20"/>
                <w:szCs w:val="20"/>
                <w:color w:val="auto"/>
              </w:rPr>
            </w:pPr>
            <w:r>
              <w:rPr>
                <w:rFonts w:ascii="Arial" w:cs="Arial" w:eastAsia="Arial" w:hAnsi="Arial"/>
                <w:sz w:val="18"/>
                <w:szCs w:val="18"/>
                <w:color w:val="auto"/>
                <w:w w:val="88"/>
              </w:rPr>
              <w:t>After One Year</w:t>
            </w:r>
          </w:p>
        </w:tc>
      </w:tr>
      <w:tr>
        <w:trPr>
          <w:trHeight w:val="224"/>
        </w:trPr>
        <w:tc>
          <w:tcPr>
            <w:tcW w:w="3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94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color w:val="auto"/>
              </w:rPr>
              <w:t>Within One Year</w:t>
            </w:r>
          </w:p>
        </w:tc>
        <w:tc>
          <w:tcPr>
            <w:tcW w:w="3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center"/>
              <w:ind w:right="132"/>
              <w:spacing w:after="0"/>
              <w:rPr>
                <w:sz w:val="20"/>
                <w:szCs w:val="20"/>
                <w:color w:val="auto"/>
              </w:rPr>
            </w:pPr>
            <w:r>
              <w:rPr>
                <w:rFonts w:ascii="Arial" w:cs="Arial" w:eastAsia="Arial" w:hAnsi="Arial"/>
                <w:sz w:val="18"/>
                <w:szCs w:val="18"/>
                <w:color w:val="auto"/>
                <w:w w:val="89"/>
              </w:rPr>
              <w:t>Within Five Years</w:t>
            </w:r>
          </w:p>
        </w:tc>
        <w:tc>
          <w:tcPr>
            <w:tcW w:w="180" w:type="dxa"/>
            <w:vAlign w:val="bottom"/>
          </w:tcPr>
          <w:p>
            <w:pPr>
              <w:spacing w:after="0"/>
              <w:rPr>
                <w:sz w:val="19"/>
                <w:szCs w:val="19"/>
                <w:color w:val="auto"/>
              </w:rPr>
            </w:pPr>
          </w:p>
        </w:tc>
      </w:tr>
      <w:tr>
        <w:trPr>
          <w:trHeight w:val="217"/>
        </w:trPr>
        <w:tc>
          <w:tcPr>
            <w:tcW w:w="384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Amount</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89"/>
              </w:rPr>
              <w:t>Yield</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0"/>
              </w:rPr>
              <w:t>Amount</w:t>
            </w:r>
          </w:p>
        </w:tc>
        <w:tc>
          <w:tcPr>
            <w:tcW w:w="2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Yield</w:t>
            </w:r>
          </w:p>
        </w:tc>
        <w:tc>
          <w:tcPr>
            <w:tcW w:w="180" w:type="dxa"/>
            <w:vAlign w:val="bottom"/>
            <w:tcBorders>
              <w:bottom w:val="single" w:sz="8" w:color="CFF0FC"/>
            </w:tcBorders>
          </w:tcPr>
          <w:p>
            <w:pPr>
              <w:spacing w:after="0"/>
              <w:rPr>
                <w:sz w:val="18"/>
                <w:szCs w:val="18"/>
                <w:color w:val="auto"/>
              </w:rPr>
            </w:pPr>
          </w:p>
        </w:tc>
      </w:tr>
      <w:tr>
        <w:trPr>
          <w:trHeight w:val="217"/>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2160" w:type="dxa"/>
            <w:vAlign w:val="bottom"/>
            <w:gridSpan w:val="2"/>
            <w:shd w:val="clear" w:color="auto" w:fill="CFF0FC"/>
          </w:tcPr>
          <w:p>
            <w:pPr>
              <w:jc w:val="right"/>
              <w:ind w:right="6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86"/>
              </w:rPr>
              <w:t>0.00%</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0.00%</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0.00%</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40,631</w:t>
            </w: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r>
      <w:tr>
        <w:trPr>
          <w:trHeight w:val="224"/>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2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86"/>
              </w:rPr>
              <w:t>0.02%</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4.11%</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1,054</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1.72%</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14,606</w:t>
            </w: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r>
      <w:tr>
        <w:trPr>
          <w:trHeight w:val="224"/>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Taxable state and local governments</w:t>
            </w:r>
          </w:p>
        </w:tc>
        <w:tc>
          <w:tcPr>
            <w:tcW w:w="1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86"/>
              </w:rPr>
              <w:t>0.00%</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10,086</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w:t>
            </w:r>
          </w:p>
        </w:tc>
      </w:tr>
      <w:tr>
        <w:trPr>
          <w:trHeight w:val="434"/>
        </w:trPr>
        <w:tc>
          <w:tcPr>
            <w:tcW w:w="3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40" w:type="dxa"/>
            <w:vAlign w:val="bottom"/>
            <w:gridSpan w:val="4"/>
          </w:tcPr>
          <w:p>
            <w:pPr>
              <w:ind w:left="540"/>
              <w:spacing w:after="0"/>
              <w:rPr>
                <w:sz w:val="20"/>
                <w:szCs w:val="20"/>
                <w:color w:val="auto"/>
              </w:rPr>
            </w:pPr>
            <w:r>
              <w:rPr>
                <w:rFonts w:ascii="Arial" w:cs="Arial" w:eastAsia="Arial" w:hAnsi="Arial"/>
                <w:sz w:val="18"/>
                <w:szCs w:val="18"/>
                <w:color w:val="auto"/>
              </w:rPr>
              <w:t>After Five Years</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4"/>
        </w:trPr>
        <w:tc>
          <w:tcPr>
            <w:tcW w:w="3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94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color w:val="auto"/>
              </w:rPr>
              <w:t>Within Ten Years</w:t>
            </w:r>
          </w:p>
        </w:tc>
        <w:tc>
          <w:tcPr>
            <w:tcW w:w="3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center"/>
              <w:ind w:right="132"/>
              <w:spacing w:after="0"/>
              <w:rPr>
                <w:sz w:val="20"/>
                <w:szCs w:val="20"/>
                <w:color w:val="auto"/>
              </w:rPr>
            </w:pPr>
            <w:r>
              <w:rPr>
                <w:rFonts w:ascii="Arial" w:cs="Arial" w:eastAsia="Arial" w:hAnsi="Arial"/>
                <w:sz w:val="18"/>
                <w:szCs w:val="18"/>
                <w:color w:val="auto"/>
                <w:w w:val="87"/>
              </w:rPr>
              <w:t>After Ten Years</w:t>
            </w:r>
          </w:p>
        </w:tc>
        <w:tc>
          <w:tcPr>
            <w:tcW w:w="180" w:type="dxa"/>
            <w:vAlign w:val="bottom"/>
          </w:tcPr>
          <w:p>
            <w:pPr>
              <w:spacing w:after="0"/>
              <w:rPr>
                <w:sz w:val="19"/>
                <w:szCs w:val="19"/>
                <w:color w:val="auto"/>
              </w:rPr>
            </w:pPr>
          </w:p>
        </w:tc>
      </w:tr>
      <w:tr>
        <w:trPr>
          <w:trHeight w:val="217"/>
        </w:trPr>
        <w:tc>
          <w:tcPr>
            <w:tcW w:w="384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Amount</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89"/>
              </w:rPr>
              <w:t>Yield</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0"/>
              </w:rPr>
              <w:t>Amount</w:t>
            </w:r>
          </w:p>
        </w:tc>
        <w:tc>
          <w:tcPr>
            <w:tcW w:w="2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Yield</w:t>
            </w:r>
          </w:p>
        </w:tc>
        <w:tc>
          <w:tcPr>
            <w:tcW w:w="180" w:type="dxa"/>
            <w:vAlign w:val="bottom"/>
            <w:tcBorders>
              <w:bottom w:val="single" w:sz="8" w:color="CFF0FC"/>
            </w:tcBorders>
          </w:tcPr>
          <w:p>
            <w:pPr>
              <w:spacing w:after="0"/>
              <w:rPr>
                <w:sz w:val="18"/>
                <w:szCs w:val="18"/>
                <w:color w:val="auto"/>
              </w:rPr>
            </w:pPr>
          </w:p>
        </w:tc>
      </w:tr>
      <w:tr>
        <w:trPr>
          <w:trHeight w:val="217"/>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2160" w:type="dxa"/>
            <w:vAlign w:val="bottom"/>
            <w:gridSpan w:val="2"/>
            <w:shd w:val="clear" w:color="auto" w:fill="CFF0FC"/>
          </w:tcPr>
          <w:p>
            <w:pPr>
              <w:jc w:val="right"/>
              <w:ind w:right="6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86"/>
              </w:rPr>
              <w:t>0.00%</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0.00%</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83,610</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1.12%</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24"/>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2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7,409</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86"/>
              </w:rPr>
              <w:t>1.70%</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105,426</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8,318</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1.79%</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1,749</w:t>
            </w: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r>
      <w:tr>
        <w:trPr>
          <w:trHeight w:val="224"/>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Taxable state and local governments</w:t>
            </w:r>
          </w:p>
        </w:tc>
        <w:tc>
          <w:tcPr>
            <w:tcW w:w="2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34,702</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86"/>
              </w:rPr>
              <w:t>2.06%</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1.79%</w:t>
            </w:r>
          </w:p>
        </w:tc>
      </w:tr>
    </w:tbl>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2020, the Bank did not hold a large block of any one investment security in excess of 10% of stockholders’ equity. The largest segment of holdings is in U.S. Government agencies. The Bank also holds stock in the Federal Home Loan Bank of Cincinnati and Indianapolis at a cost of $5.8 million. This is required in order to obtain Federal Home Loan Bank loans.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Loan Portfolio</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Bank’s various loan portfolios are subject to varying levels of credit risk. Management mitigates these risks through portfolio diversification and through standardization of lending policies and procedures.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Risks are mitigated through an adherence to the Bank’s loan policies, with any exception being recorded and approved by senior management or committees comprised of senior management. The Bank’s loan policies define parameters to essential underwriting guidelines such as loan-to-value ratio, cash flow and debt-to-income ratio, loan requirements and covenants, financial information tracking, collection practice and others. The maximum loan amount to any one borrower is limited by the Bank’s legal lending limits and is stated in policy. On a broader basis, the Bank restricts total aggregate funding in comparison to Bank capital to any one business or agricultural sector by an approved sector percentage to capital limitation.</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shows the Bank’s loan portfolio, excluding loans held for sale, by category of loan as of December 31</w:t>
      </w:r>
      <w:r>
        <w:rPr>
          <w:rFonts w:ascii="Arial" w:cs="Arial" w:eastAsia="Arial" w:hAnsi="Arial"/>
          <w:sz w:val="14"/>
          <w:szCs w:val="14"/>
          <w:color w:val="auto"/>
        </w:rPr>
        <w:t>st</w:t>
      </w:r>
      <w:r>
        <w:rPr>
          <w:rFonts w:ascii="Arial" w:cs="Arial" w:eastAsia="Arial" w:hAnsi="Arial"/>
          <w:sz w:val="18"/>
          <w:szCs w:val="18"/>
          <w:color w:val="auto"/>
        </w:rPr>
        <w:t xml:space="preserve"> of each year, net of deferred fees and costs: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w w:val="94"/>
              </w:rPr>
              <w:t>(In Thousands)</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78"/>
        </w:trPr>
        <w:tc>
          <w:tcPr>
            <w:tcW w:w="5440" w:type="dxa"/>
            <w:vAlign w:val="bottom"/>
            <w:gridSpan w:val="2"/>
          </w:tcPr>
          <w:p>
            <w:pPr>
              <w:spacing w:after="0" w:line="178" w:lineRule="exact"/>
              <w:rPr>
                <w:sz w:val="20"/>
                <w:szCs w:val="20"/>
                <w:color w:val="auto"/>
              </w:rPr>
            </w:pPr>
            <w:r>
              <w:rPr>
                <w:rFonts w:ascii="Arial" w:cs="Arial" w:eastAsia="Arial" w:hAnsi="Arial"/>
                <w:sz w:val="18"/>
                <w:szCs w:val="18"/>
                <w:color w:val="auto"/>
              </w:rPr>
              <w:t>Loans:</w:t>
            </w:r>
          </w:p>
        </w:tc>
        <w:tc>
          <w:tcPr>
            <w:tcW w:w="160" w:type="dxa"/>
            <w:vAlign w:val="bottom"/>
          </w:tcPr>
          <w:p>
            <w:pPr>
              <w:spacing w:after="0"/>
              <w:rPr>
                <w:sz w:val="15"/>
                <w:szCs w:val="15"/>
                <w:color w:val="auto"/>
              </w:rPr>
            </w:pPr>
          </w:p>
        </w:tc>
        <w:tc>
          <w:tcPr>
            <w:tcW w:w="780" w:type="dxa"/>
            <w:vAlign w:val="bottom"/>
          </w:tcPr>
          <w:p>
            <w:pPr>
              <w:jc w:val="right"/>
              <w:ind w:right="212"/>
              <w:spacing w:after="0" w:line="178" w:lineRule="exact"/>
              <w:rPr>
                <w:sz w:val="20"/>
                <w:szCs w:val="20"/>
                <w:color w:val="auto"/>
              </w:rPr>
            </w:pPr>
            <w:r>
              <w:rPr>
                <w:rFonts w:ascii="Arial" w:cs="Arial" w:eastAsia="Arial" w:hAnsi="Arial"/>
                <w:sz w:val="18"/>
                <w:szCs w:val="18"/>
                <w:color w:val="auto"/>
              </w:rPr>
              <w:t>2020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12"/>
              <w:spacing w:after="0" w:line="178" w:lineRule="exact"/>
              <w:rPr>
                <w:sz w:val="20"/>
                <w:szCs w:val="20"/>
                <w:color w:val="auto"/>
              </w:rPr>
            </w:pPr>
            <w:r>
              <w:rPr>
                <w:rFonts w:ascii="Arial" w:cs="Arial" w:eastAsia="Arial" w:hAnsi="Arial"/>
                <w:sz w:val="18"/>
                <w:szCs w:val="18"/>
                <w:color w:val="auto"/>
              </w:rPr>
              <w:t>2019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32"/>
              <w:spacing w:after="0" w:line="178" w:lineRule="exact"/>
              <w:rPr>
                <w:sz w:val="20"/>
                <w:szCs w:val="20"/>
                <w:color w:val="auto"/>
              </w:rPr>
            </w:pPr>
            <w:r>
              <w:rPr>
                <w:rFonts w:ascii="Arial" w:cs="Arial" w:eastAsia="Arial" w:hAnsi="Arial"/>
                <w:sz w:val="18"/>
                <w:szCs w:val="18"/>
                <w:color w:val="auto"/>
              </w:rPr>
              <w:t>2018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12"/>
              <w:spacing w:after="0" w:line="178" w:lineRule="exact"/>
              <w:rPr>
                <w:sz w:val="20"/>
                <w:szCs w:val="20"/>
                <w:color w:val="auto"/>
              </w:rPr>
            </w:pPr>
            <w:r>
              <w:rPr>
                <w:rFonts w:ascii="Arial" w:cs="Arial" w:eastAsia="Arial" w:hAnsi="Arial"/>
                <w:sz w:val="18"/>
                <w:szCs w:val="18"/>
                <w:color w:val="auto"/>
              </w:rPr>
              <w:t>2017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12"/>
              <w:spacing w:after="0" w:line="178" w:lineRule="exact"/>
              <w:rPr>
                <w:sz w:val="20"/>
                <w:szCs w:val="20"/>
                <w:color w:val="auto"/>
              </w:rPr>
            </w:pPr>
            <w:r>
              <w:rPr>
                <w:rFonts w:ascii="Arial" w:cs="Arial" w:eastAsia="Arial" w:hAnsi="Arial"/>
                <w:sz w:val="18"/>
                <w:szCs w:val="18"/>
                <w:color w:val="auto"/>
              </w:rPr>
              <w:t>2016</w:t>
            </w:r>
          </w:p>
        </w:tc>
        <w:tc>
          <w:tcPr>
            <w:tcW w:w="120" w:type="dxa"/>
            <w:vAlign w:val="bottom"/>
          </w:tcPr>
          <w:p>
            <w:pPr>
              <w:spacing w:after="0"/>
              <w:rPr>
                <w:sz w:val="15"/>
                <w:szCs w:val="15"/>
                <w:color w:val="auto"/>
              </w:rPr>
            </w:pPr>
          </w:p>
        </w:tc>
      </w:tr>
      <w:tr>
        <w:trPr>
          <w:trHeight w:val="20"/>
        </w:trPr>
        <w:tc>
          <w:tcPr>
            <w:tcW w:w="480" w:type="dxa"/>
            <w:vAlign w:val="bottom"/>
            <w:tcBorders>
              <w:top w:val="single" w:sz="8" w:color="auto"/>
              <w:bottom w:val="single" w:sz="8" w:color="CFF0FC"/>
            </w:tcBorders>
          </w:tcPr>
          <w:p>
            <w:pPr>
              <w:spacing w:after="0" w:line="20" w:lineRule="exact"/>
              <w:rPr>
                <w:sz w:val="1"/>
                <w:szCs w:val="1"/>
                <w:color w:val="auto"/>
              </w:rPr>
            </w:pPr>
          </w:p>
        </w:tc>
        <w:tc>
          <w:tcPr>
            <w:tcW w:w="496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217"/>
        </w:trPr>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175,588</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165,349</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80,766</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83,620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86,234</w:t>
            </w:r>
          </w:p>
        </w:tc>
        <w:tc>
          <w:tcPr>
            <w:tcW w:w="120" w:type="dxa"/>
            <w:vAlign w:val="bottom"/>
            <w:shd w:val="clear" w:color="auto" w:fill="CFF0FC"/>
          </w:tcPr>
          <w:p>
            <w:pPr>
              <w:spacing w:after="0"/>
              <w:rPr>
                <w:sz w:val="18"/>
                <w:szCs w:val="18"/>
                <w:color w:val="auto"/>
              </w:rPr>
            </w:pPr>
          </w:p>
        </w:tc>
      </w:tr>
      <w:tr>
        <w:trPr>
          <w:trHeight w:val="224"/>
        </w:trPr>
        <w:tc>
          <w:tcPr>
            <w:tcW w:w="5440" w:type="dxa"/>
            <w:vAlign w:val="bottom"/>
            <w:gridSpan w:val="2"/>
          </w:tcPr>
          <w:p>
            <w:pPr>
              <w:ind w:left="240"/>
              <w:spacing w:after="0"/>
              <w:rPr>
                <w:sz w:val="20"/>
                <w:szCs w:val="20"/>
                <w:color w:val="auto"/>
              </w:rPr>
            </w:pPr>
            <w:r>
              <w:rPr>
                <w:rFonts w:ascii="Arial" w:cs="Arial" w:eastAsia="Arial" w:hAnsi="Arial"/>
                <w:sz w:val="18"/>
                <w:szCs w:val="18"/>
                <w:color w:val="auto"/>
              </w:rPr>
              <w:t>Agricultural Real Estate</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189,159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199,105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68,609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64,073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62,375</w:t>
            </w:r>
          </w:p>
        </w:tc>
        <w:tc>
          <w:tcPr>
            <w:tcW w:w="120" w:type="dxa"/>
            <w:vAlign w:val="bottom"/>
          </w:tcPr>
          <w:p>
            <w:pPr>
              <w:spacing w:after="0"/>
              <w:rPr>
                <w:sz w:val="19"/>
                <w:szCs w:val="19"/>
                <w:color w:val="auto"/>
              </w:rPr>
            </w:pPr>
          </w:p>
        </w:tc>
      </w:tr>
      <w:tr>
        <w:trPr>
          <w:trHeight w:val="224"/>
        </w:trPr>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94,358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111,820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95,111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84,563</w:t>
            </w:r>
          </w:p>
        </w:tc>
        <w:tc>
          <w:tcPr>
            <w:tcW w:w="120" w:type="dxa"/>
            <w:vAlign w:val="bottom"/>
            <w:shd w:val="clear" w:color="auto" w:fill="CFF0FC"/>
          </w:tcPr>
          <w:p>
            <w:pPr>
              <w:spacing w:after="0"/>
              <w:rPr>
                <w:sz w:val="19"/>
                <w:szCs w:val="19"/>
                <w:color w:val="auto"/>
              </w:rPr>
            </w:pPr>
          </w:p>
        </w:tc>
      </w:tr>
      <w:tr>
        <w:trPr>
          <w:trHeight w:val="224"/>
        </w:trPr>
        <w:tc>
          <w:tcPr>
            <w:tcW w:w="5440" w:type="dxa"/>
            <w:vAlign w:val="bottom"/>
            <w:gridSpan w:val="2"/>
          </w:tcPr>
          <w:p>
            <w:pPr>
              <w:ind w:left="24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588,825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551,309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419,784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410,520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377,481</w:t>
            </w:r>
          </w:p>
        </w:tc>
        <w:tc>
          <w:tcPr>
            <w:tcW w:w="120" w:type="dxa"/>
            <w:vAlign w:val="bottom"/>
          </w:tcPr>
          <w:p>
            <w:pPr>
              <w:spacing w:after="0"/>
              <w:rPr>
                <w:sz w:val="19"/>
                <w:szCs w:val="19"/>
                <w:color w:val="auto"/>
              </w:rPr>
            </w:pPr>
          </w:p>
        </w:tc>
      </w:tr>
      <w:tr>
        <w:trPr>
          <w:trHeight w:val="224"/>
        </w:trPr>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189,246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135,631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126,275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109,256</w:t>
            </w:r>
          </w:p>
        </w:tc>
        <w:tc>
          <w:tcPr>
            <w:tcW w:w="120" w:type="dxa"/>
            <w:vAlign w:val="bottom"/>
            <w:shd w:val="clear" w:color="auto" w:fill="CFF0FC"/>
          </w:tcPr>
          <w:p>
            <w:pPr>
              <w:spacing w:after="0"/>
              <w:rPr>
                <w:sz w:val="19"/>
                <w:szCs w:val="19"/>
                <w:color w:val="auto"/>
              </w:rPr>
            </w:pPr>
          </w:p>
        </w:tc>
      </w:tr>
      <w:tr>
        <w:trPr>
          <w:trHeight w:val="224"/>
        </w:trPr>
        <w:tc>
          <w:tcPr>
            <w:tcW w:w="5440" w:type="dxa"/>
            <w:vAlign w:val="bottom"/>
            <w:gridSpan w:val="2"/>
          </w:tcPr>
          <w:p>
            <w:pPr>
              <w:ind w:left="24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52,540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49,237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41,953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37,757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33,179</w:t>
            </w:r>
          </w:p>
        </w:tc>
        <w:tc>
          <w:tcPr>
            <w:tcW w:w="120" w:type="dxa"/>
            <w:vAlign w:val="bottom"/>
          </w:tcPr>
          <w:p>
            <w:pPr>
              <w:spacing w:after="0"/>
              <w:rPr>
                <w:sz w:val="19"/>
                <w:szCs w:val="19"/>
                <w:color w:val="auto"/>
              </w:rPr>
            </w:pPr>
          </w:p>
        </w:tc>
      </w:tr>
      <w:tr>
        <w:trPr>
          <w:trHeight w:val="224"/>
        </w:trPr>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15,757</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8,314</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6,415</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5,732</w:t>
            </w:r>
          </w:p>
        </w:tc>
        <w:tc>
          <w:tcPr>
            <w:tcW w:w="120" w:type="dxa"/>
            <w:vAlign w:val="bottom"/>
            <w:shd w:val="clear" w:color="auto" w:fill="CFF0FC"/>
          </w:tcPr>
          <w:p>
            <w:pPr>
              <w:spacing w:after="0"/>
              <w:rPr>
                <w:sz w:val="19"/>
                <w:szCs w:val="19"/>
                <w:color w:val="auto"/>
              </w:rPr>
            </w:pPr>
          </w:p>
        </w:tc>
      </w:tr>
      <w:tr>
        <w:trPr>
          <w:trHeight w:val="217"/>
        </w:trPr>
        <w:tc>
          <w:tcPr>
            <w:tcW w:w="4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1,305,473</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1,220,765</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847,289</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823,771</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758,820</w:t>
            </w:r>
          </w:p>
        </w:tc>
        <w:tc>
          <w:tcPr>
            <w:tcW w:w="12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maturity of loans excluding fair value adjustments as of December 31, 2020:</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36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7"/>
              </w:rPr>
              <w:t>(In Thousands)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36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After One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4"/>
        </w:trPr>
        <w:tc>
          <w:tcPr>
            <w:tcW w:w="36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Within</w:t>
            </w:r>
          </w:p>
        </w:tc>
        <w:tc>
          <w:tcPr>
            <w:tcW w:w="240" w:type="dxa"/>
            <w:vAlign w:val="bottom"/>
          </w:tcPr>
          <w:p>
            <w:pPr>
              <w:spacing w:after="0"/>
              <w:rPr>
                <w:sz w:val="19"/>
                <w:szCs w:val="19"/>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Year Within</w:t>
            </w:r>
          </w:p>
        </w:tc>
        <w:tc>
          <w:tcPr>
            <w:tcW w:w="120" w:type="dxa"/>
            <w:vAlign w:val="bottom"/>
          </w:tcPr>
          <w:p>
            <w:pPr>
              <w:spacing w:after="0"/>
              <w:rPr>
                <w:sz w:val="19"/>
                <w:szCs w:val="19"/>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After</w:t>
            </w:r>
          </w:p>
        </w:tc>
      </w:tr>
      <w:tr>
        <w:trPr>
          <w:trHeight w:val="224"/>
        </w:trPr>
        <w:tc>
          <w:tcPr>
            <w:tcW w:w="3640" w:type="dxa"/>
            <w:vAlign w:val="bottom"/>
            <w:tcBorders>
              <w:bottom w:val="single" w:sz="8" w:color="CFF0FC"/>
            </w:tcBorders>
          </w:tcPr>
          <w:p>
            <w:pPr>
              <w:spacing w:after="0"/>
              <w:rPr>
                <w:sz w:val="19"/>
                <w:szCs w:val="19"/>
                <w:color w:val="auto"/>
              </w:rPr>
            </w:pPr>
          </w:p>
        </w:tc>
        <w:tc>
          <w:tcPr>
            <w:tcW w:w="17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8"/>
              </w:rPr>
              <w:t>One Year</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5"/>
              </w:rPr>
              <w:t>Five Years</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5"/>
              </w:rPr>
              <w:t>Five Years</w:t>
            </w:r>
          </w:p>
        </w:tc>
        <w:tc>
          <w:tcPr>
            <w:tcW w:w="80" w:type="dxa"/>
            <w:vAlign w:val="bottom"/>
            <w:tcBorders>
              <w:bottom w:val="single" w:sz="8" w:color="CFF0FC"/>
            </w:tcBorders>
          </w:tcPr>
          <w:p>
            <w:pPr>
              <w:spacing w:after="0"/>
              <w:rPr>
                <w:sz w:val="19"/>
                <w:szCs w:val="19"/>
                <w:color w:val="auto"/>
              </w:rPr>
            </w:pPr>
          </w:p>
        </w:tc>
      </w:tr>
      <w:tr>
        <w:trPr>
          <w:trHeight w:val="217"/>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31,538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138,295</w:t>
            </w:r>
          </w:p>
        </w:tc>
        <w:tc>
          <w:tcPr>
            <w:tcW w:w="80" w:type="dxa"/>
            <w:vAlign w:val="bottom"/>
            <w:shd w:val="clear" w:color="auto" w:fill="CFF0FC"/>
          </w:tcPr>
          <w:p>
            <w:pPr>
              <w:spacing w:after="0"/>
              <w:rPr>
                <w:sz w:val="18"/>
                <w:szCs w:val="18"/>
                <w:color w:val="auto"/>
              </w:rPr>
            </w:pP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180,123</w:t>
            </w:r>
          </w:p>
        </w:tc>
        <w:tc>
          <w:tcPr>
            <w:tcW w:w="80" w:type="dxa"/>
            <w:vAlign w:val="bottom"/>
          </w:tcPr>
          <w:p>
            <w:pPr>
              <w:spacing w:after="0"/>
              <w:rPr>
                <w:sz w:val="19"/>
                <w:szCs w:val="19"/>
                <w:color w:val="auto"/>
              </w:rPr>
            </w:pPr>
          </w:p>
        </w:tc>
      </w:tr>
      <w:tr>
        <w:trPr>
          <w:trHeight w:val="224"/>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53,083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27,835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13,443</w:t>
            </w:r>
          </w:p>
        </w:tc>
        <w:tc>
          <w:tcPr>
            <w:tcW w:w="80" w:type="dxa"/>
            <w:vAlign w:val="bottom"/>
            <w:shd w:val="clear" w:color="auto" w:fill="CFF0FC"/>
          </w:tcPr>
          <w:p>
            <w:pPr>
              <w:spacing w:after="0"/>
              <w:rPr>
                <w:sz w:val="19"/>
                <w:szCs w:val="19"/>
                <w:color w:val="auto"/>
              </w:rPr>
            </w:pP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21,532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307,834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259,571</w:t>
            </w:r>
          </w:p>
        </w:tc>
        <w:tc>
          <w:tcPr>
            <w:tcW w:w="80" w:type="dxa"/>
            <w:vAlign w:val="bottom"/>
          </w:tcPr>
          <w:p>
            <w:pPr>
              <w:spacing w:after="0"/>
              <w:rPr>
                <w:sz w:val="19"/>
                <w:szCs w:val="19"/>
                <w:color w:val="auto"/>
              </w:rPr>
            </w:pPr>
          </w:p>
        </w:tc>
      </w:tr>
      <w:tr>
        <w:trPr>
          <w:trHeight w:val="224"/>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61,416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109,373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18,642</w:t>
            </w:r>
          </w:p>
        </w:tc>
        <w:tc>
          <w:tcPr>
            <w:tcW w:w="80" w:type="dxa"/>
            <w:vAlign w:val="bottom"/>
            <w:shd w:val="clear" w:color="auto" w:fill="CFF0FC"/>
          </w:tcPr>
          <w:p>
            <w:pPr>
              <w:spacing w:after="0"/>
              <w:rPr>
                <w:sz w:val="19"/>
                <w:szCs w:val="19"/>
                <w:color w:val="auto"/>
              </w:rPr>
            </w:pP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Consumer</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38,099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12,900</w:t>
            </w:r>
          </w:p>
        </w:tc>
        <w:tc>
          <w:tcPr>
            <w:tcW w:w="80" w:type="dxa"/>
            <w:vAlign w:val="bottom"/>
          </w:tcPr>
          <w:p>
            <w:pPr>
              <w:spacing w:after="0"/>
              <w:rPr>
                <w:sz w:val="19"/>
                <w:szCs w:val="19"/>
                <w:color w:val="auto"/>
              </w:rPr>
            </w:pPr>
          </w:p>
        </w:tc>
      </w:tr>
      <w:tr>
        <w:trPr>
          <w:trHeight w:val="224"/>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2,223</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13,397</w:t>
            </w:r>
          </w:p>
        </w:tc>
        <w:tc>
          <w:tcPr>
            <w:tcW w:w="80" w:type="dxa"/>
            <w:vAlign w:val="bottom"/>
            <w:shd w:val="clear" w:color="auto" w:fill="CFF0FC"/>
          </w:tcPr>
          <w:p>
            <w:pPr>
              <w:spacing w:after="0"/>
              <w:rPr>
                <w:sz w:val="19"/>
                <w:szCs w:val="19"/>
                <w:color w:val="auto"/>
              </w:rPr>
            </w:pPr>
          </w:p>
        </w:tc>
      </w:tr>
      <w:tr>
        <w:trPr>
          <w:trHeight w:val="217"/>
        </w:trPr>
        <w:tc>
          <w:tcPr>
            <w:tcW w:w="364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151,196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518,858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636,371</w:t>
            </w:r>
          </w:p>
        </w:tc>
        <w:tc>
          <w:tcPr>
            <w:tcW w:w="8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total of loans excluding fair value adjustments due after one year which has either 1) predetermined interest rates (fixed) or 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floating or adjustable interest rates (variable):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center"/>
              <w:ind w:left="12"/>
              <w:spacing w:after="0"/>
              <w:rPr>
                <w:sz w:val="20"/>
                <w:szCs w:val="20"/>
                <w:color w:val="auto"/>
              </w:rPr>
            </w:pPr>
            <w:r>
              <w:rPr>
                <w:rFonts w:ascii="Arial" w:cs="Arial" w:eastAsia="Arial" w:hAnsi="Arial"/>
                <w:sz w:val="18"/>
                <w:szCs w:val="18"/>
                <w:color w:val="auto"/>
                <w:w w:val="89"/>
              </w:rPr>
              <w:t>(In Thousands)</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Fixed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Variable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140" w:type="dxa"/>
            <w:vAlign w:val="bottom"/>
            <w:tcBorders>
              <w:bottom w:val="single" w:sz="8" w:color="CFF0FC"/>
            </w:tcBorders>
          </w:tcPr>
          <w:p>
            <w:pPr>
              <w:spacing w:after="0"/>
              <w:rPr>
                <w:sz w:val="19"/>
                <w:szCs w:val="19"/>
                <w:color w:val="auto"/>
              </w:rPr>
            </w:pPr>
          </w:p>
        </w:tc>
        <w:tc>
          <w:tcPr>
            <w:tcW w:w="2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Rate</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4"/>
              </w:rPr>
              <w:t>Rate</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157,784</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12,049</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169,833</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80" w:type="dxa"/>
            <w:vAlign w:val="bottom"/>
            <w:gridSpan w:val="2"/>
          </w:tcPr>
          <w:p>
            <w:pPr>
              <w:ind w:left="1140"/>
              <w:spacing w:after="0"/>
              <w:rPr>
                <w:sz w:val="20"/>
                <w:szCs w:val="20"/>
                <w:color w:val="auto"/>
              </w:rPr>
            </w:pPr>
            <w:r>
              <w:rPr>
                <w:rFonts w:ascii="Arial" w:cs="Arial" w:eastAsia="Arial" w:hAnsi="Arial"/>
                <w:sz w:val="18"/>
                <w:szCs w:val="18"/>
                <w:color w:val="auto"/>
              </w:rPr>
              <w:t>Agricultural Real Estate</w:t>
            </w:r>
          </w:p>
        </w:tc>
        <w:tc>
          <w:tcPr>
            <w:tcW w:w="2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159,431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184,168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38,273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41,278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80" w:type="dxa"/>
            <w:vAlign w:val="bottom"/>
            <w:gridSpan w:val="2"/>
          </w:tcPr>
          <w:p>
            <w:pPr>
              <w:ind w:left="1140"/>
              <w:spacing w:after="0"/>
              <w:rPr>
                <w:sz w:val="20"/>
                <w:szCs w:val="20"/>
                <w:color w:val="auto"/>
              </w:rPr>
            </w:pPr>
            <w:r>
              <w:rPr>
                <w:rFonts w:ascii="Arial" w:cs="Arial" w:eastAsia="Arial" w:hAnsi="Arial"/>
                <w:sz w:val="18"/>
                <w:szCs w:val="18"/>
                <w:color w:val="auto"/>
              </w:rPr>
              <w:t>Commercial Real Estate</w:t>
            </w:r>
          </w:p>
        </w:tc>
        <w:tc>
          <w:tcPr>
            <w:tcW w:w="2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470,321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97,084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567,405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112,523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128,015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80" w:type="dxa"/>
            <w:vAlign w:val="bottom"/>
            <w:gridSpan w:val="2"/>
          </w:tcPr>
          <w:p>
            <w:pPr>
              <w:ind w:left="1140"/>
              <w:spacing w:after="0"/>
              <w:rPr>
                <w:sz w:val="20"/>
                <w:szCs w:val="20"/>
                <w:color w:val="auto"/>
              </w:rPr>
            </w:pPr>
            <w:r>
              <w:rPr>
                <w:rFonts w:ascii="Arial" w:cs="Arial" w:eastAsia="Arial" w:hAnsi="Arial"/>
                <w:sz w:val="18"/>
                <w:szCs w:val="18"/>
                <w:color w:val="auto"/>
              </w:rPr>
              <w:t>Consumer</w:t>
            </w:r>
          </w:p>
        </w:tc>
        <w:tc>
          <w:tcPr>
            <w:tcW w:w="2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50,999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50,999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1,002,862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152,367</w:t>
            </w: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1,155,229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80" w:type="dxa"/>
            <w:vAlign w:val="bottom"/>
            <w:vMerge w:val="restart"/>
          </w:tcPr>
          <w:p>
            <w:pPr>
              <w:jc w:val="right"/>
              <w:ind w:right="752"/>
              <w:spacing w:after="0"/>
              <w:rPr>
                <w:sz w:val="20"/>
                <w:szCs w:val="20"/>
                <w:color w:val="auto"/>
              </w:rPr>
            </w:pPr>
            <w:r>
              <w:rPr>
                <w:rFonts w:ascii="Arial" w:cs="Arial" w:eastAsia="Arial" w:hAnsi="Arial"/>
                <w:sz w:val="18"/>
                <w:szCs w:val="18"/>
                <w:color w:val="auto"/>
              </w:rPr>
              <w:t>41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4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The following table summarizes the Company’s nonaccrual, past due 90 days or more and still accruing loans, and accruing troubled debt restructurings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for each of the last five years: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color w:val="auto"/>
                <w:w w:val="92"/>
              </w:rPr>
              <w:t>(In Thousands)</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53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FF0FC"/>
            </w:tcBorders>
          </w:tcPr>
          <w:p>
            <w:pPr>
              <w:spacing w:after="0"/>
              <w:rPr>
                <w:sz w:val="18"/>
                <w:szCs w:val="18"/>
                <w:color w:val="auto"/>
              </w:rPr>
            </w:pPr>
          </w:p>
        </w:tc>
      </w:tr>
      <w:tr>
        <w:trPr>
          <w:trHeight w:val="217"/>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Non-accrual loans</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w:t>
            </w:r>
          </w:p>
        </w:tc>
        <w:tc>
          <w:tcPr>
            <w:tcW w:w="120" w:type="dxa"/>
            <w:vAlign w:val="bottom"/>
            <w:shd w:val="clear" w:color="auto" w:fill="CFF0FC"/>
          </w:tcPr>
          <w:p>
            <w:pPr>
              <w:spacing w:after="0"/>
              <w:rPr>
                <w:sz w:val="18"/>
                <w:szCs w:val="18"/>
                <w:color w:val="auto"/>
              </w:rPr>
            </w:pPr>
          </w:p>
        </w:tc>
      </w:tr>
      <w:tr>
        <w:trPr>
          <w:trHeight w:val="224"/>
        </w:trPr>
        <w:tc>
          <w:tcPr>
            <w:tcW w:w="5340" w:type="dxa"/>
            <w:vAlign w:val="bottom"/>
          </w:tcPr>
          <w:p>
            <w:pPr>
              <w:spacing w:after="0"/>
              <w:rPr>
                <w:sz w:val="20"/>
                <w:szCs w:val="20"/>
                <w:color w:val="auto"/>
              </w:rPr>
            </w:pPr>
            <w:r>
              <w:rPr>
                <w:rFonts w:ascii="Arial" w:cs="Arial" w:eastAsia="Arial" w:hAnsi="Arial"/>
                <w:sz w:val="18"/>
                <w:szCs w:val="18"/>
                <w:color w:val="auto"/>
              </w:rPr>
              <w:t>Accruing loans past due 90 days or more</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4"/>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Troubled Debt Restructurings, not included above</w:t>
            </w: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FF0FC"/>
          </w:tcPr>
          <w:p>
            <w:pPr>
              <w:spacing w:after="0"/>
              <w:rPr>
                <w:sz w:val="19"/>
                <w:szCs w:val="19"/>
                <w:color w:val="auto"/>
              </w:rPr>
            </w:pPr>
          </w:p>
        </w:tc>
      </w:tr>
      <w:tr>
        <w:trPr>
          <w:trHeight w:val="217"/>
        </w:trPr>
        <w:tc>
          <w:tcPr>
            <w:tcW w:w="5340" w:type="dxa"/>
            <w:vAlign w:val="bottom"/>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10,345</w:t>
            </w:r>
          </w:p>
        </w:tc>
        <w:tc>
          <w:tcPr>
            <w:tcW w:w="2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4,380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1,590</w:t>
            </w:r>
          </w:p>
        </w:tc>
        <w:tc>
          <w:tcPr>
            <w:tcW w:w="2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1,943</w:t>
            </w:r>
          </w:p>
        </w:tc>
        <w:tc>
          <w:tcPr>
            <w:tcW w:w="12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Although loans may be classified as non-performing, some pay on a regular basis, and many continue to pay interest irregularly or at less than original contractual rates. Interest income that would have been recorded under the original terms of these loans would have aggregated $272 thousand for 2020, $193 for 2019 and $99 thousand for 2018. Any collections of interest on nonaccrual loans are included in interest income when collected unless it is on an impaired loan with a specific allocation. A collection of interest on an impaired loan with a specific allocation is applied to the loan balance to decrease the allocation. Total interest collections, whether on an accrued or cash basis, amounted to $269 thousand for 2020, $117 thousand for 2019 and $69 thousand for 2018.</w:t>
      </w:r>
    </w:p>
    <w:p>
      <w:pPr>
        <w:spacing w:after="0" w:line="15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Loans are placed on nonaccrual status in the event that the loan is in past due status for more than 90 days or payment in full of principal and interest is not expected. The Bank had nonaccrual loan balances of $9.4 million at December 31, 2020 compared to balances of $3.4 million and $542.0 thousand as of year-end 2019 and 2018. All of the balances of nonaccrual loans for the past three years were collaterally secured.</w:t>
      </w:r>
    </w:p>
    <w:p>
      <w:pPr>
        <w:spacing w:after="0" w:line="15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31, 2020, the Bank had $56.3 million of loans which it considers to be “potential problem loans” in that the borrowers are experiencing financial difficulties which are not reflected in the table above. At December 31, 2019, the Bank had $60.2 million of these loans. At December 31, 2018, the Bank had $7.9 million of these loans. These loans are subject to constant management attention and are reviewed at least monthly. The amount of the potential problem loans was considered in management’s review of the loan loss reserve at December 31, 2020 and 2019.</w:t>
      </w:r>
    </w:p>
    <w:p>
      <w:pPr>
        <w:spacing w:after="0" w:line="162" w:lineRule="exact"/>
        <w:rPr>
          <w:sz w:val="20"/>
          <w:szCs w:val="20"/>
          <w:color w:val="auto"/>
        </w:rPr>
      </w:pPr>
    </w:p>
    <w:p>
      <w:pPr>
        <w:jc w:val="both"/>
        <w:spacing w:after="0" w:line="328" w:lineRule="auto"/>
        <w:rPr>
          <w:sz w:val="20"/>
          <w:szCs w:val="20"/>
          <w:color w:val="auto"/>
        </w:rPr>
      </w:pPr>
      <w:r>
        <w:rPr>
          <w:rFonts w:ascii="Arial" w:cs="Arial" w:eastAsia="Arial" w:hAnsi="Arial"/>
          <w:sz w:val="15"/>
          <w:szCs w:val="15"/>
          <w:color w:val="auto"/>
        </w:rPr>
        <w:t>In extending credit to families, businesses and governments, banks accept a measure of risk against which an allowance for possible loan loss is established by way of expense charges to earnings. This expense is determined by management based on a detailed monthly review of the risk factors affecting the loan portfolio, including general economic conditions, changes in the portfolio mix, past due loan-loss experience and the financial condition of the bank’s borrowers.</w:t>
      </w:r>
    </w:p>
    <w:p>
      <w:pPr>
        <w:spacing w:after="0" w:line="13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As of December 31, 2020, the Bank had loans outstanding to individuals and firms engaged in the various fields of agriculture in the amount of $94.4 million with an additional $189.2 million in agricultural real estate loans which compared to $111.8 and $199.1 million respectively as of December 31, 2019. The ratio of this segment of loans to the total loan portfolio is not considered unusual for a bank engaged in and servicing rural communities.</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Interest rate modification to reflect a decrease in market interest rates or maintain a relationship with the debtor, where the debtor is not experiencing financial difficulty and can obtain funding from other sources, is not considered a troubled debt restructuring. As of December 31, 2020, the Bank had $6.5 million of its loans that were classified as troubled debt restructurings, of which $5.6 million are included in non-accrual loans. This compares to $956.3 thousand of troubled debt restructurings, of which $50.3 thousand are included in non-accrual loans for 2019 and $178.1 thousand of troubled debt restructuring, of which $74.4 thousand are included in non-accrual loans for 2018.</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Updated appraisals are required on all collateral dependent loans once they are deemed impaired. The Bank may also require an updated appraisal of a watch list loan which the Bank monitors under their loan policy. On a quarterly basis, Bank management reviews properties supporting asset dependent loans to consider market events that may indicate a change in value has occurred.</w:t>
      </w:r>
    </w:p>
    <w:p>
      <w:pPr>
        <w:spacing w:after="0" w:line="189"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To determine observable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existing collateral value used.</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Performing “non-watch list” loans secured in whole or in part by real estate, do not require an updated appraisal unless the loan is rewritten and additional funds advanced. Watch List loans secured in whole or in part by real estate require updated appraisals every two years. All loans are subject to loan to values as found in the Bank’s loan policies irrespective of their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grade. The Bank’s watch list is reviewed on a quarterly basis by management and any questions to value are addressed at that time.</w:t>
      </w: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majority of the Bank’s loans are made in the market by lenders who live and work in the market. Thus, their evaluation of the independent valuation is also valuable and serves as a double check.</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extremely rare occasions, the Bank will make adjustments to the recorded values of collateral securing commercial real estate loans without acquiring an updated appraisal for the subject property. The Bank has no formalized policy for determining when collateral value adjustments between regularly scheduled appraisals are necessary, nor does it use any specific methodology for applying such adjustments. However, on a quarterly basis as part of its normal operations, the Bank’s senior management and the Loan Review Committee will meet to review all commercial credits either deemed to be impaired or on the Bank’s watch list. In addition to analyzing the recent performance of these loans, management and the Enterprise Risk Management Committee will also consider any general market conditions that might warrant adjustments to the value of particular real estate collateralizing commercial loans. In addition, management conducts annual reviews of all commercial loans exceeding certain outstanding balance thresholds. In each of these situations, any information available to management regarding market conditions impacting a specific property or other relevant factors are considered, and lenders familiar with a particular commercial real estate loan and the underlying collateral may be present to provide their opinion on such factors. If the available information leads management to conclude a valuation adjustment is warranted, such an adjustment may be applied on the basis of the information available. If management concludes that an adjustment is warranted but lacks the specific information needed to reasonably quantify the adjustment, management will order a new appraisal on the subject property even though one may not be required under the Bank’s general policies for updating appraisal.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Note 4 of the Consolidated Financial Statements may also be reviewed for additional tables dealing with the Bank’s loans and ALLL.</w:t>
      </w: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ALLL is evaluated based on an assessment of the losses inherent in the loan portfolio. This assessment results in an allowance consisting of two components, allocated and unallocated.</w:t>
      </w:r>
    </w:p>
    <w:p>
      <w:pPr>
        <w:spacing w:after="0" w:line="180"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Management considers several different risk assessments in determining ALLL. The allocated component of ALLL reflects expected losses resulting from an analysis of individual loans, developed through specific credit allocations for individual loans and historical loss experience for each loan category. For those loans where the internal credit rating is at or below a predetermined classification and management can reasonably estimate the loss that will be sustained based upon collateral, the borrowers operating activity and economic conditions in which the borrower operates, a specific allocation is made. For those borrowers that are not currently behind in their payment, but for which management believes, based on economic conditions and operating activities of the borrower, the possibility exists for future collection problems, a reserve is established. The amount of reserve allocated to each loan portfolio is based on past loss experiences and the different levels of risk within each loan portfolio. The historical loan loss portion is determined using a historical loss analysis by loan category.</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unallocated portion of the reserve for loan losses is determined based on management’s assessment of general economic conditions as well as specific economic factors in the Bank’s marketing area. This assessment inherently involves a higher degree of uncertainty. It represents estimated inherent but undetected losses within the portfolio that are probable due to uncertainties in economic conditions, delays in obtaining information, including unfavorable information about a borrower’s financial condition and other current risk factors that may not have yet manifested themselves in the Bank’s historical loss factors used to determine the allocated component of the allowance.</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Actual charge-off of loan balances is based upon periodic evaluations of the loan portfolio by management. These evaluations consider several factors, including, but not limited to, general economic conditions, financial condition of the borrower, and collateral.</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presented in the table on the next page, charge-offs decreased to $720 thousand for 2020. 52.8% of the charge-offs stemmed from the consumer related portfolios. Charge-offs were $841 thousand for 2019, $580 thousand for 2018, preceded by $288 thousand for 2017 and $550 thousand for 2016. Recoveries were $183 thousand in 2020 compared to $156, $163, $150 and $156 thousand for 2019, 2018, 2017 and 2016, respectively. The net charge-offs for the last five years were all under $700 thousand. 2017 was the lowest at $138 thousand.</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Higher provision expense was used to fund the ALLL for loan growth in 2016 and 2019. 2020 had higher provision expense due to the uncertainty surrounding COVID-19 and its impact on individuals and businesses. For 2017 and 2018, the provision was used to replenish the balance decreased by the net charge-off activity. Overall, the ALLL increased from $6.8 million at year-end 2016 to $13.7 million at year-end 2020. After adding the allowance for unfunded loan commitments, the ACL ended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3" w:name="page44"/>
    <w:bookmarkEnd w:id="43"/>
    <w:p>
      <w:pPr>
        <w:spacing w:after="0"/>
        <w:rPr>
          <w:sz w:val="20"/>
          <w:szCs w:val="20"/>
          <w:color w:val="auto"/>
        </w:rPr>
      </w:pPr>
      <w:r>
        <w:rPr>
          <w:rFonts w:ascii="Arial" w:cs="Arial" w:eastAsia="Arial" w:hAnsi="Arial"/>
          <w:sz w:val="15"/>
          <w:szCs w:val="15"/>
          <w:color w:val="auto"/>
        </w:rPr>
        <w:t>2020 at $14.3 million. As the ratios on the bottom of the following table show, the trends for each have improved or remained constant over the five years shown.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Asset quality and the ACL are both strong and emphasize the level of credit quality.</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reviewing the bigger picture of the allowance for credit loss, the years with the higher percentage of ACL to total nonperforming loans ratio account for the lower level of nonaccrual and watch list loans. This demonstrates the extended time period with which it has taken to achieve resolution and/or collection of these loans. The ratio of ACL to nonperforming loans increased beginning in 2016 with a significant drop in 2019 followed by a slight drop in 2020. 2020’s provision expense was the highest of the five years shown largely due to the uncertainty surrounding COVID-19. Loan growth occurred in 2020 and 2019 reaching a double-digit percentage increase like 2016. The ACL to nonperforming loans for all years remained more than adequate and emphasizes the existing strong level of credit quality.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the allowance for credit losses for the years ended December 31, 2020, 2019, 2018, 2017 and 2016:</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(In Thousands)</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60" w:type="dxa"/>
            <w:vAlign w:val="bottom"/>
            <w:tcBorders>
              <w:bottom w:val="single" w:sz="8" w:color="CFF0FC"/>
            </w:tcBorders>
          </w:tcPr>
          <w:p>
            <w:pPr>
              <w:spacing w:after="0"/>
              <w:rPr>
                <w:sz w:val="18"/>
                <w:szCs w:val="18"/>
                <w:color w:val="auto"/>
              </w:rPr>
            </w:pPr>
          </w:p>
        </w:tc>
        <w:tc>
          <w:tcPr>
            <w:tcW w:w="6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Loans</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1,302,990</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1,218,999</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846,374</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823,024</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758,094</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6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vMerge w:val="continue"/>
          </w:tcPr>
          <w:p>
            <w:pPr>
              <w:spacing w:after="0"/>
              <w:rPr>
                <w:sz w:val="19"/>
                <w:szCs w:val="19"/>
                <w:color w:val="auto"/>
              </w:rPr>
            </w:pPr>
          </w:p>
        </w:tc>
        <w:tc>
          <w:tcPr>
            <w:tcW w:w="8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1,313,675</w:t>
            </w:r>
          </w:p>
        </w:tc>
        <w:tc>
          <w:tcPr>
            <w:tcW w:w="220" w:type="dxa"/>
            <w:vAlign w:val="bottom"/>
          </w:tcPr>
          <w:p>
            <w:pPr>
              <w:spacing w:after="0"/>
              <w:rPr>
                <w:sz w:val="19"/>
                <w:szCs w:val="19"/>
                <w:color w:val="auto"/>
              </w:rPr>
            </w:pPr>
          </w:p>
        </w:tc>
        <w:tc>
          <w:tcPr>
            <w:tcW w:w="3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1,129,231</w:t>
            </w:r>
          </w:p>
        </w:tc>
        <w:tc>
          <w:tcPr>
            <w:tcW w:w="220" w:type="dxa"/>
            <w:vAlign w:val="bottom"/>
          </w:tcPr>
          <w:p>
            <w:pPr>
              <w:spacing w:after="0"/>
              <w:rPr>
                <w:sz w:val="19"/>
                <w:szCs w:val="19"/>
                <w:color w:val="auto"/>
              </w:rPr>
            </w:pPr>
          </w:p>
        </w:tc>
        <w:tc>
          <w:tcPr>
            <w:tcW w:w="30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831,614</w:t>
            </w:r>
          </w:p>
        </w:tc>
        <w:tc>
          <w:tcPr>
            <w:tcW w:w="220" w:type="dxa"/>
            <w:vAlign w:val="bottom"/>
          </w:tcPr>
          <w:p>
            <w:pPr>
              <w:spacing w:after="0"/>
              <w:rPr>
                <w:sz w:val="19"/>
                <w:szCs w:val="19"/>
                <w:color w:val="auto"/>
              </w:rPr>
            </w:pPr>
          </w:p>
        </w:tc>
        <w:tc>
          <w:tcPr>
            <w:tcW w:w="3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783,140</w:t>
            </w:r>
          </w:p>
        </w:tc>
        <w:tc>
          <w:tcPr>
            <w:tcW w:w="220" w:type="dxa"/>
            <w:vAlign w:val="bottom"/>
          </w:tcPr>
          <w:p>
            <w:pPr>
              <w:spacing w:after="0"/>
              <w:rPr>
                <w:sz w:val="19"/>
                <w:szCs w:val="19"/>
                <w:color w:val="auto"/>
              </w:rPr>
            </w:pPr>
          </w:p>
        </w:tc>
        <w:tc>
          <w:tcPr>
            <w:tcW w:w="3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724,076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Allowance for Loan Losses - Jan 1</w:t>
            </w: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60" w:type="dxa"/>
            <w:vAlign w:val="bottom"/>
            <w:vMerge w:val="continue"/>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line="204"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7,228</w:t>
            </w:r>
          </w:p>
        </w:tc>
        <w:tc>
          <w:tcPr>
            <w:tcW w:w="2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40"/>
              <w:spacing w:after="0" w:line="204"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6,775</w:t>
            </w:r>
          </w:p>
        </w:tc>
        <w:tc>
          <w:tcPr>
            <w:tcW w:w="2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ind w:left="80"/>
              <w:spacing w:after="0" w:line="204"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6,868</w:t>
            </w:r>
          </w:p>
        </w:tc>
        <w:tc>
          <w:tcPr>
            <w:tcW w:w="2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40"/>
              <w:spacing w:after="0" w:line="204"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6,784</w:t>
            </w:r>
          </w:p>
        </w:tc>
        <w:tc>
          <w:tcPr>
            <w:tcW w:w="2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20"/>
              <w:spacing w:after="0" w:line="204"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6,057</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240"/>
              <w:spacing w:after="0"/>
              <w:rPr>
                <w:sz w:val="20"/>
                <w:szCs w:val="20"/>
                <w:color w:val="auto"/>
              </w:rPr>
            </w:pPr>
            <w:r>
              <w:rPr>
                <w:rFonts w:ascii="Arial" w:cs="Arial" w:eastAsia="Arial" w:hAnsi="Arial"/>
                <w:sz w:val="18"/>
                <w:szCs w:val="18"/>
                <w:color w:val="auto"/>
              </w:rPr>
              <w:t>Loans Charged off:</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Consumer Real Estate</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480"/>
              <w:spacing w:after="0"/>
              <w:rPr>
                <w:sz w:val="20"/>
                <w:szCs w:val="20"/>
                <w:color w:val="auto"/>
              </w:rPr>
            </w:pPr>
            <w:r>
              <w:rPr>
                <w:rFonts w:ascii="Arial" w:cs="Arial" w:eastAsia="Arial" w:hAnsi="Arial"/>
                <w:sz w:val="18"/>
                <w:szCs w:val="18"/>
                <w:color w:val="auto"/>
              </w:rPr>
              <w:t>Agricultural Real Estate</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Agricultural</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480"/>
              <w:spacing w:after="0"/>
              <w:rPr>
                <w:sz w:val="20"/>
                <w:szCs w:val="20"/>
                <w:color w:val="auto"/>
              </w:rPr>
            </w:pPr>
            <w:r>
              <w:rPr>
                <w:rFonts w:ascii="Arial" w:cs="Arial" w:eastAsia="Arial" w:hAnsi="Arial"/>
                <w:sz w:val="18"/>
                <w:szCs w:val="18"/>
                <w:color w:val="auto"/>
              </w:rPr>
              <w:t>Commercial Real Estate</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and Industrial</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Consumer</w:t>
            </w:r>
          </w:p>
        </w:tc>
        <w:tc>
          <w:tcPr>
            <w:tcW w:w="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60" w:type="dxa"/>
            <w:vAlign w:val="bottom"/>
          </w:tcPr>
          <w:p>
            <w:pPr>
              <w:ind w:left="240"/>
              <w:spacing w:after="0"/>
              <w:rPr>
                <w:sz w:val="20"/>
                <w:szCs w:val="20"/>
                <w:color w:val="auto"/>
              </w:rPr>
            </w:pPr>
            <w:r>
              <w:rPr>
                <w:rFonts w:ascii="Arial" w:cs="Arial" w:eastAsia="Arial" w:hAnsi="Arial"/>
                <w:sz w:val="18"/>
                <w:szCs w:val="18"/>
                <w:color w:val="auto"/>
              </w:rPr>
              <w:t>Loan Recoveries: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Consumer Real Estate</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480"/>
              <w:spacing w:after="0"/>
              <w:rPr>
                <w:sz w:val="20"/>
                <w:szCs w:val="20"/>
                <w:color w:val="auto"/>
              </w:rPr>
            </w:pPr>
            <w:r>
              <w:rPr>
                <w:rFonts w:ascii="Arial" w:cs="Arial" w:eastAsia="Arial" w:hAnsi="Arial"/>
                <w:sz w:val="18"/>
                <w:szCs w:val="18"/>
                <w:color w:val="auto"/>
              </w:rPr>
              <w:t>Agricultural Real Estate</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Agricultural</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480"/>
              <w:spacing w:after="0"/>
              <w:rPr>
                <w:sz w:val="20"/>
                <w:szCs w:val="20"/>
                <w:color w:val="auto"/>
              </w:rPr>
            </w:pPr>
            <w:r>
              <w:rPr>
                <w:rFonts w:ascii="Arial" w:cs="Arial" w:eastAsia="Arial" w:hAnsi="Arial"/>
                <w:sz w:val="18"/>
                <w:szCs w:val="18"/>
                <w:color w:val="auto"/>
              </w:rPr>
              <w:t>Commercial Real Estate</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and Industrial</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Consumer</w:t>
            </w:r>
          </w:p>
        </w:tc>
        <w:tc>
          <w:tcPr>
            <w:tcW w:w="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60" w:type="dxa"/>
            <w:vAlign w:val="bottom"/>
          </w:tcPr>
          <w:p>
            <w:pPr>
              <w:ind w:left="480"/>
              <w:spacing w:after="0"/>
              <w:rPr>
                <w:sz w:val="20"/>
                <w:szCs w:val="20"/>
                <w:color w:val="auto"/>
              </w:rPr>
            </w:pPr>
            <w:r>
              <w:rPr>
                <w:rFonts w:ascii="Arial" w:cs="Arial" w:eastAsia="Arial" w:hAnsi="Arial"/>
                <w:sz w:val="18"/>
                <w:szCs w:val="18"/>
                <w:color w:val="auto"/>
              </w:rPr>
              <w:t>Net Charge Offs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Provision for loan loss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480"/>
              <w:spacing w:after="0"/>
              <w:rPr>
                <w:sz w:val="20"/>
                <w:szCs w:val="20"/>
                <w:color w:val="auto"/>
              </w:rPr>
            </w:pPr>
            <w:r>
              <w:rPr>
                <w:rFonts w:ascii="Arial" w:cs="Arial" w:eastAsia="Arial" w:hAnsi="Arial"/>
                <w:sz w:val="18"/>
                <w:szCs w:val="18"/>
                <w:color w:val="auto"/>
              </w:rPr>
              <w:t>Acquisition provision for loan loss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Loan &amp; Lease Losses - Dec 31</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6,784</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860" w:type="dxa"/>
            <w:vAlign w:val="bottom"/>
          </w:tcPr>
          <w:p>
            <w:pPr>
              <w:spacing w:after="0"/>
              <w:rPr>
                <w:sz w:val="20"/>
                <w:szCs w:val="20"/>
                <w:color w:val="auto"/>
              </w:rPr>
            </w:pPr>
            <w:r>
              <w:rPr>
                <w:rFonts w:ascii="Arial" w:cs="Arial" w:eastAsia="Arial" w:hAnsi="Arial"/>
                <w:sz w:val="18"/>
                <w:szCs w:val="18"/>
                <w:color w:val="auto"/>
              </w:rPr>
              <w:t>Allowance for Unfunded Loan</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Commitments &amp; Letters of Credit - Dec 31</w:t>
            </w:r>
          </w:p>
        </w:tc>
        <w:tc>
          <w:tcPr>
            <w:tcW w:w="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Allowance for Credit Losses - Dec 31</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14,313</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7,707</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7,049</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7,095</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7,001</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Ratio of net charge-offs to average Loans</w:t>
            </w:r>
          </w:p>
        </w:tc>
        <w:tc>
          <w:tcPr>
            <w:tcW w:w="6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86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91"/>
        </w:trPr>
        <w:tc>
          <w:tcPr>
            <w:tcW w:w="386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Ratio of the Allowance for Loan &amp; Lease</w:t>
            </w:r>
          </w:p>
        </w:tc>
        <w:tc>
          <w:tcPr>
            <w:tcW w:w="64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Losses to Nonperforming Loans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145.47%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209.70%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1249.57%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684.83%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490.39%</w:t>
            </w: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*Nonperforming loans are defined as all loans on nonaccrual, plus any loans past due 90 days not on nonaccrual.</w:t>
      </w:r>
    </w:p>
    <w:p>
      <w:pPr>
        <w:spacing w:after="0" w:line="2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Allocation of ALLL per Loan Category in terms of dollars and percentage of loans in each category to total loans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2018</w:t>
            </w: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2017</w:t>
            </w: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2016</w:t>
            </w:r>
          </w:p>
        </w:tc>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8"/>
                <w:szCs w:val="18"/>
                <w:color w:val="auto"/>
              </w:rPr>
              <w:t>Amount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8"/>
                <w:szCs w:val="18"/>
                <w:color w:val="auto"/>
              </w:rPr>
              <w:t>Amount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8"/>
                <w:szCs w:val="18"/>
                <w:color w:val="auto"/>
              </w:rPr>
              <w:t>Amount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8"/>
                <w:szCs w:val="18"/>
                <w:color w:val="auto"/>
              </w:rPr>
              <w:t>Amount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8"/>
                <w:szCs w:val="18"/>
                <w:color w:val="auto"/>
              </w:rPr>
              <w:t>Amount</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4"/>
        </w:trPr>
        <w:tc>
          <w:tcPr>
            <w:tcW w:w="2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4"/>
          </w:tcPr>
          <w:p>
            <w:pPr>
              <w:ind w:left="40"/>
              <w:spacing w:after="0"/>
              <w:rPr>
                <w:sz w:val="20"/>
                <w:szCs w:val="20"/>
                <w:color w:val="auto"/>
              </w:rPr>
            </w:pPr>
            <w:r>
              <w:rPr>
                <w:rFonts w:ascii="Arial" w:cs="Arial" w:eastAsia="Arial" w:hAnsi="Arial"/>
                <w:sz w:val="18"/>
                <w:szCs w:val="18"/>
                <w:color w:val="auto"/>
              </w:rPr>
              <w:t>(000's)</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4"/>
          </w:tcPr>
          <w:p>
            <w:pPr>
              <w:ind w:left="60"/>
              <w:spacing w:after="0"/>
              <w:rPr>
                <w:sz w:val="20"/>
                <w:szCs w:val="20"/>
                <w:color w:val="auto"/>
              </w:rPr>
            </w:pPr>
            <w:r>
              <w:rPr>
                <w:rFonts w:ascii="Arial" w:cs="Arial" w:eastAsia="Arial" w:hAnsi="Arial"/>
                <w:sz w:val="18"/>
                <w:szCs w:val="18"/>
                <w:color w:val="auto"/>
              </w:rPr>
              <w:t>(000's)</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4"/>
          </w:tcPr>
          <w:p>
            <w:pPr>
              <w:ind w:left="60"/>
              <w:spacing w:after="0"/>
              <w:rPr>
                <w:sz w:val="20"/>
                <w:szCs w:val="20"/>
                <w:color w:val="auto"/>
              </w:rPr>
            </w:pPr>
            <w:r>
              <w:rPr>
                <w:rFonts w:ascii="Arial" w:cs="Arial" w:eastAsia="Arial" w:hAnsi="Arial"/>
                <w:sz w:val="18"/>
                <w:szCs w:val="18"/>
                <w:color w:val="auto"/>
              </w:rPr>
              <w:t>(000's)</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4"/>
          </w:tcPr>
          <w:p>
            <w:pPr>
              <w:ind w:left="60"/>
              <w:spacing w:after="0"/>
              <w:rPr>
                <w:sz w:val="20"/>
                <w:szCs w:val="20"/>
                <w:color w:val="auto"/>
              </w:rPr>
            </w:pPr>
            <w:r>
              <w:rPr>
                <w:rFonts w:ascii="Arial" w:cs="Arial" w:eastAsia="Arial" w:hAnsi="Arial"/>
                <w:sz w:val="18"/>
                <w:szCs w:val="18"/>
                <w:color w:val="auto"/>
              </w:rPr>
              <w:t>(000's)</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4"/>
          </w:tcPr>
          <w:p>
            <w:pPr>
              <w:ind w:left="60"/>
              <w:spacing w:after="0"/>
              <w:rPr>
                <w:sz w:val="20"/>
                <w:szCs w:val="20"/>
                <w:color w:val="auto"/>
              </w:rPr>
            </w:pPr>
            <w:r>
              <w:rPr>
                <w:rFonts w:ascii="Arial" w:cs="Arial" w:eastAsia="Arial" w:hAnsi="Arial"/>
                <w:sz w:val="18"/>
                <w:szCs w:val="18"/>
                <w:color w:val="auto"/>
              </w:rPr>
              <w:t>(000's)</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5"/>
        </w:trPr>
        <w:tc>
          <w:tcPr>
            <w:tcW w:w="27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Balance at End of Period</w:t>
            </w:r>
          </w:p>
        </w:tc>
        <w:tc>
          <w:tcPr>
            <w:tcW w:w="5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r>
      <w:tr>
        <w:trPr>
          <w:trHeight w:val="223"/>
        </w:trPr>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Applicable To:</w:t>
            </w: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Consumer Real Estate</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13.45</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13.51</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9.48</w:t>
            </w:r>
          </w:p>
        </w:tc>
        <w:tc>
          <w:tcPr>
            <w:tcW w:w="2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11.33</w:t>
            </w:r>
          </w:p>
        </w:tc>
        <w:tc>
          <w:tcPr>
            <w:tcW w:w="60" w:type="dxa"/>
            <w:vAlign w:val="bottom"/>
          </w:tcPr>
          <w:p>
            <w:pPr>
              <w:spacing w:after="0"/>
              <w:rPr>
                <w:sz w:val="19"/>
                <w:szCs w:val="19"/>
                <w:color w:val="auto"/>
              </w:rPr>
            </w:pPr>
          </w:p>
        </w:tc>
      </w:tr>
      <w:tr>
        <w:trPr>
          <w:trHeight w:val="224"/>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Agricultural Real Estate</w:t>
            </w: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60" w:type="dxa"/>
            <w:vAlign w:val="bottom"/>
            <w:shd w:val="clear" w:color="auto" w:fill="CFF0FC"/>
          </w:tcPr>
          <w:p>
            <w:pPr>
              <w:spacing w:after="0"/>
              <w:rPr>
                <w:sz w:val="19"/>
                <w:szCs w:val="19"/>
                <w:color w:val="auto"/>
              </w:rPr>
            </w:pP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Agricultural</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11.17</w:t>
            </w:r>
          </w:p>
        </w:tc>
        <w:tc>
          <w:tcPr>
            <w:tcW w:w="60" w:type="dxa"/>
            <w:vAlign w:val="bottom"/>
          </w:tcPr>
          <w:p>
            <w:pPr>
              <w:spacing w:after="0"/>
              <w:rPr>
                <w:sz w:val="19"/>
                <w:szCs w:val="19"/>
                <w:color w:val="auto"/>
              </w:rPr>
            </w:pPr>
          </w:p>
        </w:tc>
      </w:tr>
      <w:tr>
        <w:trPr>
          <w:trHeight w:val="224"/>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3,634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3,217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3,149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3,250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49.72</w:t>
            </w:r>
          </w:p>
        </w:tc>
        <w:tc>
          <w:tcPr>
            <w:tcW w:w="60" w:type="dxa"/>
            <w:vAlign w:val="bottom"/>
            <w:shd w:val="clear" w:color="auto" w:fill="CFF0FC"/>
          </w:tcPr>
          <w:p>
            <w:pPr>
              <w:spacing w:after="0"/>
              <w:rPr>
                <w:sz w:val="19"/>
                <w:szCs w:val="19"/>
                <w:color w:val="auto"/>
              </w:rPr>
            </w:pP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15.67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1,727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11.81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1,305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1,546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1,318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15.18</w:t>
            </w:r>
          </w:p>
        </w:tc>
        <w:tc>
          <w:tcPr>
            <w:tcW w:w="60" w:type="dxa"/>
            <w:vAlign w:val="bottom"/>
          </w:tcPr>
          <w:p>
            <w:pPr>
              <w:spacing w:after="0"/>
              <w:rPr>
                <w:sz w:val="19"/>
                <w:szCs w:val="19"/>
                <w:color w:val="auto"/>
              </w:rPr>
            </w:pPr>
          </w:p>
        </w:tc>
      </w:tr>
      <w:tr>
        <w:trPr>
          <w:trHeight w:val="224"/>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60" w:type="dxa"/>
            <w:vAlign w:val="bottom"/>
            <w:shd w:val="clear" w:color="auto" w:fill="CFF0FC"/>
          </w:tcPr>
          <w:p>
            <w:pPr>
              <w:spacing w:after="0"/>
              <w:rPr>
                <w:sz w:val="19"/>
                <w:szCs w:val="19"/>
                <w:color w:val="auto"/>
              </w:rPr>
            </w:pPr>
          </w:p>
        </w:tc>
      </w:tr>
      <w:tr>
        <w:trPr>
          <w:trHeight w:val="224"/>
        </w:trPr>
        <w:tc>
          <w:tcPr>
            <w:tcW w:w="2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w:t>
            </w:r>
          </w:p>
        </w:tc>
        <w:tc>
          <w:tcPr>
            <w:tcW w:w="5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0.00</w:t>
            </w:r>
          </w:p>
        </w:tc>
        <w:tc>
          <w:tcPr>
            <w:tcW w:w="60" w:type="dxa"/>
            <w:vAlign w:val="bottom"/>
            <w:tcBorders>
              <w:bottom w:val="single" w:sz="8" w:color="CFF0FC"/>
            </w:tcBorders>
          </w:tcPr>
          <w:p>
            <w:pPr>
              <w:spacing w:after="0"/>
              <w:rPr>
                <w:sz w:val="19"/>
                <w:szCs w:val="19"/>
                <w:color w:val="auto"/>
              </w:rPr>
            </w:pPr>
          </w:p>
        </w:tc>
      </w:tr>
      <w:tr>
        <w:trPr>
          <w:trHeight w:val="205"/>
        </w:trPr>
        <w:tc>
          <w:tcPr>
            <w:tcW w:w="2780" w:type="dxa"/>
            <w:vAlign w:val="bottom"/>
            <w:shd w:val="clear" w:color="auto" w:fill="CFF0FC"/>
          </w:tcPr>
          <w:p>
            <w:pPr>
              <w:ind w:left="240"/>
              <w:spacing w:after="0" w:line="205" w:lineRule="exact"/>
              <w:rPr>
                <w:sz w:val="20"/>
                <w:szCs w:val="20"/>
                <w:color w:val="auto"/>
              </w:rPr>
            </w:pPr>
            <w:r>
              <w:rPr>
                <w:rFonts w:ascii="Arial" w:cs="Arial" w:eastAsia="Arial" w:hAnsi="Arial"/>
                <w:sz w:val="18"/>
                <w:szCs w:val="18"/>
                <w:color w:val="auto"/>
              </w:rPr>
              <w:t>Allowance for Loan &amp; Lease</w:t>
            </w: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23"/>
        </w:trPr>
        <w:tc>
          <w:tcPr>
            <w:tcW w:w="2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Losses</w:t>
            </w:r>
          </w:p>
        </w:tc>
        <w:tc>
          <w:tcPr>
            <w:tcW w:w="6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13,672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100.00</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7,228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100.00</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6,775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6,868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6,784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100.00</w:t>
            </w:r>
          </w:p>
        </w:tc>
        <w:tc>
          <w:tcPr>
            <w:tcW w:w="60" w:type="dxa"/>
            <w:vAlign w:val="bottom"/>
            <w:shd w:val="clear" w:color="auto" w:fill="CFF0FC"/>
          </w:tcPr>
          <w:p>
            <w:pPr>
              <w:spacing w:after="0"/>
              <w:rPr>
                <w:sz w:val="19"/>
                <w:szCs w:val="19"/>
                <w:color w:val="auto"/>
              </w:rPr>
            </w:pPr>
          </w:p>
        </w:tc>
      </w:tr>
      <w:tr>
        <w:trPr>
          <w:trHeight w:val="212"/>
        </w:trPr>
        <w:tc>
          <w:tcPr>
            <w:tcW w:w="2780" w:type="dxa"/>
            <w:vAlign w:val="bottom"/>
          </w:tcPr>
          <w:p>
            <w:pPr>
              <w:ind w:left="240"/>
              <w:spacing w:after="0"/>
              <w:rPr>
                <w:sz w:val="20"/>
                <w:szCs w:val="20"/>
                <w:color w:val="auto"/>
              </w:rPr>
            </w:pPr>
            <w:r>
              <w:rPr>
                <w:rFonts w:ascii="Arial" w:cs="Arial" w:eastAsia="Arial" w:hAnsi="Arial"/>
                <w:sz w:val="18"/>
                <w:szCs w:val="18"/>
                <w:color w:val="auto"/>
              </w:rPr>
              <w:t>Off Balance Sheet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7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Commitments</w:t>
            </w:r>
          </w:p>
        </w:tc>
        <w:tc>
          <w:tcPr>
            <w:tcW w:w="5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r>
      <w:tr>
        <w:trPr>
          <w:trHeight w:val="205"/>
        </w:trPr>
        <w:tc>
          <w:tcPr>
            <w:tcW w:w="2780" w:type="dxa"/>
            <w:vAlign w:val="bottom"/>
            <w:shd w:val="clear" w:color="auto" w:fill="CFF0FC"/>
          </w:tcPr>
          <w:p>
            <w:pPr>
              <w:ind w:left="480"/>
              <w:spacing w:after="0" w:line="205" w:lineRule="exact"/>
              <w:rPr>
                <w:sz w:val="20"/>
                <w:szCs w:val="20"/>
                <w:color w:val="auto"/>
              </w:rPr>
            </w:pPr>
            <w:r>
              <w:rPr>
                <w:rFonts w:ascii="Arial" w:cs="Arial" w:eastAsia="Arial" w:hAnsi="Arial"/>
                <w:sz w:val="18"/>
                <w:szCs w:val="18"/>
                <w:color w:val="auto"/>
              </w:rPr>
              <w:t>Total Allowance for</w:t>
            </w: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23"/>
        </w:trPr>
        <w:tc>
          <w:tcPr>
            <w:tcW w:w="27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Credit Losses</w:t>
            </w:r>
          </w:p>
        </w:tc>
        <w:tc>
          <w:tcPr>
            <w:tcW w:w="600" w:type="dxa"/>
            <w:vAlign w:val="bottom"/>
            <w:gridSpan w:val="2"/>
            <w:shd w:val="clear" w:color="auto" w:fill="CFF0FC"/>
          </w:tcPr>
          <w:p>
            <w:pPr>
              <w:ind w:left="50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14,313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7,707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7,049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7,095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7,001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0"/>
        </w:trPr>
        <w:tc>
          <w:tcPr>
            <w:tcW w:w="27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amount of outstanding time certificates of deposits and other time deposits in amounts of $100,000 or more by maturity as of December 31, 2020 are as follows: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3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5"/>
          </w:tcPr>
          <w:p>
            <w:pPr>
              <w:ind w:left="520"/>
              <w:spacing w:after="0"/>
              <w:rPr>
                <w:sz w:val="20"/>
                <w:szCs w:val="20"/>
                <w:color w:val="auto"/>
              </w:rPr>
            </w:pPr>
            <w:r>
              <w:rPr>
                <w:rFonts w:ascii="Arial" w:cs="Arial" w:eastAsia="Arial" w:hAnsi="Arial"/>
                <w:sz w:val="18"/>
                <w:szCs w:val="18"/>
                <w:color w:val="auto"/>
              </w:rPr>
              <w:t>(In Thousands)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17"/>
        </w:trPr>
        <w:tc>
          <w:tcPr>
            <w:tcW w:w="3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Over Three</w:t>
            </w:r>
          </w:p>
        </w:tc>
        <w:tc>
          <w:tcPr>
            <w:tcW w:w="12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Over Six</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4"/>
        </w:trPr>
        <w:tc>
          <w:tcPr>
            <w:tcW w:w="3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Months</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Months Less</w:t>
            </w:r>
          </w:p>
        </w:tc>
        <w:tc>
          <w:tcPr>
            <w:tcW w:w="200" w:type="dxa"/>
            <w:vAlign w:val="bottom"/>
          </w:tcPr>
          <w:p>
            <w:pPr>
              <w:spacing w:after="0"/>
              <w:rPr>
                <w:sz w:val="19"/>
                <w:szCs w:val="19"/>
                <w:color w:val="auto"/>
              </w:rPr>
            </w:pPr>
          </w:p>
        </w:tc>
        <w:tc>
          <w:tcPr>
            <w:tcW w:w="840" w:type="dxa"/>
            <w:vAlign w:val="bottom"/>
          </w:tcPr>
          <w:p>
            <w:pPr>
              <w:jc w:val="center"/>
              <w:ind w:right="152"/>
              <w:spacing w:after="0"/>
              <w:rPr>
                <w:sz w:val="20"/>
                <w:szCs w:val="20"/>
                <w:color w:val="auto"/>
              </w:rPr>
            </w:pPr>
            <w:r>
              <w:rPr>
                <w:rFonts w:ascii="Arial" w:cs="Arial" w:eastAsia="Arial" w:hAnsi="Arial"/>
                <w:sz w:val="18"/>
                <w:szCs w:val="18"/>
                <w:color w:val="auto"/>
                <w:w w:val="92"/>
              </w:rPr>
              <w:t>Over</w:t>
            </w:r>
          </w:p>
        </w:tc>
      </w:tr>
      <w:tr>
        <w:trPr>
          <w:trHeight w:val="224"/>
        </w:trPr>
        <w:tc>
          <w:tcPr>
            <w:tcW w:w="3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Under</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Less than</w:t>
            </w:r>
          </w:p>
        </w:tc>
        <w:tc>
          <w:tcPr>
            <w:tcW w:w="12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Than One</w:t>
            </w:r>
          </w:p>
        </w:tc>
        <w:tc>
          <w:tcPr>
            <w:tcW w:w="200" w:type="dxa"/>
            <w:vAlign w:val="bottom"/>
          </w:tcPr>
          <w:p>
            <w:pPr>
              <w:spacing w:after="0"/>
              <w:rPr>
                <w:sz w:val="19"/>
                <w:szCs w:val="19"/>
                <w:color w:val="auto"/>
              </w:rPr>
            </w:pPr>
          </w:p>
        </w:tc>
        <w:tc>
          <w:tcPr>
            <w:tcW w:w="840" w:type="dxa"/>
            <w:vAlign w:val="bottom"/>
          </w:tcPr>
          <w:p>
            <w:pPr>
              <w:jc w:val="center"/>
              <w:ind w:right="132"/>
              <w:spacing w:after="0"/>
              <w:rPr>
                <w:sz w:val="20"/>
                <w:szCs w:val="20"/>
                <w:color w:val="auto"/>
              </w:rPr>
            </w:pPr>
            <w:r>
              <w:rPr>
                <w:rFonts w:ascii="Arial" w:cs="Arial" w:eastAsia="Arial" w:hAnsi="Arial"/>
                <w:sz w:val="18"/>
                <w:szCs w:val="18"/>
                <w:color w:val="auto"/>
                <w:w w:val="88"/>
              </w:rPr>
              <w:t>One</w:t>
            </w:r>
          </w:p>
        </w:tc>
      </w:tr>
      <w:tr>
        <w:trPr>
          <w:trHeight w:val="224"/>
        </w:trPr>
        <w:tc>
          <w:tcPr>
            <w:tcW w:w="3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Three Months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9"/>
              </w:rPr>
              <w:t>Six Months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4"/>
              </w:rPr>
              <w:t>Year</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4"/>
              </w:rPr>
              <w:t>Year</w:t>
            </w:r>
          </w:p>
        </w:tc>
      </w:tr>
      <w:tr>
        <w:trPr>
          <w:trHeight w:val="217"/>
        </w:trPr>
        <w:tc>
          <w:tcPr>
            <w:tcW w:w="3120" w:type="dxa"/>
            <w:vAlign w:val="bottom"/>
          </w:tcPr>
          <w:p>
            <w:pPr>
              <w:spacing w:after="0"/>
              <w:rPr>
                <w:sz w:val="20"/>
                <w:szCs w:val="20"/>
                <w:color w:val="auto"/>
              </w:rPr>
            </w:pPr>
            <w:r>
              <w:rPr>
                <w:rFonts w:ascii="Arial" w:cs="Arial" w:eastAsia="Arial" w:hAnsi="Arial"/>
                <w:sz w:val="18"/>
                <w:szCs w:val="18"/>
                <w:color w:val="auto"/>
              </w:rPr>
              <w:t>Time Deposits</w:t>
            </w:r>
          </w:p>
        </w:tc>
        <w:tc>
          <w:tcPr>
            <w:tcW w:w="228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22,980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28,953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46,046</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50,904</w:t>
            </w:r>
          </w:p>
        </w:tc>
      </w:tr>
      <w:tr>
        <w:trPr>
          <w:trHeight w:val="20"/>
        </w:trPr>
        <w:tc>
          <w:tcPr>
            <w:tcW w:w="3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average amount of and average rate paid on each deposit category:</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14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7"/>
        </w:trPr>
        <w:tc>
          <w:tcPr>
            <w:tcW w:w="14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Non-Interest</w:t>
            </w:r>
          </w:p>
        </w:tc>
        <w:tc>
          <w:tcPr>
            <w:tcW w:w="18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96"/>
              </w:rPr>
              <w:t>Interest</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Savings</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Time</w:t>
            </w:r>
          </w:p>
        </w:tc>
      </w:tr>
      <w:tr>
        <w:trPr>
          <w:trHeight w:val="224"/>
        </w:trPr>
        <w:tc>
          <w:tcPr>
            <w:tcW w:w="14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DDAs</w:t>
            </w:r>
          </w:p>
        </w:tc>
        <w:tc>
          <w:tcPr>
            <w:tcW w:w="18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DDAs</w:t>
            </w:r>
          </w:p>
        </w:tc>
        <w:tc>
          <w:tcPr>
            <w:tcW w:w="12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Accounts</w:t>
            </w:r>
          </w:p>
        </w:tc>
        <w:tc>
          <w:tcPr>
            <w:tcW w:w="12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Accounts</w:t>
            </w:r>
          </w:p>
        </w:tc>
      </w:tr>
      <w:tr>
        <w:trPr>
          <w:trHeight w:val="197"/>
        </w:trPr>
        <w:tc>
          <w:tcPr>
            <w:tcW w:w="4980" w:type="dxa"/>
            <w:vAlign w:val="bottom"/>
            <w:tcBorders>
              <w:top w:val="single" w:sz="8" w:color="CFF0FC"/>
            </w:tcBorders>
            <w:gridSpan w:val="2"/>
            <w:shd w:val="clear" w:color="auto" w:fill="CFF0FC"/>
          </w:tcPr>
          <w:p>
            <w:pPr>
              <w:spacing w:after="0" w:line="178" w:lineRule="exact"/>
              <w:rPr>
                <w:sz w:val="20"/>
                <w:szCs w:val="20"/>
                <w:color w:val="auto"/>
              </w:rPr>
            </w:pPr>
            <w:r>
              <w:rPr>
                <w:rFonts w:ascii="Arial" w:cs="Arial" w:eastAsia="Arial" w:hAnsi="Arial"/>
                <w:sz w:val="18"/>
                <w:szCs w:val="18"/>
                <w:color w:val="auto"/>
              </w:rPr>
              <w:t>December 31, 2020:</w:t>
            </w:r>
          </w:p>
        </w:tc>
        <w:tc>
          <w:tcPr>
            <w:tcW w:w="1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r>
      <w:tr>
        <w:trPr>
          <w:trHeight w:val="224"/>
        </w:trPr>
        <w:tc>
          <w:tcPr>
            <w:tcW w:w="14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85"/>
              </w:rPr>
              <w:t>Average balance</w:t>
            </w:r>
          </w:p>
        </w:tc>
        <w:tc>
          <w:tcPr>
            <w:tcW w:w="356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304,276</w:t>
            </w:r>
          </w:p>
        </w:tc>
        <w:tc>
          <w:tcPr>
            <w:tcW w:w="28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503,771</w:t>
            </w:r>
          </w:p>
        </w:tc>
        <w:tc>
          <w:tcPr>
            <w:tcW w:w="3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375,898</w:t>
            </w:r>
          </w:p>
        </w:tc>
        <w:tc>
          <w:tcPr>
            <w:tcW w:w="3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264,827</w:t>
            </w:r>
          </w:p>
        </w:tc>
        <w:tc>
          <w:tcPr>
            <w:tcW w:w="180" w:type="dxa"/>
            <w:vAlign w:val="bottom"/>
            <w:tcBorders>
              <w:top w:val="single" w:sz="8" w:color="CFF0FC"/>
            </w:tcBorders>
          </w:tcPr>
          <w:p>
            <w:pPr>
              <w:spacing w:after="0"/>
              <w:rPr>
                <w:sz w:val="19"/>
                <w:szCs w:val="19"/>
                <w:color w:val="auto"/>
              </w:rPr>
            </w:pPr>
          </w:p>
        </w:tc>
      </w:tr>
      <w:tr>
        <w:trPr>
          <w:trHeight w:val="224"/>
        </w:trPr>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Average rate</w:t>
            </w: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1.68%</w:t>
            </w:r>
          </w:p>
        </w:tc>
      </w:tr>
      <w:tr>
        <w:trPr>
          <w:trHeight w:val="194"/>
        </w:trPr>
        <w:tc>
          <w:tcPr>
            <w:tcW w:w="4980" w:type="dxa"/>
            <w:vAlign w:val="bottom"/>
            <w:gridSpan w:val="2"/>
          </w:tcPr>
          <w:p>
            <w:pPr>
              <w:spacing w:after="0" w:line="184" w:lineRule="exact"/>
              <w:rPr>
                <w:sz w:val="20"/>
                <w:szCs w:val="20"/>
                <w:color w:val="auto"/>
              </w:rPr>
            </w:pPr>
            <w:r>
              <w:rPr>
                <w:rFonts w:ascii="Arial" w:cs="Arial" w:eastAsia="Arial" w:hAnsi="Arial"/>
                <w:sz w:val="18"/>
                <w:szCs w:val="18"/>
                <w:color w:val="auto"/>
              </w:rPr>
              <w:t>December 31, 2019:</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4"/>
        </w:trPr>
        <w:tc>
          <w:tcPr>
            <w:tcW w:w="142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w w:val="85"/>
              </w:rPr>
              <w:t>Average balance</w:t>
            </w:r>
          </w:p>
        </w:tc>
        <w:tc>
          <w:tcPr>
            <w:tcW w:w="35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243,551</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422,778</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298,101</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265,046</w:t>
            </w:r>
          </w:p>
        </w:tc>
        <w:tc>
          <w:tcPr>
            <w:tcW w:w="180" w:type="dxa"/>
            <w:vAlign w:val="bottom"/>
            <w:shd w:val="clear" w:color="auto" w:fill="CFF0FC"/>
          </w:tcPr>
          <w:p>
            <w:pPr>
              <w:spacing w:after="0"/>
              <w:rPr>
                <w:sz w:val="20"/>
                <w:szCs w:val="20"/>
                <w:color w:val="auto"/>
              </w:rPr>
            </w:pPr>
          </w:p>
        </w:tc>
      </w:tr>
      <w:tr>
        <w:trPr>
          <w:trHeight w:val="224"/>
        </w:trPr>
        <w:tc>
          <w:tcPr>
            <w:tcW w:w="4980" w:type="dxa"/>
            <w:vAlign w:val="bottom"/>
            <w:gridSpan w:val="2"/>
          </w:tcPr>
          <w:p>
            <w:pPr>
              <w:ind w:left="240"/>
              <w:spacing w:after="0"/>
              <w:rPr>
                <w:sz w:val="20"/>
                <w:szCs w:val="20"/>
                <w:color w:val="auto"/>
              </w:rPr>
            </w:pPr>
            <w:r>
              <w:rPr>
                <w:rFonts w:ascii="Arial" w:cs="Arial" w:eastAsia="Arial" w:hAnsi="Arial"/>
                <w:sz w:val="18"/>
                <w:szCs w:val="18"/>
                <w:color w:val="auto"/>
              </w:rPr>
              <w:t>Average rate</w:t>
            </w:r>
          </w:p>
        </w:tc>
        <w:tc>
          <w:tcPr>
            <w:tcW w:w="1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r>
      <w:tr>
        <w:trPr>
          <w:trHeight w:val="204"/>
        </w:trPr>
        <w:tc>
          <w:tcPr>
            <w:tcW w:w="4980" w:type="dxa"/>
            <w:vAlign w:val="bottom"/>
            <w:gridSpan w:val="2"/>
            <w:shd w:val="clear" w:color="auto" w:fill="CFF0FC"/>
          </w:tcPr>
          <w:p>
            <w:pPr>
              <w:spacing w:after="0" w:line="185" w:lineRule="exact"/>
              <w:rPr>
                <w:sz w:val="20"/>
                <w:szCs w:val="20"/>
                <w:color w:val="auto"/>
              </w:rPr>
            </w:pPr>
            <w:r>
              <w:rPr>
                <w:rFonts w:ascii="Arial" w:cs="Arial" w:eastAsia="Arial" w:hAnsi="Arial"/>
                <w:sz w:val="18"/>
                <w:szCs w:val="18"/>
                <w:color w:val="auto"/>
              </w:rPr>
              <w:t>December 31, 2018:</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24"/>
        </w:trPr>
        <w:tc>
          <w:tcPr>
            <w:tcW w:w="14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85"/>
              </w:rPr>
              <w:t>Average balance</w:t>
            </w:r>
          </w:p>
        </w:tc>
        <w:tc>
          <w:tcPr>
            <w:tcW w:w="356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194,548</w:t>
            </w:r>
          </w:p>
        </w:tc>
        <w:tc>
          <w:tcPr>
            <w:tcW w:w="28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313,785</w:t>
            </w:r>
          </w:p>
        </w:tc>
        <w:tc>
          <w:tcPr>
            <w:tcW w:w="3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237,961</w:t>
            </w:r>
          </w:p>
        </w:tc>
        <w:tc>
          <w:tcPr>
            <w:tcW w:w="3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183,512</w:t>
            </w:r>
          </w:p>
        </w:tc>
        <w:tc>
          <w:tcPr>
            <w:tcW w:w="180" w:type="dxa"/>
            <w:vAlign w:val="bottom"/>
            <w:tcBorders>
              <w:top w:val="single" w:sz="8" w:color="CFF0FC"/>
            </w:tcBorders>
          </w:tcPr>
          <w:p>
            <w:pPr>
              <w:spacing w:after="0"/>
              <w:rPr>
                <w:sz w:val="19"/>
                <w:szCs w:val="19"/>
                <w:color w:val="auto"/>
              </w:rPr>
            </w:pPr>
          </w:p>
        </w:tc>
      </w:tr>
      <w:tr>
        <w:trPr>
          <w:trHeight w:val="224"/>
        </w:trPr>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Average rate</w:t>
            </w: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w:t>
            </w:r>
          </w:p>
        </w:tc>
      </w:tr>
    </w:tbl>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Liquidity remains adequate and up from prior years as the Bank has increased the investment portfolio in 2019 and 2020. Prior to 2019, the investment portfolio decreased to fund loans. The Bank has access to $148.1 million of unsecured borrowings through correspondent banks and $206.7 million of unpledged securities which may be sold or used as collateral. The amount of unpledged securities increased almost $90.4 million as compared to 2019. For the Bank, an additional $7.4 million is also available from the Federal Home Loan Bank based on current collateral pledging. At the present time, only 1-4</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family and home equity portfolios are pledged. Additional borrowings would be available if additional portfolios (i.e. commercial real estate) were pledged.</w:t>
      </w:r>
    </w:p>
    <w:p>
      <w:pPr>
        <w:spacing w:after="0" w:line="23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Maintaining sufficient funds to meet depositor and borrower needs on a daily basis continues to be among management’s top priorities. This is accomplished not only by immediate liquid resources of cash, due from banks and federal funds sold, but also by the Bank’s available for sale securities portfolio. The average aggregate balance of these assets was $244.0 for 2020, $196.9 for 2019 and $195.2 million for 2018. This represented 13.8%, 13.1%, and 17.6% of total average assets, respectively. Of the almost $289.9 million of debt securities in the Bank’s portfolio as of December 31, 2020, $330.8 thousand, or 0.1% of the portfolio, is expected to receive payments or mature in 2021. This liquidity provides the opportunity to fund loan growth by analysis of the lowest cost and source of funds whether by increasing deposits, sales or runoff of investments or utilizing debt.</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the Bank’s investment portfolio, the Company has $17.9 million held in the holding company’s investment portfolio. $805.7 thousand of those investments will mature or receive payments in the next twelve months. These funds provide liquidity to the Company. The Bank has been declaring additional dividends each quarter to provide this liquidity to the Company. The Captive has also upstreamed dividends to the Company and is expected to continue annually as long as reserve levels are adequately provided for. This provides additional liquidity for Company activities. The Company sold securities in December 2018 to provide $8.5 million in cash for the preparation of the acquisition on January 1, 2019.</w:t>
      </w:r>
    </w:p>
    <w:p>
      <w:pPr>
        <w:spacing w:after="0" w:line="16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Historically, the primary source of liquidity has been core deposits that include noninterest bearing and interest bearing demand deposits, savings, money market accounts and time deposits of individuals. Core deposit balances increased in all categories with the exception of time deposits as of December 31, 2020 compared to same date 2019. Average total savings balances increased $158.8 million in 2020 as compared to 2019. Core deposit balances as of year-end 2019 increased in categories as compared to 2018. Overall deposits increased an average of $299.7 million in 2019 and $41.7 million in 2018. The Bank utilized Federal Funds purchased at times during 2018 through 2020. The average balance for 2020 was $2.2 million, for 2019 and 2018 was $2.1 million and $1.4 million, respectively. The Bank is comfortable accessing these funds on a regular basis.</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Historically, the primary use of new funds is placing the funds back into the community through loans for the acquisition of new homes, consumer products and for business development. The use of new funds for loans is measured by the loan to deposit ratio. The Bank’s average loan to deposit ratio was 90.7% for 2020, 91.8% for 2019 and 89.4% for 2018. The Bank’s goal is for this ratio to be higher in the 80-90 percent range with loan growth being the driver. The Bank ended the year 2020 at an 81.8% loan to deposit ratio.</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Short-term debt such as federal funds purchased, and securities sold under agreement to repurchase also provides the Company with liquidity. Short-term debt for both federal funds purchased, and securities sold under agreement to repurchase amounted to $30.2 million at December 31, 2020, $48.1 million at December 31, 2019, and $32.2 million at the end of 2018. These accounts are used to provide a sweep product to the Bank’s commercial customers and for some term deposits. The repurchase agreements are for term deposits only.</w:t>
      </w:r>
    </w:p>
    <w:p>
      <w:pPr>
        <w:spacing w:after="0" w:line="19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“Other borrowings” are also a source of funds. Other borrowings consist of loans from the Federal Home Loan Bank of Cincinnati and Indianapolis. These funds are then used to provide loans in our community. On January 1, 2019, the Bank acquired $49.5 million of borrowings from the Federal Home Loan Bank of Indianapolis. During 2020 and 2019, $7.5 million and $23.9 million, respectively matured and was paid off.</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Asset/Liability Management</w:t>
      </w:r>
    </w:p>
    <w:p>
      <w:pPr>
        <w:spacing w:after="0" w:line="1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primary functions of asset/liability management are to assure adequate liquidity and maintain an appropriate balance between interest earning assets and interest bearing liabilities. It involves the management of the balance sheet mix, maturities, re-pricing characteristics and pricing components to provide an adequate and stable net interest margin with an acceptable level of risk. Interest rate sensitivity management seeks to avoid fluctuating net interest margins and to enhance consistent growth of net interest income through periods of changing interest rates.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Changes in net income, other than those related to volume arise when interest rates on assets re-price in a time frame or interest rate environment that is different from that of the re-pricing period for liabilities. Changes in net interest income also arise from changes in the mix of interest-earning assets and interest-bearing liabilities.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Historically, the Bank has maintained liquidity through cash flows generated in the normal course of business, loan repayments, maturing earning assets, the acquisition of new deposits, and borrowings. The Bank's asset and liability management program is designed to maximize net interest income over the long term while taking into consideration both</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jc w:val="both"/>
        <w:spacing w:after="0" w:line="247" w:lineRule="auto"/>
        <w:rPr>
          <w:sz w:val="20"/>
          <w:szCs w:val="20"/>
          <w:color w:val="auto"/>
        </w:rPr>
      </w:pPr>
      <w:r>
        <w:rPr>
          <w:rFonts w:ascii="Arial" w:cs="Arial" w:eastAsia="Arial" w:hAnsi="Arial"/>
          <w:sz w:val="18"/>
          <w:szCs w:val="18"/>
          <w:color w:val="auto"/>
        </w:rPr>
        <w:t>credit and interest rate risk. Interest rate sensitivity varies with different types of interest-earning assets and interest-bearing liabilities. Overnight federal funds on which rates change daily and loans that are tied to the market rate differ considerably from long-term investment securities and fixed rate loans. Similarly, time deposits over $100,000 and money market certificates are much more interest rate sensitive than passbook savings accounts. The Bank utilizes shock analysis to examine the amount of exposure an instant rate change of 100, 200, 300 and 400 basis points in both increasing and decreasing directions would have on the financials. Acceptable ranges of earnings and equity at risk are established and decisions are made to maintain those levels based on the shock results.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 and Changing Prices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consolidated financial statements and notes thereto presented herein have been prepared in accordance with generally accepted accounting principles, which require the measurement of financial position and operating results in terms of historical dollars without considering the changes in the relative purchasing power of money over time due to inflation. The impact of inflation is reflected in the increased cost of the Company’s operations. Unlike most industrial companies, nearly all the assets and liabilities of the Company are monetary in nature. As a result, interest rates have a greater impact on the Company’s performance than do the effects of general levels of inflation. Interest rates do not necessarily move in the same direction or to the same extent as the prices of goods and service.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Contractual Obligations of the Company totaled $298.1 million as of December 31, 2020. Time deposits represent contractual agreements for certificates of deposits held by its customers. Long term debt represents the borrowings with the Federal Home Loan Bank and is further defined in Note 9 of the Consolidated Financial Statements.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10"/>
          </w:tcPr>
          <w:p>
            <w:pPr>
              <w:jc w:val="center"/>
              <w:ind w:right="220"/>
              <w:spacing w:after="0"/>
              <w:rPr>
                <w:sz w:val="20"/>
                <w:szCs w:val="20"/>
                <w:color w:val="auto"/>
              </w:rPr>
            </w:pPr>
            <w:r>
              <w:rPr>
                <w:rFonts w:ascii="Arial" w:cs="Arial" w:eastAsia="Arial" w:hAnsi="Arial"/>
                <w:sz w:val="18"/>
                <w:szCs w:val="18"/>
                <w:color w:val="auto"/>
                <w:w w:val="87"/>
              </w:rPr>
              <w:t>Payment Due by Period (In Thousands)</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color w:val="auto"/>
              </w:rPr>
              <w:t>Less than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center"/>
              <w:ind w:right="112"/>
              <w:spacing w:after="0"/>
              <w:rPr>
                <w:sz w:val="20"/>
                <w:szCs w:val="20"/>
                <w:color w:val="auto"/>
              </w:rPr>
            </w:pPr>
            <w:r>
              <w:rPr>
                <w:rFonts w:ascii="Arial" w:cs="Arial" w:eastAsia="Arial" w:hAnsi="Arial"/>
                <w:sz w:val="18"/>
                <w:szCs w:val="18"/>
                <w:color w:val="auto"/>
                <w:w w:val="92"/>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9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More than</w:t>
            </w:r>
          </w:p>
        </w:tc>
      </w:tr>
      <w:tr>
        <w:trPr>
          <w:trHeight w:val="224"/>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Contractual Obligations</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 year</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0"/>
              </w:rPr>
              <w:t>Years</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Years</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 years</w:t>
            </w:r>
          </w:p>
        </w:tc>
        <w:tc>
          <w:tcPr>
            <w:tcW w:w="100" w:type="dxa"/>
            <w:vAlign w:val="bottom"/>
            <w:tcBorders>
              <w:bottom w:val="single" w:sz="8" w:color="CFF0FC"/>
            </w:tcBorders>
          </w:tcPr>
          <w:p>
            <w:pPr>
              <w:spacing w:after="0"/>
              <w:rPr>
                <w:sz w:val="19"/>
                <w:szCs w:val="19"/>
                <w:color w:val="auto"/>
              </w:rPr>
            </w:pPr>
          </w:p>
        </w:tc>
      </w:tr>
      <w:tr>
        <w:trPr>
          <w:trHeight w:val="217"/>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under agreement to repurchase</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30,239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10,234</w:t>
            </w: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20,005</w:t>
            </w: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24"/>
        </w:trPr>
        <w:tc>
          <w:tcPr>
            <w:tcW w:w="5100" w:type="dxa"/>
            <w:vAlign w:val="bottom"/>
          </w:tcPr>
          <w:p>
            <w:pPr>
              <w:spacing w:after="0"/>
              <w:rPr>
                <w:sz w:val="20"/>
                <w:szCs w:val="20"/>
                <w:color w:val="auto"/>
              </w:rPr>
            </w:pPr>
            <w:r>
              <w:rPr>
                <w:rFonts w:ascii="Arial" w:cs="Arial" w:eastAsia="Arial" w:hAnsi="Arial"/>
                <w:sz w:val="18"/>
                <w:szCs w:val="18"/>
                <w:color w:val="auto"/>
              </w:rPr>
              <w:t>Time Deposits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247,553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131,869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92,972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r>
      <w:tr>
        <w:trPr>
          <w:trHeight w:val="224"/>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4"/>
        </w:trPr>
        <w:tc>
          <w:tcPr>
            <w:tcW w:w="5100" w:type="dxa"/>
            <w:vAlign w:val="bottom"/>
          </w:tcPr>
          <w:p>
            <w:pPr>
              <w:spacing w:after="0"/>
              <w:rPr>
                <w:sz w:val="20"/>
                <w:szCs w:val="20"/>
                <w:color w:val="auto"/>
              </w:rPr>
            </w:pPr>
            <w:r>
              <w:rPr>
                <w:rFonts w:ascii="Arial" w:cs="Arial" w:eastAsia="Arial" w:hAnsi="Arial"/>
                <w:sz w:val="18"/>
                <w:szCs w:val="18"/>
                <w:color w:val="auto"/>
              </w:rPr>
              <w:t>Building Leases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24"/>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Long Term Debt</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17,861</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2,881</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13,000</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100" w:type="dxa"/>
            <w:vAlign w:val="bottom"/>
            <w:shd w:val="clear" w:color="auto" w:fill="CFF0FC"/>
          </w:tcPr>
          <w:p>
            <w:pPr>
              <w:spacing w:after="0"/>
              <w:rPr>
                <w:sz w:val="19"/>
                <w:szCs w:val="19"/>
                <w:color w:val="auto"/>
              </w:rPr>
            </w:pPr>
          </w:p>
        </w:tc>
      </w:tr>
      <w:tr>
        <w:trPr>
          <w:trHeight w:val="217"/>
        </w:trPr>
        <w:tc>
          <w:tcPr>
            <w:tcW w:w="510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298,137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144,138</w:t>
            </w:r>
          </w:p>
        </w:tc>
        <w:tc>
          <w:tcPr>
            <w:tcW w:w="1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116,130</w:t>
            </w:r>
          </w:p>
        </w:tc>
        <w:tc>
          <w:tcPr>
            <w:tcW w:w="1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35,628</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Stockholders’ equity was $249.2 million as of December 31, 2020 compared to $230.3 million at December 31, 2019. Dividends declared during 2020 were $0.66 per share totaling $7.3 million and dividends declared during 2019 were $0.61 per share totaling $6.7 million. Throughout 2020, the Company awarded 37,382 shares of restricted stock awards to 92 employees. During 2019, the Company awarded 38,100 shares of restricted stock to 94 employees. For a summary of activity as it relates to the Company’s restricted stock awards, please refer to Note 11: Employee Benefit Plans in the consolidated financial statements. On December 31, 2020 the Company held 1,032,456 shares in Treasury Stock and 88,226 unvested shares of restricted stock. At year-end 2019, the Company held 1,093,065 shares in Treasury stock and 88,450 unvested shares of restricted stock. On January 15, 2021 the Company announced the authorization by its Board of Directors for the Company’s repurchase, either on the open market, or in privately negotiated transactions, of up to 500,000 shares of its outstanding common stock commencing January 15, 2021 and ending December 31, 2021. The Company has a history of approving a similar resolution to be in effect each year for at least the last five years.</w:t>
      </w:r>
    </w:p>
    <w:p>
      <w:pPr>
        <w:spacing w:after="0" w:line="16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continues to have a strong capital base and maintains regulatory capital ratios that are above the defined regulatory capital ratios. At December 31, 2020, the Bank had total risk-based capital ratio of 12.64%. Core capital to risk-based asset ratio of 11.63% for the Bank, is well in excess of regulatory guidelines. The Bank’s leverage ratio of 9.08% is also substantially in excess of regulatory guidelines. Under Basel III, the common equity Tier 1 Capital to risk-weighted assets ratio is also well above the required 4.50% and the 6.50% well capitalized levels with the Bank at 11.63%. As a result of the passage of the Economic Growth, Regulatory Relief and Consumer Protection Act (EGRRCPA) in 2018, the Company is no longer subject to regulatory capital ratio requirements as long as its total consolidating assets are less than $3.0 billion. For further discussion and analysis of regulatory capital requirements, refer to Note 15 of the Audited Financial Statements.</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subsidiaries are restricted by regulations from making dividend distributions in excess of certain prescribed amounts. Upon prior regulatory approval, the Bank may be allowed to pay above the prescribed amount.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7" w:name="page48"/>
    <w:bookmarkEnd w:id="47"/>
    <w:p>
      <w:pPr>
        <w:ind w:right="4160"/>
        <w:spacing w:after="0" w:line="370" w:lineRule="auto"/>
        <w:rPr>
          <w:sz w:val="20"/>
          <w:szCs w:val="20"/>
          <w:color w:val="auto"/>
        </w:rPr>
      </w:pPr>
      <w:r>
        <w:rPr>
          <w:rFonts w:ascii="Arial" w:cs="Arial" w:eastAsia="Arial" w:hAnsi="Arial"/>
          <w:sz w:val="18"/>
          <w:szCs w:val="18"/>
          <w:b w:val="1"/>
          <w:bCs w:val="1"/>
          <w:u w:val="single" w:color="auto"/>
          <w:color w:val="auto"/>
        </w:rPr>
        <w:t xml:space="preserve">ITEM 7a. QUANTITATIVE AND QUALITATIVE DISCLOSURES ABOUT MARKET RISK </w:t>
      </w:r>
      <w:r>
        <w:rPr>
          <w:rFonts w:ascii="Arial" w:cs="Arial" w:eastAsia="Arial" w:hAnsi="Arial"/>
          <w:sz w:val="18"/>
          <w:szCs w:val="18"/>
          <w:b w:val="1"/>
          <w:bCs w:val="1"/>
          <w:color w:val="auto"/>
        </w:rPr>
        <w:t>Market Risk</w:t>
      </w:r>
    </w:p>
    <w:p>
      <w:pPr>
        <w:jc w:val="both"/>
        <w:spacing w:after="0" w:line="248" w:lineRule="auto"/>
        <w:rPr>
          <w:sz w:val="20"/>
          <w:szCs w:val="20"/>
          <w:color w:val="auto"/>
        </w:rPr>
      </w:pPr>
      <w:r>
        <w:rPr>
          <w:rFonts w:ascii="Arial" w:cs="Arial" w:eastAsia="Arial" w:hAnsi="Arial"/>
          <w:sz w:val="18"/>
          <w:szCs w:val="18"/>
          <w:color w:val="auto"/>
        </w:rPr>
        <w:t>Market risk is the exposure to loss resulting from changes in interest rates and equity prices. The primary market risk to which we are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Interest rate risk is managed within an overall asset/liability framework. The principal objectives of asset/liability management are to manage sensitivity of net interest spreads and net income to potential changes in interest rates. Funding positions are kept within predetermined limits designed to ensure that risk-taking is not excessive and that liquidity is properly managed. In the event that our asset/liabilities management strategies are unsuccessful, our profitability may be adversely affected. The Company employs a sensitivity analysis utilizing interest rate shocks to help in this analysis.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shocks presented below assume an immediate change of rate in the percentages and directions shown: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0" w:type="dxa"/>
            <w:vAlign w:val="bottom"/>
            <w:gridSpan w:val="4"/>
          </w:tcPr>
          <w:p>
            <w:pPr>
              <w:jc w:val="center"/>
              <w:ind w:right="300"/>
              <w:spacing w:after="0"/>
              <w:rPr>
                <w:sz w:val="20"/>
                <w:szCs w:val="20"/>
                <w:color w:val="auto"/>
              </w:rPr>
            </w:pPr>
            <w:r>
              <w:rPr>
                <w:rFonts w:ascii="Arial" w:cs="Arial" w:eastAsia="Arial" w:hAnsi="Arial"/>
                <w:sz w:val="18"/>
                <w:szCs w:val="18"/>
                <w:color w:val="auto"/>
                <w:w w:val="86"/>
              </w:rPr>
              <w:t>Interest Rate Shock on</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40" w:type="dxa"/>
            <w:vAlign w:val="bottom"/>
            <w:gridSpan w:val="4"/>
          </w:tcPr>
          <w:p>
            <w:pPr>
              <w:jc w:val="center"/>
              <w:ind w:right="120"/>
              <w:spacing w:after="0"/>
              <w:rPr>
                <w:sz w:val="20"/>
                <w:szCs w:val="20"/>
                <w:color w:val="auto"/>
              </w:rPr>
            </w:pPr>
            <w:r>
              <w:rPr>
                <w:rFonts w:ascii="Arial" w:cs="Arial" w:eastAsia="Arial" w:hAnsi="Arial"/>
                <w:sz w:val="18"/>
                <w:szCs w:val="18"/>
                <w:color w:val="auto"/>
                <w:w w:val="87"/>
              </w:rPr>
              <w:t>Interest Rate Shock on</w:t>
            </w:r>
          </w:p>
        </w:tc>
      </w:tr>
      <w:tr>
        <w:trPr>
          <w:trHeight w:val="224"/>
        </w:trPr>
        <w:tc>
          <w:tcPr>
            <w:tcW w:w="3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Net Interest Margin</w:t>
            </w: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Net Interest Income</w:t>
            </w:r>
          </w:p>
        </w:tc>
        <w:tc>
          <w:tcPr>
            <w:tcW w:w="120" w:type="dxa"/>
            <w:vAlign w:val="bottom"/>
          </w:tcPr>
          <w:p>
            <w:pPr>
              <w:spacing w:after="0"/>
              <w:rPr>
                <w:sz w:val="19"/>
                <w:szCs w:val="19"/>
                <w:color w:val="auto"/>
              </w:rPr>
            </w:pPr>
          </w:p>
        </w:tc>
      </w:tr>
      <w:tr>
        <w:trPr>
          <w:trHeight w:val="217"/>
        </w:trPr>
        <w:tc>
          <w:tcPr>
            <w:tcW w:w="19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Net Interest</w:t>
            </w: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 Change</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Rate</w:t>
            </w: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Rate</w:t>
            </w:r>
          </w:p>
        </w:tc>
        <w:tc>
          <w:tcPr>
            <w:tcW w:w="1900" w:type="dxa"/>
            <w:vAlign w:val="bottom"/>
            <w:gridSpan w:val="2"/>
          </w:tcPr>
          <w:p>
            <w:pPr>
              <w:ind w:left="400"/>
              <w:spacing w:after="0"/>
              <w:rPr>
                <w:sz w:val="20"/>
                <w:szCs w:val="20"/>
                <w:color w:val="auto"/>
              </w:rPr>
            </w:pPr>
            <w:r>
              <w:rPr>
                <w:rFonts w:ascii="Arial" w:cs="Arial" w:eastAsia="Arial" w:hAnsi="Arial"/>
                <w:sz w:val="18"/>
                <w:szCs w:val="18"/>
                <w:color w:val="auto"/>
              </w:rPr>
              <w:t>Cumulative</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 Change</w:t>
            </w:r>
          </w:p>
        </w:tc>
      </w:tr>
      <w:tr>
        <w:trPr>
          <w:trHeight w:val="224"/>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Margin (Ratio)</w:t>
            </w:r>
          </w:p>
        </w:tc>
        <w:tc>
          <w:tcPr>
            <w:tcW w:w="280" w:type="dxa"/>
            <w:vAlign w:val="bottom"/>
            <w:tcBorders>
              <w:bottom w:val="single" w:sz="8" w:color="CFF0FC"/>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 Flat Rate</w:t>
            </w:r>
          </w:p>
        </w:tc>
        <w:tc>
          <w:tcPr>
            <w:tcW w:w="300" w:type="dxa"/>
            <w:vAlign w:val="bottom"/>
            <w:tcBorders>
              <w:bottom w:val="single" w:sz="8" w:color="CFF0FC"/>
            </w:tcBorders>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Direction</w:t>
            </w:r>
          </w:p>
        </w:tc>
        <w:tc>
          <w:tcPr>
            <w:tcW w:w="18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changes by</w:t>
            </w:r>
          </w:p>
        </w:tc>
        <w:tc>
          <w:tcPr>
            <w:tcW w:w="28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Total ($000)</w:t>
            </w:r>
          </w:p>
        </w:tc>
        <w:tc>
          <w:tcPr>
            <w:tcW w:w="28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 Flat Rate</w:t>
            </w:r>
          </w:p>
        </w:tc>
        <w:tc>
          <w:tcPr>
            <w:tcW w:w="120" w:type="dxa"/>
            <w:vAlign w:val="bottom"/>
            <w:tcBorders>
              <w:bottom w:val="single" w:sz="8" w:color="CFF0FC"/>
            </w:tcBorders>
          </w:tcPr>
          <w:p>
            <w:pPr>
              <w:spacing w:after="0"/>
              <w:rPr>
                <w:sz w:val="19"/>
                <w:szCs w:val="19"/>
                <w:color w:val="auto"/>
              </w:rPr>
            </w:pPr>
          </w:p>
        </w:tc>
      </w:tr>
      <w:tr>
        <w:trPr>
          <w:trHeight w:val="217"/>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3.92%</w:t>
            </w: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13.38%</w:t>
            </w:r>
          </w:p>
        </w:tc>
        <w:tc>
          <w:tcPr>
            <w:tcW w:w="30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Rising</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3.00%</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432"/>
              <w:spacing w:after="0"/>
              <w:rPr>
                <w:sz w:val="20"/>
                <w:szCs w:val="20"/>
                <w:color w:val="auto"/>
              </w:rPr>
            </w:pPr>
            <w:r>
              <w:rPr>
                <w:rFonts w:ascii="Arial" w:cs="Arial" w:eastAsia="Arial" w:hAnsi="Arial"/>
                <w:sz w:val="18"/>
                <w:szCs w:val="18"/>
                <w:color w:val="auto"/>
              </w:rPr>
              <w:t>69,632</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13.60%</w:t>
            </w:r>
          </w:p>
        </w:tc>
        <w:tc>
          <w:tcPr>
            <w:tcW w:w="120" w:type="dxa"/>
            <w:vAlign w:val="bottom"/>
            <w:shd w:val="clear" w:color="auto" w:fill="CFF0FC"/>
          </w:tcPr>
          <w:p>
            <w:pPr>
              <w:spacing w:after="0"/>
              <w:rPr>
                <w:sz w:val="18"/>
                <w:szCs w:val="18"/>
                <w:color w:val="auto"/>
              </w:rPr>
            </w:pPr>
          </w:p>
        </w:tc>
      </w:tr>
      <w:tr>
        <w:trPr>
          <w:trHeight w:val="224"/>
        </w:trPr>
        <w:tc>
          <w:tcPr>
            <w:tcW w:w="1620" w:type="dxa"/>
            <w:vAlign w:val="bottom"/>
          </w:tcPr>
          <w:p>
            <w:pPr>
              <w:jc w:val="center"/>
              <w:spacing w:after="0"/>
              <w:rPr>
                <w:sz w:val="20"/>
                <w:szCs w:val="20"/>
                <w:color w:val="auto"/>
              </w:rPr>
            </w:pPr>
            <w:r>
              <w:rPr>
                <w:rFonts w:ascii="Arial" w:cs="Arial" w:eastAsia="Arial" w:hAnsi="Arial"/>
                <w:sz w:val="18"/>
                <w:szCs w:val="18"/>
                <w:color w:val="auto"/>
                <w:w w:val="86"/>
              </w:rPr>
              <w:t>3.81%</w:t>
            </w:r>
          </w:p>
        </w:tc>
        <w:tc>
          <w:tcPr>
            <w:tcW w:w="2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10.23%</w:t>
            </w:r>
          </w:p>
        </w:tc>
        <w:tc>
          <w:tcPr>
            <w:tcW w:w="300" w:type="dxa"/>
            <w:vAlign w:val="bottom"/>
          </w:tcPr>
          <w:p>
            <w:pPr>
              <w:spacing w:after="0"/>
              <w:rPr>
                <w:sz w:val="19"/>
                <w:szCs w:val="19"/>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Rising</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280" w:type="dxa"/>
            <w:vAlign w:val="bottom"/>
          </w:tcPr>
          <w:p>
            <w:pPr>
              <w:spacing w:after="0"/>
              <w:rPr>
                <w:sz w:val="19"/>
                <w:szCs w:val="19"/>
                <w:color w:val="auto"/>
              </w:rPr>
            </w:pPr>
          </w:p>
        </w:tc>
        <w:tc>
          <w:tcPr>
            <w:tcW w:w="1620" w:type="dxa"/>
            <w:vAlign w:val="bottom"/>
          </w:tcPr>
          <w:p>
            <w:pPr>
              <w:jc w:val="right"/>
              <w:ind w:right="432"/>
              <w:spacing w:after="0"/>
              <w:rPr>
                <w:sz w:val="20"/>
                <w:szCs w:val="20"/>
                <w:color w:val="auto"/>
              </w:rPr>
            </w:pPr>
            <w:r>
              <w:rPr>
                <w:rFonts w:ascii="Arial" w:cs="Arial" w:eastAsia="Arial" w:hAnsi="Arial"/>
                <w:sz w:val="18"/>
                <w:szCs w:val="18"/>
                <w:color w:val="auto"/>
              </w:rPr>
              <w:t>67,663</w:t>
            </w:r>
          </w:p>
        </w:tc>
        <w:tc>
          <w:tcPr>
            <w:tcW w:w="2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10.39%</w:t>
            </w:r>
          </w:p>
        </w:tc>
        <w:tc>
          <w:tcPr>
            <w:tcW w:w="120" w:type="dxa"/>
            <w:vAlign w:val="bottom"/>
          </w:tcPr>
          <w:p>
            <w:pPr>
              <w:spacing w:after="0"/>
              <w:rPr>
                <w:sz w:val="19"/>
                <w:szCs w:val="19"/>
                <w:color w:val="auto"/>
              </w:rPr>
            </w:pPr>
          </w:p>
        </w:tc>
      </w:tr>
      <w:tr>
        <w:trPr>
          <w:trHeight w:val="224"/>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3.67%</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6.05%</w:t>
            </w:r>
          </w:p>
        </w:tc>
        <w:tc>
          <w:tcPr>
            <w:tcW w:w="3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Rising</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432"/>
              <w:spacing w:after="0"/>
              <w:rPr>
                <w:sz w:val="20"/>
                <w:szCs w:val="20"/>
                <w:color w:val="auto"/>
              </w:rPr>
            </w:pPr>
            <w:r>
              <w:rPr>
                <w:rFonts w:ascii="Arial" w:cs="Arial" w:eastAsia="Arial" w:hAnsi="Arial"/>
                <w:sz w:val="18"/>
                <w:szCs w:val="18"/>
                <w:color w:val="auto"/>
              </w:rPr>
              <w:t>65,062</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6.14%</w:t>
            </w:r>
          </w:p>
        </w:tc>
        <w:tc>
          <w:tcPr>
            <w:tcW w:w="120" w:type="dxa"/>
            <w:vAlign w:val="bottom"/>
            <w:shd w:val="clear" w:color="auto" w:fill="CFF0FC"/>
          </w:tcPr>
          <w:p>
            <w:pPr>
              <w:spacing w:after="0"/>
              <w:rPr>
                <w:sz w:val="19"/>
                <w:szCs w:val="19"/>
                <w:color w:val="auto"/>
              </w:rPr>
            </w:pPr>
          </w:p>
        </w:tc>
      </w:tr>
      <w:tr>
        <w:trPr>
          <w:trHeight w:val="224"/>
        </w:trPr>
        <w:tc>
          <w:tcPr>
            <w:tcW w:w="1620" w:type="dxa"/>
            <w:vAlign w:val="bottom"/>
          </w:tcPr>
          <w:p>
            <w:pPr>
              <w:jc w:val="center"/>
              <w:spacing w:after="0"/>
              <w:rPr>
                <w:sz w:val="20"/>
                <w:szCs w:val="20"/>
                <w:color w:val="auto"/>
              </w:rPr>
            </w:pPr>
            <w:r>
              <w:rPr>
                <w:rFonts w:ascii="Arial" w:cs="Arial" w:eastAsia="Arial" w:hAnsi="Arial"/>
                <w:sz w:val="18"/>
                <w:szCs w:val="18"/>
                <w:color w:val="auto"/>
                <w:w w:val="86"/>
              </w:rPr>
              <w:t>3.46%</w:t>
            </w:r>
          </w:p>
        </w:tc>
        <w:tc>
          <w:tcPr>
            <w:tcW w:w="2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0.00%</w:t>
            </w:r>
          </w:p>
        </w:tc>
        <w:tc>
          <w:tcPr>
            <w:tcW w:w="300" w:type="dxa"/>
            <w:vAlign w:val="bottom"/>
          </w:tcPr>
          <w:p>
            <w:pPr>
              <w:spacing w:after="0"/>
              <w:rPr>
                <w:sz w:val="19"/>
                <w:szCs w:val="19"/>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Flat</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280" w:type="dxa"/>
            <w:vAlign w:val="bottom"/>
          </w:tcPr>
          <w:p>
            <w:pPr>
              <w:spacing w:after="0"/>
              <w:rPr>
                <w:sz w:val="19"/>
                <w:szCs w:val="19"/>
                <w:color w:val="auto"/>
              </w:rPr>
            </w:pPr>
          </w:p>
        </w:tc>
        <w:tc>
          <w:tcPr>
            <w:tcW w:w="1620" w:type="dxa"/>
            <w:vAlign w:val="bottom"/>
          </w:tcPr>
          <w:p>
            <w:pPr>
              <w:jc w:val="right"/>
              <w:ind w:right="432"/>
              <w:spacing w:after="0"/>
              <w:rPr>
                <w:sz w:val="20"/>
                <w:szCs w:val="20"/>
                <w:color w:val="auto"/>
              </w:rPr>
            </w:pPr>
            <w:r>
              <w:rPr>
                <w:rFonts w:ascii="Arial" w:cs="Arial" w:eastAsia="Arial" w:hAnsi="Arial"/>
                <w:sz w:val="18"/>
                <w:szCs w:val="18"/>
                <w:color w:val="auto"/>
              </w:rPr>
              <w:t>61,296</w:t>
            </w:r>
          </w:p>
        </w:tc>
        <w:tc>
          <w:tcPr>
            <w:tcW w:w="2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120" w:type="dxa"/>
            <w:vAlign w:val="bottom"/>
          </w:tcPr>
          <w:p>
            <w:pPr>
              <w:spacing w:after="0"/>
              <w:rPr>
                <w:sz w:val="19"/>
                <w:szCs w:val="19"/>
                <w:color w:val="auto"/>
              </w:rPr>
            </w:pPr>
          </w:p>
        </w:tc>
      </w:tr>
      <w:tr>
        <w:trPr>
          <w:trHeight w:val="224"/>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3.26%</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-5.56%</w:t>
            </w:r>
          </w:p>
        </w:tc>
        <w:tc>
          <w:tcPr>
            <w:tcW w:w="3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4"/>
              </w:rPr>
              <w:t>Falling</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-1.00%</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432"/>
              <w:spacing w:after="0"/>
              <w:rPr>
                <w:sz w:val="20"/>
                <w:szCs w:val="20"/>
                <w:color w:val="auto"/>
              </w:rPr>
            </w:pPr>
            <w:r>
              <w:rPr>
                <w:rFonts w:ascii="Arial" w:cs="Arial" w:eastAsia="Arial" w:hAnsi="Arial"/>
                <w:sz w:val="18"/>
                <w:szCs w:val="18"/>
                <w:color w:val="auto"/>
              </w:rPr>
              <w:t>57,846</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-5.63%</w:t>
            </w:r>
          </w:p>
        </w:tc>
        <w:tc>
          <w:tcPr>
            <w:tcW w:w="120" w:type="dxa"/>
            <w:vAlign w:val="bottom"/>
            <w:shd w:val="clear" w:color="auto" w:fill="CFF0FC"/>
          </w:tcPr>
          <w:p>
            <w:pPr>
              <w:spacing w:after="0"/>
              <w:rPr>
                <w:sz w:val="19"/>
                <w:szCs w:val="19"/>
                <w:color w:val="auto"/>
              </w:rPr>
            </w:pPr>
          </w:p>
        </w:tc>
      </w:tr>
      <w:tr>
        <w:trPr>
          <w:trHeight w:val="224"/>
        </w:trPr>
        <w:tc>
          <w:tcPr>
            <w:tcW w:w="1620" w:type="dxa"/>
            <w:vAlign w:val="bottom"/>
          </w:tcPr>
          <w:p>
            <w:pPr>
              <w:jc w:val="center"/>
              <w:spacing w:after="0"/>
              <w:rPr>
                <w:sz w:val="20"/>
                <w:szCs w:val="20"/>
                <w:color w:val="auto"/>
              </w:rPr>
            </w:pPr>
            <w:r>
              <w:rPr>
                <w:rFonts w:ascii="Arial" w:cs="Arial" w:eastAsia="Arial" w:hAnsi="Arial"/>
                <w:sz w:val="18"/>
                <w:szCs w:val="18"/>
                <w:color w:val="auto"/>
                <w:w w:val="86"/>
              </w:rPr>
              <w:t>3.09%</w:t>
            </w:r>
          </w:p>
        </w:tc>
        <w:tc>
          <w:tcPr>
            <w:tcW w:w="2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-10.69%</w:t>
            </w:r>
          </w:p>
        </w:tc>
        <w:tc>
          <w:tcPr>
            <w:tcW w:w="300" w:type="dxa"/>
            <w:vAlign w:val="bottom"/>
          </w:tcPr>
          <w:p>
            <w:pPr>
              <w:spacing w:after="0"/>
              <w:rPr>
                <w:sz w:val="19"/>
                <w:szCs w:val="19"/>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Falling</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-2.00%</w:t>
            </w:r>
          </w:p>
        </w:tc>
        <w:tc>
          <w:tcPr>
            <w:tcW w:w="280" w:type="dxa"/>
            <w:vAlign w:val="bottom"/>
          </w:tcPr>
          <w:p>
            <w:pPr>
              <w:spacing w:after="0"/>
              <w:rPr>
                <w:sz w:val="19"/>
                <w:szCs w:val="19"/>
                <w:color w:val="auto"/>
              </w:rPr>
            </w:pPr>
          </w:p>
        </w:tc>
        <w:tc>
          <w:tcPr>
            <w:tcW w:w="1620" w:type="dxa"/>
            <w:vAlign w:val="bottom"/>
          </w:tcPr>
          <w:p>
            <w:pPr>
              <w:jc w:val="right"/>
              <w:ind w:right="432"/>
              <w:spacing w:after="0"/>
              <w:rPr>
                <w:sz w:val="20"/>
                <w:szCs w:val="20"/>
                <w:color w:val="auto"/>
              </w:rPr>
            </w:pPr>
            <w:r>
              <w:rPr>
                <w:rFonts w:ascii="Arial" w:cs="Arial" w:eastAsia="Arial" w:hAnsi="Arial"/>
                <w:sz w:val="18"/>
                <w:szCs w:val="18"/>
                <w:color w:val="auto"/>
              </w:rPr>
              <w:t>54,669</w:t>
            </w:r>
          </w:p>
        </w:tc>
        <w:tc>
          <w:tcPr>
            <w:tcW w:w="2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-10.81%</w:t>
            </w:r>
          </w:p>
        </w:tc>
        <w:tc>
          <w:tcPr>
            <w:tcW w:w="120" w:type="dxa"/>
            <w:vAlign w:val="bottom"/>
          </w:tcPr>
          <w:p>
            <w:pPr>
              <w:spacing w:after="0"/>
              <w:rPr>
                <w:sz w:val="19"/>
                <w:szCs w:val="19"/>
                <w:color w:val="auto"/>
              </w:rPr>
            </w:pPr>
          </w:p>
        </w:tc>
      </w:tr>
      <w:tr>
        <w:trPr>
          <w:trHeight w:val="224"/>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2.91%</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-15.87%</w:t>
            </w:r>
          </w:p>
        </w:tc>
        <w:tc>
          <w:tcPr>
            <w:tcW w:w="3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4"/>
              </w:rPr>
              <w:t>Falling</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-3.00%</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432"/>
              <w:spacing w:after="0"/>
              <w:rPr>
                <w:sz w:val="20"/>
                <w:szCs w:val="20"/>
                <w:color w:val="auto"/>
              </w:rPr>
            </w:pPr>
            <w:r>
              <w:rPr>
                <w:rFonts w:ascii="Arial" w:cs="Arial" w:eastAsia="Arial" w:hAnsi="Arial"/>
                <w:sz w:val="18"/>
                <w:szCs w:val="18"/>
                <w:color w:val="auto"/>
              </w:rPr>
              <w:t>51,463</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-16.04%</w:t>
            </w:r>
          </w:p>
        </w:tc>
        <w:tc>
          <w:tcPr>
            <w:tcW w:w="12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The shock chart currently shows a widening in net interest margin over the next twelve months in an increasing rate environment and a tightening in a falling rate environment. With the rate decreases in the second half of 2019 and the first quarter of 2020, the model predicts an expansion in a rising rate environment. The basis rising rates scenarios are predicted to expand the net interest margin and produce higher levels of net interest income. This would indicate that the assets yield is predicted to increase faster than the cost of funds will rise. The Bank continues to enhance its use of the software model and performs additional stress tests whose results management and the director’s review. </w:t>
      </w:r>
      <w:r>
        <w:rPr>
          <w:rFonts w:ascii="Arial" w:cs="Arial" w:eastAsia="Arial" w:hAnsi="Arial"/>
          <w:sz w:val="18"/>
          <w:szCs w:val="18"/>
          <w:color w:val="auto"/>
        </w:rPr>
        <w:t>The Bank also monitors and adjusts the assumptions for decay rates and key rate ties on certain</w:t>
      </w:r>
      <w:r>
        <w:rPr>
          <w:rFonts w:ascii="Arial" w:cs="Arial" w:eastAsia="Arial" w:hAnsi="Arial"/>
          <w:sz w:val="17"/>
          <w:szCs w:val="17"/>
          <w:color w:val="auto"/>
        </w:rPr>
        <w:t xml:space="preserve"> </w:t>
      </w:r>
      <w:r>
        <w:rPr>
          <w:rFonts w:ascii="Arial" w:cs="Arial" w:eastAsia="Arial" w:hAnsi="Arial"/>
          <w:sz w:val="18"/>
          <w:szCs w:val="18"/>
          <w:color w:val="auto"/>
        </w:rPr>
        <w:t xml:space="preserve">deposit accounts and continues to review and modify those rates as the index rates change. </w:t>
      </w:r>
      <w:r>
        <w:rPr>
          <w:rFonts w:ascii="Arial" w:cs="Arial" w:eastAsia="Arial" w:hAnsi="Arial"/>
          <w:sz w:val="16"/>
          <w:szCs w:val="16"/>
          <w:color w:val="auto"/>
        </w:rPr>
        <w:t>Both directional changes are well within risk exposure</w:t>
      </w:r>
      <w:r>
        <w:rPr>
          <w:rFonts w:ascii="Arial" w:cs="Arial" w:eastAsia="Arial" w:hAnsi="Arial"/>
          <w:sz w:val="18"/>
          <w:szCs w:val="18"/>
          <w:color w:val="auto"/>
        </w:rPr>
        <w:t xml:space="preserve"> </w:t>
      </w:r>
      <w:r>
        <w:rPr>
          <w:rFonts w:ascii="Arial" w:cs="Arial" w:eastAsia="Arial" w:hAnsi="Arial"/>
          <w:sz w:val="16"/>
          <w:szCs w:val="16"/>
          <w:color w:val="auto"/>
        </w:rPr>
        <w:t>guidelines. The effect of the rate shocks may be mitigated to the extent that not all lines of business are directly tied to an external index and actual balance sheet composition may differ from prediction.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auto"/>
        </w:rPr>
        <w:t>ITEM 8. FINANCIAL STATEMENTS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at December 31, 2020 and 2019.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years ended December 31, 2020, 2019 and 2018.</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Comprehensive Income for the years ended December 31, 2020, 2019 and 2018.</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Consolidated Statements of Changes to Shareholders’ Equity for the years ended December 31, 2020, 2019 and 2018.</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years ended December 31, 2020, 2019 and 2018.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139"/>
          </w:cols>
          <w:pgMar w:left="320" w:top="437" w:right="1440"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5613400" cy="6191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5613400" cy="619125"/>
                    </a:xfrm>
                    <a:prstGeom prst="rect">
                      <a:avLst/>
                    </a:prstGeom>
                    <a:noFill/>
                  </pic:spPr>
                </pic:pic>
              </a:graphicData>
            </a:graphic>
          </wp:anchor>
        </w:drawing>
        <w:t>Report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Board of Directors and Audit Committee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Archbold, Ohio</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1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have audited the accompanying consolidated balance sheets of Farmers &amp; Merchants Bancorp, Inc. (Company) as of December 31, 2020 and 2019, the related consolidated statements of income, comprehensive income, changes in stockholders' equity and cash flows for each of the years in the three-year period ended December 31, 2020, and the related notes (collectively referred to as the "financial statements"). In our opinion, the consolidated financial statements referred to above present fairly, in all material respects, the financial position of the Company as of December 31, 2020 and 2019, and the results of its operations and its cash flows for each of the years in the three-year period ended December 31, 2020, in conformity with accounting principles generally accepted in the United States of America.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1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consolidated financial statements based on our audits.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We are a public accounting firm registered with the PCAOB and are required to be independent with respect to the Company in accordance with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securities laws and the applicable rules and regulations of the Securities and Exchange Commission and the PCAOB.</w:t>
      </w:r>
    </w:p>
    <w:p>
      <w:pPr>
        <w:spacing w:after="0" w:line="203"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1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ind w:left="20" w:right="20" w:hanging="10"/>
        <w:spacing w:after="0" w:line="279" w:lineRule="auto"/>
        <w:rPr>
          <w:sz w:val="20"/>
          <w:szCs w:val="20"/>
          <w:color w:val="auto"/>
        </w:rPr>
      </w:pPr>
      <w:r>
        <w:rPr>
          <w:rFonts w:ascii="Arial" w:cs="Arial" w:eastAsia="Arial" w:hAnsi="Arial"/>
          <w:sz w:val="16"/>
          <w:szCs w:val="16"/>
          <w:color w:val="auto"/>
        </w:rPr>
        <w:t>As described in Note 4 to the consolidated financial statements, the Company’s consolidated allowance for loan and lease losses (ALLL) was $13.67 million at December 31, 2020. The Company also describes in Note 1 of the consolidated financial statements the "Allowance for Loan Losses" accounting policy around this estimate. The allowance for loan losses is evaluated on a regular basis by management and is based on management’s periodic review of the collectability of the loans in light of historical experiences, the nature and volume of the loan portfolio, adverse situations that may affect the borrower’s ability to repay, estimated value of any underlying collateral, and prevailing economic conditions. The allowance consists of specific, general and unallocated components. The specific component relates to loans that are classified as impaired and an allowance is established when the discounted cash flows (or collateral value) of the impaired loan is lower than the carrying value of that loan. The general component covers non-classified loans and is based on historical loss experience adjusted for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sectPr>
      </w:pPr>
    </w:p>
    <w:bookmarkStart w:id="50" w:name="page51"/>
    <w:bookmarkEnd w:id="50"/>
    <w:p>
      <w:pPr>
        <w:ind w:left="20"/>
        <w:spacing w:after="0"/>
        <w:rPr>
          <w:sz w:val="20"/>
          <w:szCs w:val="20"/>
          <w:color w:val="auto"/>
        </w:rPr>
      </w:pPr>
      <w:r>
        <w:rPr>
          <w:rFonts w:ascii="Arial" w:cs="Arial" w:eastAsia="Arial" w:hAnsi="Arial"/>
          <w:sz w:val="16"/>
          <w:szCs w:val="16"/>
          <w:color w:val="auto"/>
        </w:rPr>
        <w:t>qualitative factors. The unallocated component is maintained to cover uncertainties that could affect management’s estimate of probable losses.</w:t>
      </w:r>
    </w:p>
    <w:p>
      <w:pPr>
        <w:spacing w:after="0" w:line="238" w:lineRule="exact"/>
        <w:rPr>
          <w:sz w:val="20"/>
          <w:szCs w:val="20"/>
          <w:color w:val="auto"/>
        </w:rPr>
      </w:pPr>
    </w:p>
    <w:p>
      <w:pPr>
        <w:ind w:left="20" w:right="60" w:hanging="10"/>
        <w:spacing w:after="0" w:line="328" w:lineRule="auto"/>
        <w:rPr>
          <w:sz w:val="20"/>
          <w:szCs w:val="20"/>
          <w:color w:val="auto"/>
        </w:rPr>
      </w:pPr>
      <w:r>
        <w:rPr>
          <w:rFonts w:ascii="Arial" w:cs="Arial" w:eastAsia="Arial" w:hAnsi="Arial"/>
          <w:sz w:val="15"/>
          <w:szCs w:val="15"/>
          <w:color w:val="auto"/>
        </w:rPr>
        <w:t>The primary reason for our determination that the allowance for loan losses is a critical audit matter is that it involved significant judgement and complex review as there is a high degree of subjectivity in evaluating management’s estimate, such as evaluating management's assessment of economic conditions and other environmental factors, evaluating the adequacy of specific allowances associated with impaired loans and assessing the appropriateness of loan grades.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estimated allowance for loan losses included:</w:t>
      </w:r>
    </w:p>
    <w:p>
      <w:pPr>
        <w:spacing w:after="0" w:line="215" w:lineRule="exact"/>
        <w:rPr>
          <w:sz w:val="20"/>
          <w:szCs w:val="20"/>
          <w:color w:val="auto"/>
        </w:rPr>
      </w:pPr>
    </w:p>
    <w:p>
      <w:pPr>
        <w:ind w:left="920" w:right="460" w:hanging="476"/>
        <w:spacing w:after="0" w:line="287" w:lineRule="auto"/>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Testing the design and operating effectiveness of internal controls, including those related to technology, over the ALLL including data completeness and accuracy, classifications of loans by loan segment, historical loss data, the calculation of a loss rate, the establishment of qualitative adjustments, grading and risk classification of loans and establishment of specific reserves on impaired loans and management’s review controls over the ALLL balance as a whole including attending internal Company Historical Loss Factors &amp; Minimums meeting, Qualitative Analysis Adjustments Committee meeting and Audit Committee discussions and analysis.</w:t>
      </w:r>
    </w:p>
    <w:p>
      <w:pPr>
        <w:spacing w:after="0" w:line="59" w:lineRule="exact"/>
        <w:rPr>
          <w:rFonts w:ascii="Arial" w:cs="Arial" w:eastAsia="Arial" w:hAnsi="Arial"/>
          <w:sz w:val="16"/>
          <w:szCs w:val="16"/>
          <w:color w:val="auto"/>
        </w:rPr>
      </w:pPr>
    </w:p>
    <w:p>
      <w:pPr>
        <w:ind w:left="920" w:hanging="476"/>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Testing clerical/computational accuracy of the formulas within the Company’s ALLL calculation.</w:t>
      </w:r>
    </w:p>
    <w:p>
      <w:pPr>
        <w:spacing w:after="0" w:line="109" w:lineRule="exact"/>
        <w:rPr>
          <w:rFonts w:ascii="Arial" w:cs="Arial" w:eastAsia="Arial" w:hAnsi="Arial"/>
          <w:sz w:val="18"/>
          <w:szCs w:val="18"/>
          <w:color w:val="auto"/>
        </w:rPr>
      </w:pPr>
    </w:p>
    <w:p>
      <w:pPr>
        <w:ind w:left="920" w:right="40" w:hanging="476"/>
        <w:spacing w:after="0" w:line="262"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Testing of completeness and accuracy of the underlying data utilized in the ALLL, including reports used in management review controls over the ALLL.</w:t>
      </w:r>
    </w:p>
    <w:p>
      <w:pPr>
        <w:spacing w:after="0" w:line="75" w:lineRule="exact"/>
        <w:rPr>
          <w:rFonts w:ascii="Arial" w:cs="Arial" w:eastAsia="Arial" w:hAnsi="Arial"/>
          <w:sz w:val="18"/>
          <w:szCs w:val="18"/>
          <w:color w:val="auto"/>
        </w:rPr>
      </w:pPr>
    </w:p>
    <w:p>
      <w:pPr>
        <w:ind w:left="920" w:hanging="476"/>
        <w:spacing w:after="0" w:line="262"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Testing of the loan review function and the accuracy of loan grades determined. Specifically, utilizing internal specialists to assist us in evaluating the appropriateness of loan grades and to assess the reasonableness of specific impairments on loans.</w:t>
      </w:r>
    </w:p>
    <w:p>
      <w:pPr>
        <w:spacing w:after="0" w:line="75" w:lineRule="exact"/>
        <w:rPr>
          <w:rFonts w:ascii="Arial" w:cs="Arial" w:eastAsia="Arial" w:hAnsi="Arial"/>
          <w:sz w:val="18"/>
          <w:szCs w:val="18"/>
          <w:color w:val="auto"/>
        </w:rPr>
      </w:pPr>
    </w:p>
    <w:p>
      <w:pPr>
        <w:ind w:left="920" w:right="140" w:hanging="476"/>
        <w:spacing w:after="0" w:line="262"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Evaluating the overall reasonableness of qualitative factor adjustments to historical loss and the appropriateness of their direction and magnitude and the Company’s support for the direction and magnitude compared to previous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256540</wp:posOffset>
            </wp:positionV>
            <wp:extent cx="1012190" cy="292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12190"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 Wayne, Indiana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8"/>
        </w:trPr>
        <w:tc>
          <w:tcPr>
            <w:tcW w:w="6860" w:type="dxa"/>
            <w:vAlign w:val="bottom"/>
          </w:tcPr>
          <w:p>
            <w:pPr>
              <w:spacing w:after="0"/>
              <w:rPr>
                <w:sz w:val="20"/>
                <w:szCs w:val="20"/>
                <w:color w:val="auto"/>
              </w:rPr>
            </w:pPr>
            <w:r>
              <w:rPr>
                <w:rFonts w:ascii="Arial" w:cs="Arial" w:eastAsia="Arial" w:hAnsi="Arial"/>
                <w:sz w:val="18"/>
                <w:szCs w:val="18"/>
                <w:b w:val="1"/>
                <w:bCs w:val="1"/>
                <w:color w:val="auto"/>
              </w:rPr>
              <w:t>Farmers &amp; Merchants Bancorp, Inc. and Subsidiaries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4"/>
        </w:trPr>
        <w:tc>
          <w:tcPr>
            <w:tcW w:w="6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5"/>
          </w:tcPr>
          <w:p>
            <w:pPr>
              <w:jc w:val="right"/>
              <w:spacing w:after="0"/>
              <w:rPr>
                <w:sz w:val="20"/>
                <w:szCs w:val="20"/>
                <w:color w:val="auto"/>
              </w:rPr>
            </w:pPr>
            <w:r>
              <w:rPr>
                <w:rFonts w:ascii="Arial" w:cs="Arial" w:eastAsia="Arial" w:hAnsi="Arial"/>
                <w:sz w:val="18"/>
                <w:szCs w:val="18"/>
                <w:b w:val="1"/>
                <w:bCs w:val="1"/>
                <w:color w:val="auto"/>
              </w:rPr>
              <w:t>Consolidated Balance Sheets</w:t>
            </w:r>
          </w:p>
        </w:tc>
      </w:tr>
      <w:tr>
        <w:trPr>
          <w:trHeight w:val="211"/>
        </w:trPr>
        <w:tc>
          <w:tcPr>
            <w:tcW w:w="6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5"/>
          </w:tcPr>
          <w:p>
            <w:pPr>
              <w:jc w:val="right"/>
              <w:spacing w:after="0"/>
              <w:rPr>
                <w:sz w:val="20"/>
                <w:szCs w:val="20"/>
                <w:color w:val="auto"/>
              </w:rPr>
            </w:pPr>
            <w:r>
              <w:rPr>
                <w:rFonts w:ascii="Arial" w:cs="Arial" w:eastAsia="Arial" w:hAnsi="Arial"/>
                <w:sz w:val="18"/>
                <w:szCs w:val="18"/>
                <w:b w:val="1"/>
                <w:bCs w:val="1"/>
                <w:color w:val="auto"/>
              </w:rPr>
              <w:t>December 31, 2020 and 2019</w:t>
            </w:r>
          </w:p>
        </w:tc>
      </w:tr>
      <w:tr>
        <w:trPr>
          <w:trHeight w:val="228"/>
        </w:trPr>
        <w:tc>
          <w:tcPr>
            <w:tcW w:w="68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(000’s Omitted, Except Share Data)</w:t>
            </w:r>
          </w:p>
        </w:tc>
      </w:tr>
      <w:tr>
        <w:trPr>
          <w:trHeight w:val="435"/>
        </w:trPr>
        <w:tc>
          <w:tcPr>
            <w:tcW w:w="6860" w:type="dxa"/>
            <w:vAlign w:val="bottom"/>
            <w:tcBorders>
              <w:bottom w:val="single" w:sz="8" w:color="CFF0FC"/>
            </w:tcBorders>
          </w:tcPr>
          <w:p>
            <w:pPr>
              <w:spacing w:after="0"/>
              <w:rPr>
                <w:sz w:val="24"/>
                <w:szCs w:val="24"/>
                <w:color w:val="auto"/>
              </w:rPr>
            </w:pPr>
          </w:p>
        </w:tc>
        <w:tc>
          <w:tcPr>
            <w:tcW w:w="136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24"/>
                <w:szCs w:val="24"/>
                <w:color w:val="auto"/>
              </w:rPr>
            </w:pPr>
          </w:p>
        </w:tc>
      </w:tr>
      <w:tr>
        <w:trPr>
          <w:trHeight w:val="217"/>
        </w:trPr>
        <w:tc>
          <w:tcPr>
            <w:tcW w:w="6860" w:type="dxa"/>
            <w:vAlign w:val="bottom"/>
            <w:shd w:val="clear" w:color="auto" w:fill="CFF0FC"/>
          </w:tcPr>
          <w:p>
            <w:pPr>
              <w:ind w:left="3780"/>
              <w:spacing w:after="0"/>
              <w:rPr>
                <w:sz w:val="20"/>
                <w:szCs w:val="20"/>
                <w:color w:val="auto"/>
              </w:rPr>
            </w:pPr>
            <w:r>
              <w:rPr>
                <w:rFonts w:ascii="Arial" w:cs="Arial" w:eastAsia="Arial" w:hAnsi="Arial"/>
                <w:sz w:val="18"/>
                <w:szCs w:val="18"/>
                <w:b w:val="1"/>
                <w:bCs w:val="1"/>
                <w:color w:val="auto"/>
              </w:rPr>
              <w:t>Assets</w:t>
            </w: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4"/>
        </w:trPr>
        <w:tc>
          <w:tcPr>
            <w:tcW w:w="68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due from banks</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98,279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center"/>
              <w:ind w:right="1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50,137</w:t>
            </w:r>
          </w:p>
        </w:tc>
        <w:tc>
          <w:tcPr>
            <w:tcW w:w="100" w:type="dxa"/>
            <w:vAlign w:val="bottom"/>
            <w:shd w:val="clear" w:color="auto" w:fill="CFF0FC"/>
          </w:tcPr>
          <w:p>
            <w:pPr>
              <w:spacing w:after="0"/>
              <w:rPr>
                <w:sz w:val="19"/>
                <w:szCs w:val="19"/>
                <w:color w:val="auto"/>
              </w:rPr>
            </w:pPr>
          </w:p>
        </w:tc>
      </w:tr>
      <w:tr>
        <w:trPr>
          <w:trHeight w:val="224"/>
        </w:trPr>
        <w:tc>
          <w:tcPr>
            <w:tcW w:w="6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Federal funds sold</w:t>
            </w:r>
          </w:p>
        </w:tc>
        <w:tc>
          <w:tcPr>
            <w:tcW w:w="1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77,427</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Borders>
              <w:bottom w:val="single" w:sz="8" w:color="CFF0FC"/>
            </w:tcBorders>
          </w:tcPr>
          <w:p>
            <w:pPr>
              <w:spacing w:after="0"/>
              <w:rPr>
                <w:sz w:val="19"/>
                <w:szCs w:val="19"/>
                <w:color w:val="auto"/>
              </w:rPr>
            </w:pPr>
          </w:p>
        </w:tc>
      </w:tr>
      <w:tr>
        <w:trPr>
          <w:trHeight w:val="217"/>
        </w:trPr>
        <w:tc>
          <w:tcPr>
            <w:tcW w:w="6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cash and cash equivalents</w:t>
            </w: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175,706</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51,296</w:t>
            </w:r>
          </w:p>
        </w:tc>
        <w:tc>
          <w:tcPr>
            <w:tcW w:w="100" w:type="dxa"/>
            <w:vAlign w:val="bottom"/>
            <w:shd w:val="clear" w:color="auto" w:fill="CFF0FC"/>
          </w:tcPr>
          <w:p>
            <w:pPr>
              <w:spacing w:after="0"/>
              <w:rPr>
                <w:sz w:val="18"/>
                <w:szCs w:val="18"/>
                <w:color w:val="auto"/>
              </w:rPr>
            </w:pPr>
          </w:p>
        </w:tc>
      </w:tr>
      <w:tr>
        <w:trPr>
          <w:trHeight w:val="224"/>
        </w:trPr>
        <w:tc>
          <w:tcPr>
            <w:tcW w:w="6860" w:type="dxa"/>
            <w:vAlign w:val="bottom"/>
          </w:tcPr>
          <w:p>
            <w:pPr>
              <w:ind w:left="240"/>
              <w:spacing w:after="0"/>
              <w:rPr>
                <w:sz w:val="20"/>
                <w:szCs w:val="20"/>
                <w:color w:val="auto"/>
              </w:rPr>
            </w:pPr>
            <w:r>
              <w:rPr>
                <w:rFonts w:ascii="Arial" w:cs="Arial" w:eastAsia="Arial" w:hAnsi="Arial"/>
                <w:sz w:val="18"/>
                <w:szCs w:val="18"/>
                <w:color w:val="auto"/>
              </w:rPr>
              <w:t>Interest-bearing time deposits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4,309</w:t>
            </w:r>
          </w:p>
        </w:tc>
        <w:tc>
          <w:tcPr>
            <w:tcW w:w="100" w:type="dxa"/>
            <w:vAlign w:val="bottom"/>
          </w:tcPr>
          <w:p>
            <w:pPr>
              <w:spacing w:after="0"/>
              <w:rPr>
                <w:sz w:val="19"/>
                <w:szCs w:val="19"/>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Securities - available-for-sale</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307,812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222,293</w:t>
            </w:r>
          </w:p>
        </w:tc>
        <w:tc>
          <w:tcPr>
            <w:tcW w:w="100" w:type="dxa"/>
            <w:vAlign w:val="bottom"/>
            <w:shd w:val="clear" w:color="auto" w:fill="CFF0FC"/>
          </w:tcPr>
          <w:p>
            <w:pPr>
              <w:spacing w:after="0"/>
              <w:rPr>
                <w:sz w:val="19"/>
                <w:szCs w:val="19"/>
                <w:color w:val="auto"/>
              </w:rPr>
            </w:pPr>
          </w:p>
        </w:tc>
      </w:tr>
      <w:tr>
        <w:trPr>
          <w:trHeight w:val="224"/>
        </w:trPr>
        <w:tc>
          <w:tcPr>
            <w:tcW w:w="6860" w:type="dxa"/>
            <w:vAlign w:val="bottom"/>
          </w:tcPr>
          <w:p>
            <w:pPr>
              <w:ind w:left="240"/>
              <w:spacing w:after="0"/>
              <w:rPr>
                <w:sz w:val="20"/>
                <w:szCs w:val="20"/>
                <w:color w:val="auto"/>
              </w:rPr>
            </w:pPr>
            <w:r>
              <w:rPr>
                <w:rFonts w:ascii="Arial" w:cs="Arial" w:eastAsia="Arial" w:hAnsi="Arial"/>
                <w:sz w:val="18"/>
                <w:szCs w:val="18"/>
                <w:color w:val="auto"/>
              </w:rPr>
              <w:t>Other securities, at cost</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5,939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5,810</w:t>
            </w:r>
          </w:p>
        </w:tc>
        <w:tc>
          <w:tcPr>
            <w:tcW w:w="100" w:type="dxa"/>
            <w:vAlign w:val="bottom"/>
          </w:tcPr>
          <w:p>
            <w:pPr>
              <w:spacing w:after="0"/>
              <w:rPr>
                <w:sz w:val="19"/>
                <w:szCs w:val="19"/>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held for sale</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4,248</w:t>
            </w:r>
          </w:p>
        </w:tc>
        <w:tc>
          <w:tcPr>
            <w:tcW w:w="100" w:type="dxa"/>
            <w:vAlign w:val="bottom"/>
            <w:shd w:val="clear" w:color="auto" w:fill="CFF0FC"/>
          </w:tcPr>
          <w:p>
            <w:pPr>
              <w:spacing w:after="0"/>
              <w:rPr>
                <w:sz w:val="19"/>
                <w:szCs w:val="19"/>
                <w:color w:val="auto"/>
              </w:rPr>
            </w:pPr>
          </w:p>
        </w:tc>
      </w:tr>
      <w:tr>
        <w:trPr>
          <w:trHeight w:val="224"/>
        </w:trPr>
        <w:tc>
          <w:tcPr>
            <w:tcW w:w="6860" w:type="dxa"/>
            <w:vAlign w:val="bottom"/>
          </w:tcPr>
          <w:p>
            <w:pPr>
              <w:ind w:left="240"/>
              <w:spacing w:after="0"/>
              <w:rPr>
                <w:sz w:val="20"/>
                <w:szCs w:val="20"/>
                <w:color w:val="auto"/>
              </w:rPr>
            </w:pPr>
            <w:r>
              <w:rPr>
                <w:rFonts w:ascii="Arial" w:cs="Arial" w:eastAsia="Arial" w:hAnsi="Arial"/>
                <w:sz w:val="18"/>
                <w:szCs w:val="18"/>
                <w:color w:val="auto"/>
              </w:rPr>
              <w:t>Loans, net</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1,289,318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1,211,771</w:t>
            </w:r>
          </w:p>
        </w:tc>
        <w:tc>
          <w:tcPr>
            <w:tcW w:w="100" w:type="dxa"/>
            <w:vAlign w:val="bottom"/>
          </w:tcPr>
          <w:p>
            <w:pPr>
              <w:spacing w:after="0"/>
              <w:rPr>
                <w:sz w:val="19"/>
                <w:szCs w:val="19"/>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Premises and equipment</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26,283</w:t>
            </w:r>
          </w:p>
        </w:tc>
        <w:tc>
          <w:tcPr>
            <w:tcW w:w="100" w:type="dxa"/>
            <w:vAlign w:val="bottom"/>
            <w:shd w:val="clear" w:color="auto" w:fill="CFF0FC"/>
          </w:tcPr>
          <w:p>
            <w:pPr>
              <w:spacing w:after="0"/>
              <w:rPr>
                <w:sz w:val="19"/>
                <w:szCs w:val="19"/>
                <w:color w:val="auto"/>
              </w:rPr>
            </w:pPr>
          </w:p>
        </w:tc>
      </w:tr>
      <w:tr>
        <w:trPr>
          <w:trHeight w:val="224"/>
        </w:trPr>
        <w:tc>
          <w:tcPr>
            <w:tcW w:w="6860" w:type="dxa"/>
            <w:vAlign w:val="bottom"/>
          </w:tcPr>
          <w:p>
            <w:pPr>
              <w:ind w:left="240"/>
              <w:spacing w:after="0"/>
              <w:rPr>
                <w:sz w:val="20"/>
                <w:szCs w:val="20"/>
                <w:color w:val="auto"/>
              </w:rPr>
            </w:pPr>
            <w:r>
              <w:rPr>
                <w:rFonts w:ascii="Arial" w:cs="Arial" w:eastAsia="Arial" w:hAnsi="Arial"/>
                <w:sz w:val="18"/>
                <w:szCs w:val="18"/>
                <w:color w:val="auto"/>
              </w:rPr>
              <w:t>Construction in progress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47,340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47,340</w:t>
            </w:r>
          </w:p>
        </w:tc>
        <w:tc>
          <w:tcPr>
            <w:tcW w:w="100" w:type="dxa"/>
            <w:vAlign w:val="bottom"/>
            <w:shd w:val="clear" w:color="auto" w:fill="CFF0FC"/>
          </w:tcPr>
          <w:p>
            <w:pPr>
              <w:spacing w:after="0"/>
              <w:rPr>
                <w:sz w:val="19"/>
                <w:szCs w:val="19"/>
                <w:color w:val="auto"/>
              </w:rPr>
            </w:pPr>
          </w:p>
        </w:tc>
      </w:tr>
      <w:tr>
        <w:trPr>
          <w:trHeight w:val="224"/>
        </w:trPr>
        <w:tc>
          <w:tcPr>
            <w:tcW w:w="6860" w:type="dxa"/>
            <w:vAlign w:val="bottom"/>
          </w:tcPr>
          <w:p>
            <w:pPr>
              <w:ind w:left="240"/>
              <w:spacing w:after="0"/>
              <w:rPr>
                <w:sz w:val="20"/>
                <w:szCs w:val="20"/>
                <w:color w:val="auto"/>
              </w:rPr>
            </w:pPr>
            <w:r>
              <w:rPr>
                <w:rFonts w:ascii="Arial" w:cs="Arial" w:eastAsia="Arial" w:hAnsi="Arial"/>
                <w:sz w:val="18"/>
                <w:szCs w:val="18"/>
                <w:color w:val="auto"/>
              </w:rPr>
              <w:t>Mortgage servicing rights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3,320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19"/>
                <w:szCs w:val="19"/>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real estate owned</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FF0FC"/>
          </w:tcPr>
          <w:p>
            <w:pPr>
              <w:spacing w:after="0"/>
              <w:rPr>
                <w:sz w:val="19"/>
                <w:szCs w:val="19"/>
                <w:color w:val="auto"/>
              </w:rPr>
            </w:pPr>
          </w:p>
        </w:tc>
      </w:tr>
      <w:tr>
        <w:trPr>
          <w:trHeight w:val="224"/>
        </w:trPr>
        <w:tc>
          <w:tcPr>
            <w:tcW w:w="6860" w:type="dxa"/>
            <w:vAlign w:val="bottom"/>
          </w:tcPr>
          <w:p>
            <w:pPr>
              <w:ind w:left="240"/>
              <w:spacing w:after="0"/>
              <w:rPr>
                <w:sz w:val="20"/>
                <w:szCs w:val="20"/>
                <w:color w:val="auto"/>
              </w:rPr>
            </w:pPr>
            <w:r>
              <w:rPr>
                <w:rFonts w:ascii="Arial" w:cs="Arial" w:eastAsia="Arial" w:hAnsi="Arial"/>
                <w:sz w:val="18"/>
                <w:szCs w:val="18"/>
                <w:color w:val="auto"/>
              </w:rPr>
              <w:t>Bank owned life insurance</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25,208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15,235</w:t>
            </w:r>
          </w:p>
        </w:tc>
        <w:tc>
          <w:tcPr>
            <w:tcW w:w="100" w:type="dxa"/>
            <w:vAlign w:val="bottom"/>
          </w:tcPr>
          <w:p>
            <w:pPr>
              <w:spacing w:after="0"/>
              <w:rPr>
                <w:sz w:val="19"/>
                <w:szCs w:val="19"/>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1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15,374</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15,834</w:t>
            </w:r>
          </w:p>
        </w:tc>
        <w:tc>
          <w:tcPr>
            <w:tcW w:w="100" w:type="dxa"/>
            <w:vAlign w:val="bottom"/>
            <w:shd w:val="clear" w:color="auto" w:fill="CFF0FC"/>
          </w:tcPr>
          <w:p>
            <w:pPr>
              <w:spacing w:after="0"/>
              <w:rPr>
                <w:sz w:val="19"/>
                <w:szCs w:val="19"/>
                <w:color w:val="auto"/>
              </w:rPr>
            </w:pPr>
          </w:p>
        </w:tc>
      </w:tr>
      <w:tr>
        <w:trPr>
          <w:trHeight w:val="257"/>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1,909,544</w:t>
            </w:r>
          </w:p>
        </w:tc>
        <w:tc>
          <w:tcPr>
            <w:tcW w:w="280" w:type="dxa"/>
            <w:vAlign w:val="bottom"/>
          </w:tcPr>
          <w:p>
            <w:pPr>
              <w:spacing w:after="0"/>
              <w:rPr>
                <w:sz w:val="22"/>
                <w:szCs w:val="22"/>
                <w:color w:val="auto"/>
              </w:rPr>
            </w:pPr>
          </w:p>
        </w:tc>
        <w:tc>
          <w:tcPr>
            <w:tcW w:w="280" w:type="dxa"/>
            <w:vAlign w:val="bottom"/>
          </w:tcPr>
          <w:p>
            <w:pPr>
              <w:jc w:val="center"/>
              <w:ind w:right="1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1,607,330</w:t>
            </w:r>
          </w:p>
        </w:tc>
        <w:tc>
          <w:tcPr>
            <w:tcW w:w="100" w:type="dxa"/>
            <w:vAlign w:val="bottom"/>
          </w:tcPr>
          <w:p>
            <w:pPr>
              <w:spacing w:after="0"/>
              <w:rPr>
                <w:sz w:val="22"/>
                <w:szCs w:val="22"/>
                <w:color w:val="auto"/>
              </w:rPr>
            </w:pPr>
          </w:p>
        </w:tc>
      </w:tr>
      <w:tr>
        <w:trPr>
          <w:trHeight w:val="204"/>
        </w:trPr>
        <w:tc>
          <w:tcPr>
            <w:tcW w:w="6860" w:type="dxa"/>
            <w:vAlign w:val="bottom"/>
            <w:tcBorders>
              <w:top w:val="single" w:sz="8" w:color="CFF0FC"/>
            </w:tcBorders>
            <w:shd w:val="clear" w:color="auto" w:fill="CFF0FC"/>
          </w:tcPr>
          <w:p>
            <w:pPr>
              <w:ind w:left="2660"/>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13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4"/>
        </w:trPr>
        <w:tc>
          <w:tcPr>
            <w:tcW w:w="68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Deposits</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4"/>
        </w:trPr>
        <w:tc>
          <w:tcPr>
            <w:tcW w:w="6860" w:type="dxa"/>
            <w:vAlign w:val="bottom"/>
          </w:tcPr>
          <w:p>
            <w:pPr>
              <w:ind w:left="480"/>
              <w:spacing w:after="0"/>
              <w:rPr>
                <w:sz w:val="20"/>
                <w:szCs w:val="20"/>
                <w:color w:val="auto"/>
              </w:rPr>
            </w:pPr>
            <w:r>
              <w:rPr>
                <w:rFonts w:ascii="Arial" w:cs="Arial" w:eastAsia="Arial" w:hAnsi="Arial"/>
                <w:sz w:val="18"/>
                <w:szCs w:val="18"/>
                <w:color w:val="auto"/>
              </w:rPr>
              <w:t>Noninterest-bearing</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351,147</w:t>
            </w:r>
          </w:p>
        </w:tc>
        <w:tc>
          <w:tcPr>
            <w:tcW w:w="280" w:type="dxa"/>
            <w:vAlign w:val="bottom"/>
          </w:tcPr>
          <w:p>
            <w:pPr>
              <w:spacing w:after="0"/>
              <w:rPr>
                <w:sz w:val="19"/>
                <w:szCs w:val="19"/>
                <w:color w:val="auto"/>
              </w:rPr>
            </w:pPr>
          </w:p>
        </w:tc>
        <w:tc>
          <w:tcPr>
            <w:tcW w:w="280" w:type="dxa"/>
            <w:vAlign w:val="bottom"/>
          </w:tcPr>
          <w:p>
            <w:pPr>
              <w:jc w:val="center"/>
              <w:ind w:right="1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265,156</w:t>
            </w:r>
          </w:p>
        </w:tc>
        <w:tc>
          <w:tcPr>
            <w:tcW w:w="100" w:type="dxa"/>
            <w:vAlign w:val="bottom"/>
          </w:tcPr>
          <w:p>
            <w:pPr>
              <w:spacing w:after="0"/>
              <w:rPr>
                <w:sz w:val="19"/>
                <w:szCs w:val="19"/>
                <w:color w:val="auto"/>
              </w:rPr>
            </w:pPr>
          </w:p>
        </w:tc>
      </w:tr>
      <w:tr>
        <w:trPr>
          <w:trHeight w:val="224"/>
        </w:trPr>
        <w:tc>
          <w:tcPr>
            <w:tcW w:w="6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Interest-bearing</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4"/>
        </w:trPr>
        <w:tc>
          <w:tcPr>
            <w:tcW w:w="6860" w:type="dxa"/>
            <w:vAlign w:val="bottom"/>
          </w:tcPr>
          <w:p>
            <w:pPr>
              <w:ind w:left="720"/>
              <w:spacing w:after="0"/>
              <w:rPr>
                <w:sz w:val="20"/>
                <w:szCs w:val="20"/>
                <w:color w:val="auto"/>
              </w:rPr>
            </w:pPr>
            <w:r>
              <w:rPr>
                <w:rFonts w:ascii="Arial" w:cs="Arial" w:eastAsia="Arial" w:hAnsi="Arial"/>
                <w:sz w:val="18"/>
                <w:szCs w:val="18"/>
                <w:color w:val="auto"/>
              </w:rPr>
              <w:t>NOW accounts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542,317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423,655</w:t>
            </w:r>
          </w:p>
        </w:tc>
        <w:tc>
          <w:tcPr>
            <w:tcW w:w="100" w:type="dxa"/>
            <w:vAlign w:val="bottom"/>
          </w:tcPr>
          <w:p>
            <w:pPr>
              <w:spacing w:after="0"/>
              <w:rPr>
                <w:sz w:val="19"/>
                <w:szCs w:val="19"/>
                <w:color w:val="auto"/>
              </w:rPr>
            </w:pPr>
          </w:p>
        </w:tc>
      </w:tr>
      <w:tr>
        <w:trPr>
          <w:trHeight w:val="224"/>
        </w:trPr>
        <w:tc>
          <w:tcPr>
            <w:tcW w:w="68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Savings</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455,145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322,973</w:t>
            </w:r>
          </w:p>
        </w:tc>
        <w:tc>
          <w:tcPr>
            <w:tcW w:w="100" w:type="dxa"/>
            <w:vAlign w:val="bottom"/>
            <w:shd w:val="clear" w:color="auto" w:fill="CFF0FC"/>
          </w:tcPr>
          <w:p>
            <w:pPr>
              <w:spacing w:after="0"/>
              <w:rPr>
                <w:sz w:val="19"/>
                <w:szCs w:val="19"/>
                <w:color w:val="auto"/>
              </w:rPr>
            </w:pPr>
          </w:p>
        </w:tc>
      </w:tr>
      <w:tr>
        <w:trPr>
          <w:trHeight w:val="224"/>
        </w:trPr>
        <w:tc>
          <w:tcPr>
            <w:tcW w:w="686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Time</w:t>
            </w:r>
          </w:p>
        </w:tc>
        <w:tc>
          <w:tcPr>
            <w:tcW w:w="1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247,553</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276,563</w:t>
            </w:r>
          </w:p>
        </w:tc>
        <w:tc>
          <w:tcPr>
            <w:tcW w:w="100" w:type="dxa"/>
            <w:vAlign w:val="bottom"/>
            <w:tcBorders>
              <w:bottom w:val="single" w:sz="8" w:color="CFF0FC"/>
            </w:tcBorders>
          </w:tcPr>
          <w:p>
            <w:pPr>
              <w:spacing w:after="0"/>
              <w:rPr>
                <w:sz w:val="19"/>
                <w:szCs w:val="19"/>
                <w:color w:val="auto"/>
              </w:rPr>
            </w:pPr>
          </w:p>
        </w:tc>
      </w:tr>
      <w:tr>
        <w:trPr>
          <w:trHeight w:val="217"/>
        </w:trPr>
        <w:tc>
          <w:tcPr>
            <w:tcW w:w="6860" w:type="dxa"/>
            <w:vAlign w:val="bottom"/>
            <w:shd w:val="clear" w:color="auto" w:fill="CFF0FC"/>
          </w:tcPr>
          <w:p>
            <w:pPr>
              <w:ind w:left="960"/>
              <w:spacing w:after="0"/>
              <w:rPr>
                <w:sz w:val="20"/>
                <w:szCs w:val="20"/>
                <w:color w:val="auto"/>
              </w:rPr>
            </w:pPr>
            <w:r>
              <w:rPr>
                <w:rFonts w:ascii="Arial" w:cs="Arial" w:eastAsia="Arial" w:hAnsi="Arial"/>
                <w:sz w:val="18"/>
                <w:szCs w:val="18"/>
                <w:color w:val="auto"/>
              </w:rPr>
              <w:t>Total deposits</w:t>
            </w: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1,596,162</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1,288,347</w:t>
            </w:r>
          </w:p>
        </w:tc>
        <w:tc>
          <w:tcPr>
            <w:tcW w:w="100" w:type="dxa"/>
            <w:vAlign w:val="bottom"/>
            <w:shd w:val="clear" w:color="auto" w:fill="CFF0FC"/>
          </w:tcPr>
          <w:p>
            <w:pPr>
              <w:spacing w:after="0"/>
              <w:rPr>
                <w:sz w:val="18"/>
                <w:szCs w:val="18"/>
                <w:color w:val="auto"/>
              </w:rPr>
            </w:pPr>
          </w:p>
        </w:tc>
      </w:tr>
      <w:tr>
        <w:trPr>
          <w:trHeight w:val="224"/>
        </w:trPr>
        <w:tc>
          <w:tcPr>
            <w:tcW w:w="6860" w:type="dxa"/>
            <w:vAlign w:val="bottom"/>
          </w:tcPr>
          <w:p>
            <w:pPr>
              <w:ind w:left="240"/>
              <w:spacing w:after="0"/>
              <w:rPr>
                <w:sz w:val="20"/>
                <w:szCs w:val="20"/>
                <w:color w:val="auto"/>
              </w:rPr>
            </w:pPr>
            <w:r>
              <w:rPr>
                <w:rFonts w:ascii="Arial" w:cs="Arial" w:eastAsia="Arial" w:hAnsi="Arial"/>
                <w:sz w:val="18"/>
                <w:szCs w:val="18"/>
                <w:color w:val="auto"/>
              </w:rPr>
              <w:t>Federal funds purchased and securities sold under agreement to repurchase</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30,239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48,073</w:t>
            </w:r>
          </w:p>
        </w:tc>
        <w:tc>
          <w:tcPr>
            <w:tcW w:w="100" w:type="dxa"/>
            <w:vAlign w:val="bottom"/>
          </w:tcPr>
          <w:p>
            <w:pPr>
              <w:spacing w:after="0"/>
              <w:rPr>
                <w:sz w:val="19"/>
                <w:szCs w:val="19"/>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Home Loan Bank (FHLB) advances</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24,806</w:t>
            </w:r>
          </w:p>
        </w:tc>
        <w:tc>
          <w:tcPr>
            <w:tcW w:w="100" w:type="dxa"/>
            <w:vAlign w:val="bottom"/>
            <w:shd w:val="clear" w:color="auto" w:fill="CFF0FC"/>
          </w:tcPr>
          <w:p>
            <w:pPr>
              <w:spacing w:after="0"/>
              <w:rPr>
                <w:sz w:val="19"/>
                <w:szCs w:val="19"/>
                <w:color w:val="auto"/>
              </w:rPr>
            </w:pPr>
          </w:p>
        </w:tc>
      </w:tr>
      <w:tr>
        <w:trPr>
          <w:trHeight w:val="224"/>
        </w:trPr>
        <w:tc>
          <w:tcPr>
            <w:tcW w:w="6860" w:type="dxa"/>
            <w:vAlign w:val="bottom"/>
          </w:tcPr>
          <w:p>
            <w:pPr>
              <w:ind w:left="240"/>
              <w:spacing w:after="0"/>
              <w:rPr>
                <w:sz w:val="20"/>
                <w:szCs w:val="20"/>
                <w:color w:val="auto"/>
              </w:rPr>
            </w:pPr>
            <w:r>
              <w:rPr>
                <w:rFonts w:ascii="Arial" w:cs="Arial" w:eastAsia="Arial" w:hAnsi="Arial"/>
                <w:sz w:val="18"/>
                <w:szCs w:val="18"/>
                <w:color w:val="auto"/>
              </w:rPr>
              <w:t>Dividend payable</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19"/>
                <w:szCs w:val="19"/>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1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14,233</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14,078</w:t>
            </w:r>
          </w:p>
        </w:tc>
        <w:tc>
          <w:tcPr>
            <w:tcW w:w="100" w:type="dxa"/>
            <w:vAlign w:val="bottom"/>
            <w:shd w:val="clear" w:color="auto" w:fill="CFF0FC"/>
          </w:tcPr>
          <w:p>
            <w:pPr>
              <w:spacing w:after="0"/>
              <w:rPr>
                <w:sz w:val="19"/>
                <w:szCs w:val="19"/>
                <w:color w:val="auto"/>
              </w:rPr>
            </w:pPr>
          </w:p>
        </w:tc>
      </w:tr>
      <w:tr>
        <w:trPr>
          <w:trHeight w:val="217"/>
        </w:trPr>
        <w:tc>
          <w:tcPr>
            <w:tcW w:w="6860" w:type="dxa"/>
            <w:vAlign w:val="bottom"/>
            <w:tcBorders>
              <w:bottom w:val="single" w:sz="8" w:color="CFF0FC"/>
            </w:tcBorders>
          </w:tcPr>
          <w:p>
            <w:pPr>
              <w:ind w:left="960"/>
              <w:spacing w:after="0"/>
              <w:rPr>
                <w:sz w:val="20"/>
                <w:szCs w:val="20"/>
                <w:color w:val="auto"/>
              </w:rPr>
            </w:pPr>
            <w:r>
              <w:rPr>
                <w:rFonts w:ascii="Arial" w:cs="Arial" w:eastAsia="Arial" w:hAnsi="Arial"/>
                <w:sz w:val="18"/>
                <w:szCs w:val="18"/>
                <w:color w:val="auto"/>
              </w:rPr>
              <w:t>Total liabilities</w:t>
            </w:r>
          </w:p>
        </w:tc>
        <w:tc>
          <w:tcPr>
            <w:tcW w:w="13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1,660,384</w:t>
            </w:r>
          </w:p>
        </w:tc>
        <w:tc>
          <w:tcPr>
            <w:tcW w:w="2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1,377,072</w:t>
            </w:r>
          </w:p>
        </w:tc>
        <w:tc>
          <w:tcPr>
            <w:tcW w:w="100" w:type="dxa"/>
            <w:vAlign w:val="bottom"/>
            <w:tcBorders>
              <w:bottom w:val="single" w:sz="8" w:color="CFF0FC"/>
            </w:tcBorders>
          </w:tcPr>
          <w:p>
            <w:pPr>
              <w:spacing w:after="0"/>
              <w:rPr>
                <w:sz w:val="18"/>
                <w:szCs w:val="18"/>
                <w:color w:val="auto"/>
              </w:rPr>
            </w:pPr>
          </w:p>
        </w:tc>
      </w:tr>
      <w:tr>
        <w:trPr>
          <w:trHeight w:val="217"/>
        </w:trPr>
        <w:tc>
          <w:tcPr>
            <w:tcW w:w="68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4"/>
        </w:trPr>
        <w:tc>
          <w:tcPr>
            <w:tcW w:w="68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68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4"/>
        </w:trPr>
        <w:tc>
          <w:tcPr>
            <w:tcW w:w="68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 No par value 20,000,000 shares authorized; issued and</w:t>
            </w: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6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12,230,000 shares 12/31/20 and 12/31/19</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81,804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81,535</w:t>
            </w:r>
          </w:p>
        </w:tc>
        <w:tc>
          <w:tcPr>
            <w:tcW w:w="100" w:type="dxa"/>
            <w:vAlign w:val="bottom"/>
            <w:shd w:val="clear" w:color="auto" w:fill="CFF0FC"/>
          </w:tcPr>
          <w:p>
            <w:pPr>
              <w:spacing w:after="0"/>
              <w:rPr>
                <w:sz w:val="19"/>
                <w:szCs w:val="19"/>
                <w:color w:val="auto"/>
              </w:rPr>
            </w:pPr>
          </w:p>
        </w:tc>
      </w:tr>
      <w:tr>
        <w:trPr>
          <w:trHeight w:val="224"/>
        </w:trPr>
        <w:tc>
          <w:tcPr>
            <w:tcW w:w="6860" w:type="dxa"/>
            <w:vAlign w:val="bottom"/>
          </w:tcPr>
          <w:p>
            <w:pPr>
              <w:ind w:left="240"/>
              <w:spacing w:after="0"/>
              <w:rPr>
                <w:sz w:val="20"/>
                <w:szCs w:val="20"/>
                <w:color w:val="auto"/>
              </w:rPr>
            </w:pPr>
            <w:r>
              <w:rPr>
                <w:rFonts w:ascii="Arial" w:cs="Arial" w:eastAsia="Arial" w:hAnsi="Arial"/>
                <w:sz w:val="18"/>
                <w:szCs w:val="18"/>
                <w:color w:val="auto"/>
              </w:rPr>
              <w:t>Treasury stock - 1,032,456 shares 12/31/20, 1,093,065 shares 12/31/19</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(11,932)</w:t>
            </w: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(12,456)</w:t>
            </w: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Retained earnings</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173,591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160,081</w:t>
            </w:r>
          </w:p>
        </w:tc>
        <w:tc>
          <w:tcPr>
            <w:tcW w:w="100" w:type="dxa"/>
            <w:vAlign w:val="bottom"/>
            <w:shd w:val="clear" w:color="auto" w:fill="CFF0FC"/>
          </w:tcPr>
          <w:p>
            <w:pPr>
              <w:spacing w:after="0"/>
              <w:rPr>
                <w:sz w:val="19"/>
                <w:szCs w:val="19"/>
                <w:color w:val="auto"/>
              </w:rPr>
            </w:pPr>
          </w:p>
        </w:tc>
      </w:tr>
      <w:tr>
        <w:trPr>
          <w:trHeight w:val="224"/>
        </w:trPr>
        <w:tc>
          <w:tcPr>
            <w:tcW w:w="6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1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5,697</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FF0FC"/>
            </w:tcBorders>
          </w:tcPr>
          <w:p>
            <w:pPr>
              <w:spacing w:after="0"/>
              <w:rPr>
                <w:sz w:val="19"/>
                <w:szCs w:val="19"/>
                <w:color w:val="auto"/>
              </w:rPr>
            </w:pPr>
          </w:p>
        </w:tc>
      </w:tr>
      <w:tr>
        <w:trPr>
          <w:trHeight w:val="217"/>
        </w:trPr>
        <w:tc>
          <w:tcPr>
            <w:tcW w:w="6860" w:type="dxa"/>
            <w:vAlign w:val="bottom"/>
            <w:shd w:val="clear" w:color="auto" w:fill="CFF0FC"/>
          </w:tcPr>
          <w:p>
            <w:pPr>
              <w:ind w:left="960"/>
              <w:spacing w:after="0"/>
              <w:rPr>
                <w:sz w:val="20"/>
                <w:szCs w:val="20"/>
                <w:color w:val="auto"/>
              </w:rPr>
            </w:pPr>
            <w:r>
              <w:rPr>
                <w:rFonts w:ascii="Arial" w:cs="Arial" w:eastAsia="Arial" w:hAnsi="Arial"/>
                <w:sz w:val="18"/>
                <w:szCs w:val="18"/>
                <w:color w:val="auto"/>
              </w:rPr>
              <w:t>Total stockholders' equity</w:t>
            </w:r>
          </w:p>
        </w:tc>
        <w:tc>
          <w:tcPr>
            <w:tcW w:w="13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249,160</w:t>
            </w:r>
          </w:p>
        </w:tc>
        <w:tc>
          <w:tcPr>
            <w:tcW w:w="2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230,258</w:t>
            </w:r>
          </w:p>
        </w:tc>
        <w:tc>
          <w:tcPr>
            <w:tcW w:w="100" w:type="dxa"/>
            <w:vAlign w:val="bottom"/>
            <w:shd w:val="clear" w:color="auto" w:fill="CFF0FC"/>
          </w:tcPr>
          <w:p>
            <w:pPr>
              <w:spacing w:after="0"/>
              <w:rPr>
                <w:sz w:val="18"/>
                <w:szCs w:val="18"/>
                <w:color w:val="auto"/>
              </w:rPr>
            </w:pPr>
          </w:p>
        </w:tc>
      </w:tr>
      <w:tr>
        <w:trPr>
          <w:trHeight w:val="217"/>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1,909,544</w:t>
            </w:r>
          </w:p>
        </w:tc>
        <w:tc>
          <w:tcPr>
            <w:tcW w:w="280" w:type="dxa"/>
            <w:vAlign w:val="bottom"/>
          </w:tcPr>
          <w:p>
            <w:pPr>
              <w:spacing w:after="0"/>
              <w:rPr>
                <w:sz w:val="18"/>
                <w:szCs w:val="18"/>
                <w:color w:val="auto"/>
              </w:rPr>
            </w:pPr>
          </w:p>
        </w:tc>
        <w:tc>
          <w:tcPr>
            <w:tcW w:w="280" w:type="dxa"/>
            <w:vAlign w:val="bottom"/>
          </w:tcPr>
          <w:p>
            <w:pPr>
              <w:jc w:val="center"/>
              <w:ind w:right="1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1,607,330</w:t>
            </w:r>
          </w:p>
        </w:tc>
        <w:tc>
          <w:tcPr>
            <w:tcW w:w="10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8"/>
        </w:trPr>
        <w:tc>
          <w:tcPr>
            <w:tcW w:w="6120" w:type="dxa"/>
            <w:vAlign w:val="bottom"/>
          </w:tcPr>
          <w:p>
            <w:pPr>
              <w:spacing w:after="0"/>
              <w:rPr>
                <w:sz w:val="20"/>
                <w:szCs w:val="20"/>
                <w:color w:val="auto"/>
              </w:rPr>
            </w:pPr>
            <w:r>
              <w:rPr>
                <w:rFonts w:ascii="Arial" w:cs="Arial" w:eastAsia="Arial" w:hAnsi="Arial"/>
                <w:sz w:val="18"/>
                <w:szCs w:val="18"/>
                <w:b w:val="1"/>
                <w:bCs w:val="1"/>
                <w:color w:val="auto"/>
              </w:rPr>
              <w:t>Farmers &amp; Merchants Bancorp, Inc. and Subsidiaries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6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00" w:type="dxa"/>
            <w:vAlign w:val="bottom"/>
            <w:gridSpan w:val="7"/>
          </w:tcPr>
          <w:p>
            <w:pPr>
              <w:ind w:left="260"/>
              <w:spacing w:after="0"/>
              <w:rPr>
                <w:sz w:val="20"/>
                <w:szCs w:val="20"/>
                <w:color w:val="auto"/>
              </w:rPr>
            </w:pPr>
            <w:r>
              <w:rPr>
                <w:rFonts w:ascii="Arial" w:cs="Arial" w:eastAsia="Arial" w:hAnsi="Arial"/>
                <w:sz w:val="18"/>
                <w:szCs w:val="18"/>
                <w:b w:val="1"/>
                <w:bCs w:val="1"/>
                <w:color w:val="auto"/>
                <w:w w:val="85"/>
              </w:rPr>
              <w:t>Consolidated Statements of Income</w:t>
            </w:r>
          </w:p>
        </w:tc>
        <w:tc>
          <w:tcPr>
            <w:tcW w:w="0" w:type="dxa"/>
            <w:vAlign w:val="bottom"/>
          </w:tcPr>
          <w:p>
            <w:pPr>
              <w:spacing w:after="0"/>
              <w:rPr>
                <w:sz w:val="1"/>
                <w:szCs w:val="1"/>
                <w:color w:val="auto"/>
              </w:rPr>
            </w:pPr>
          </w:p>
        </w:tc>
      </w:tr>
      <w:tr>
        <w:trPr>
          <w:trHeight w:val="211"/>
        </w:trPr>
        <w:tc>
          <w:tcPr>
            <w:tcW w:w="6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8"/>
          </w:tcPr>
          <w:p>
            <w:pPr>
              <w:jc w:val="right"/>
              <w:spacing w:after="0"/>
              <w:rPr>
                <w:sz w:val="20"/>
                <w:szCs w:val="20"/>
                <w:color w:val="auto"/>
              </w:rPr>
            </w:pPr>
            <w:r>
              <w:rPr>
                <w:rFonts w:ascii="Arial" w:cs="Arial" w:eastAsia="Arial" w:hAnsi="Arial"/>
                <w:sz w:val="18"/>
                <w:szCs w:val="18"/>
                <w:b w:val="1"/>
                <w:bCs w:val="1"/>
                <w:color w:val="auto"/>
                <w:w w:val="92"/>
              </w:rPr>
              <w:t>Years Ended December 31, 2020, 2019 and 2018</w:t>
            </w:r>
          </w:p>
        </w:tc>
        <w:tc>
          <w:tcPr>
            <w:tcW w:w="0" w:type="dxa"/>
            <w:vAlign w:val="bottom"/>
          </w:tcPr>
          <w:p>
            <w:pPr>
              <w:spacing w:after="0"/>
              <w:rPr>
                <w:sz w:val="1"/>
                <w:szCs w:val="1"/>
                <w:color w:val="auto"/>
              </w:rPr>
            </w:pPr>
          </w:p>
        </w:tc>
      </w:tr>
      <w:tr>
        <w:trPr>
          <w:trHeight w:val="228"/>
        </w:trPr>
        <w:tc>
          <w:tcPr>
            <w:tcW w:w="6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8"/>
          </w:tcPr>
          <w:p>
            <w:pPr>
              <w:jc w:val="right"/>
              <w:ind w:right="40"/>
              <w:spacing w:after="0"/>
              <w:rPr>
                <w:sz w:val="20"/>
                <w:szCs w:val="20"/>
                <w:color w:val="auto"/>
              </w:rPr>
            </w:pPr>
            <w:r>
              <w:rPr>
                <w:rFonts w:ascii="Arial" w:cs="Arial" w:eastAsia="Arial" w:hAnsi="Arial"/>
                <w:sz w:val="18"/>
                <w:szCs w:val="18"/>
                <w:b w:val="1"/>
                <w:bCs w:val="1"/>
                <w:color w:val="auto"/>
              </w:rPr>
              <w:t>(000’s Omitted, Except Per Share Data)</w:t>
            </w:r>
          </w:p>
        </w:tc>
        <w:tc>
          <w:tcPr>
            <w:tcW w:w="0" w:type="dxa"/>
            <w:vAlign w:val="bottom"/>
          </w:tcPr>
          <w:p>
            <w:pPr>
              <w:spacing w:after="0"/>
              <w:rPr>
                <w:sz w:val="1"/>
                <w:szCs w:val="1"/>
                <w:color w:val="auto"/>
              </w:rPr>
            </w:pPr>
          </w:p>
        </w:tc>
      </w:tr>
      <w:tr>
        <w:trPr>
          <w:trHeight w:val="435"/>
        </w:trPr>
        <w:tc>
          <w:tcPr>
            <w:tcW w:w="6120" w:type="dxa"/>
            <w:vAlign w:val="bottom"/>
            <w:tcBorders>
              <w:bottom w:val="single" w:sz="8" w:color="CFF0FC"/>
            </w:tcBorders>
          </w:tcPr>
          <w:p>
            <w:pPr>
              <w:spacing w:after="0"/>
              <w:rPr>
                <w:sz w:val="24"/>
                <w:szCs w:val="24"/>
                <w:color w:val="auto"/>
              </w:rPr>
            </w:pPr>
          </w:p>
        </w:tc>
        <w:tc>
          <w:tcPr>
            <w:tcW w:w="110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Income</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20" w:type="dxa"/>
            <w:vAlign w:val="bottom"/>
          </w:tcPr>
          <w:p>
            <w:pPr>
              <w:ind w:left="480"/>
              <w:spacing w:after="0"/>
              <w:rPr>
                <w:sz w:val="20"/>
                <w:szCs w:val="20"/>
                <w:color w:val="auto"/>
              </w:rPr>
            </w:pPr>
            <w:r>
              <w:rPr>
                <w:rFonts w:ascii="Arial" w:cs="Arial" w:eastAsia="Arial" w:hAnsi="Arial"/>
                <w:sz w:val="18"/>
                <w:szCs w:val="18"/>
                <w:color w:val="auto"/>
              </w:rPr>
              <w:t>Loans, including fees</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65,317</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62,213</w:t>
            </w:r>
          </w:p>
        </w:tc>
        <w:tc>
          <w:tcPr>
            <w:tcW w:w="26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Debt securities: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tcPr>
          <w:p>
            <w:pPr>
              <w:ind w:left="720"/>
              <w:spacing w:after="0"/>
              <w:rPr>
                <w:sz w:val="20"/>
                <w:szCs w:val="20"/>
                <w:color w:val="auto"/>
              </w:rPr>
            </w:pPr>
            <w:r>
              <w:rPr>
                <w:rFonts w:ascii="Arial" w:cs="Arial" w:eastAsia="Arial" w:hAnsi="Arial"/>
                <w:sz w:val="18"/>
                <w:szCs w:val="18"/>
                <w:color w:val="auto"/>
              </w:rPr>
              <w:t>U.S. Treasury and government agencies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3,369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Municipalities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tcPr>
          <w:p>
            <w:pPr>
              <w:ind w:left="480"/>
              <w:spacing w:after="0"/>
              <w:rPr>
                <w:sz w:val="20"/>
                <w:szCs w:val="20"/>
                <w:color w:val="auto"/>
              </w:rPr>
            </w:pPr>
            <w:r>
              <w:rPr>
                <w:rFonts w:ascii="Arial" w:cs="Arial" w:eastAsia="Arial" w:hAnsi="Arial"/>
                <w:sz w:val="18"/>
                <w:szCs w:val="18"/>
                <w:color w:val="auto"/>
              </w:rPr>
              <w:t>Dividends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Federal funds sold</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interest income</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70,169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68,306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2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Deposits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120" w:type="dxa"/>
            <w:vAlign w:val="bottom"/>
          </w:tcPr>
          <w:p>
            <w:pPr>
              <w:ind w:left="480"/>
              <w:spacing w:after="0"/>
              <w:rPr>
                <w:sz w:val="20"/>
                <w:szCs w:val="20"/>
                <w:color w:val="auto"/>
              </w:rPr>
            </w:pPr>
            <w:r>
              <w:rPr>
                <w:rFonts w:ascii="Arial" w:cs="Arial" w:eastAsia="Arial" w:hAnsi="Arial"/>
                <w:sz w:val="18"/>
                <w:szCs w:val="18"/>
                <w:color w:val="auto"/>
              </w:rPr>
              <w:t>Federal funds purchased and securities sold under agreements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tcPr>
          <w:p>
            <w:pPr>
              <w:ind w:left="620"/>
              <w:spacing w:after="0"/>
              <w:rPr>
                <w:sz w:val="20"/>
                <w:szCs w:val="20"/>
                <w:color w:val="auto"/>
              </w:rPr>
            </w:pPr>
            <w:r>
              <w:rPr>
                <w:rFonts w:ascii="Arial" w:cs="Arial" w:eastAsia="Arial" w:hAnsi="Arial"/>
                <w:sz w:val="18"/>
                <w:szCs w:val="18"/>
                <w:color w:val="auto"/>
              </w:rPr>
              <w:t>repurchase</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Borrowed funds</w:t>
            </w:r>
          </w:p>
        </w:tc>
        <w:tc>
          <w:tcPr>
            <w:tcW w:w="1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2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Total interest expense</w:t>
            </w:r>
          </w:p>
        </w:tc>
        <w:tc>
          <w:tcPr>
            <w:tcW w:w="1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10,393</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14,759</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Interest Income Before Provision for Loan Losses</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59,776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53,547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Provision for Loan Losses</w:t>
            </w:r>
          </w:p>
        </w:tc>
        <w:tc>
          <w:tcPr>
            <w:tcW w:w="1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6,981</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52,795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2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Customer service fees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tcPr>
          <w:p>
            <w:pPr>
              <w:ind w:left="480"/>
              <w:spacing w:after="0"/>
              <w:rPr>
                <w:sz w:val="20"/>
                <w:szCs w:val="20"/>
                <w:color w:val="auto"/>
              </w:rPr>
            </w:pPr>
            <w:r>
              <w:rPr>
                <w:rFonts w:ascii="Arial" w:cs="Arial" w:eastAsia="Arial" w:hAnsi="Arial"/>
                <w:sz w:val="18"/>
                <w:szCs w:val="18"/>
                <w:color w:val="auto"/>
              </w:rPr>
              <w:t>Other service charges and fees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4,443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gain on sale of loans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tcPr>
          <w:p>
            <w:pPr>
              <w:ind w:left="480"/>
              <w:spacing w:after="0"/>
              <w:rPr>
                <w:sz w:val="20"/>
                <w:szCs w:val="20"/>
                <w:color w:val="auto"/>
              </w:rPr>
            </w:pPr>
            <w:r>
              <w:rPr>
                <w:rFonts w:ascii="Arial" w:cs="Arial" w:eastAsia="Arial" w:hAnsi="Arial"/>
                <w:sz w:val="18"/>
                <w:szCs w:val="18"/>
                <w:color w:val="auto"/>
              </w:rPr>
              <w:t>Net gain (loss) on sale of available-for-sale securities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7"/>
        </w:trPr>
        <w:tc>
          <w:tcPr>
            <w:tcW w:w="612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Total noninterest income</w:t>
            </w:r>
          </w:p>
        </w:tc>
        <w:tc>
          <w:tcPr>
            <w:tcW w:w="1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16,787</w:t>
            </w: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11,820</w:t>
            </w: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2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Salaries and wages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tcPr>
          <w:p>
            <w:pPr>
              <w:ind w:left="480"/>
              <w:spacing w:after="0"/>
              <w:rPr>
                <w:sz w:val="20"/>
                <w:szCs w:val="20"/>
                <w:color w:val="auto"/>
              </w:rPr>
            </w:pPr>
            <w:r>
              <w:rPr>
                <w:rFonts w:ascii="Arial" w:cs="Arial" w:eastAsia="Arial" w:hAnsi="Arial"/>
                <w:sz w:val="18"/>
                <w:szCs w:val="18"/>
                <w:color w:val="auto"/>
              </w:rPr>
              <w:t>Employee benefits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5,601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5,558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occupancy expense</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tcPr>
          <w:p>
            <w:pPr>
              <w:ind w:left="480"/>
              <w:spacing w:after="0"/>
              <w:rPr>
                <w:sz w:val="20"/>
                <w:szCs w:val="20"/>
                <w:color w:val="auto"/>
              </w:rPr>
            </w:pPr>
            <w:r>
              <w:rPr>
                <w:rFonts w:ascii="Arial" w:cs="Arial" w:eastAsia="Arial" w:hAnsi="Arial"/>
                <w:sz w:val="18"/>
                <w:szCs w:val="18"/>
                <w:color w:val="auto"/>
              </w:rPr>
              <w:t>Furniture and equipment</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3,143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Data processing</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tcPr>
          <w:p>
            <w:pPr>
              <w:ind w:left="480"/>
              <w:spacing w:after="0"/>
              <w:rPr>
                <w:sz w:val="20"/>
                <w:szCs w:val="20"/>
                <w:color w:val="auto"/>
              </w:rPr>
            </w:pPr>
            <w:r>
              <w:rPr>
                <w:rFonts w:ascii="Arial" w:cs="Arial" w:eastAsia="Arial" w:hAnsi="Arial"/>
                <w:sz w:val="18"/>
                <w:szCs w:val="18"/>
                <w:color w:val="auto"/>
              </w:rPr>
              <w:t>Franchise taxes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ATM expense</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tcPr>
          <w:p>
            <w:pPr>
              <w:ind w:left="480"/>
              <w:spacing w:after="0"/>
              <w:rPr>
                <w:sz w:val="20"/>
                <w:szCs w:val="20"/>
                <w:color w:val="auto"/>
              </w:rPr>
            </w:pPr>
            <w:r>
              <w:rPr>
                <w:rFonts w:ascii="Arial" w:cs="Arial" w:eastAsia="Arial" w:hAnsi="Arial"/>
                <w:sz w:val="18"/>
                <w:szCs w:val="18"/>
                <w:color w:val="auto"/>
              </w:rPr>
              <w:t>Advertising</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loss on sale of other assets owned</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tcPr>
          <w:p>
            <w:pPr>
              <w:ind w:left="480"/>
              <w:spacing w:after="0"/>
              <w:rPr>
                <w:sz w:val="20"/>
                <w:szCs w:val="20"/>
                <w:color w:val="auto"/>
              </w:rPr>
            </w:pPr>
            <w:r>
              <w:rPr>
                <w:rFonts w:ascii="Arial" w:cs="Arial" w:eastAsia="Arial" w:hAnsi="Arial"/>
                <w:sz w:val="18"/>
                <w:szCs w:val="18"/>
                <w:color w:val="auto"/>
              </w:rPr>
              <w:t>FDIC assessment</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Mortgage servicing rights amortization</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tcPr>
          <w:p>
            <w:pPr>
              <w:ind w:left="480"/>
              <w:spacing w:after="0"/>
              <w:rPr>
                <w:sz w:val="20"/>
                <w:szCs w:val="20"/>
                <w:color w:val="auto"/>
              </w:rPr>
            </w:pPr>
            <w:r>
              <w:rPr>
                <w:rFonts w:ascii="Arial" w:cs="Arial" w:eastAsia="Arial" w:hAnsi="Arial"/>
                <w:sz w:val="18"/>
                <w:szCs w:val="18"/>
                <w:color w:val="auto"/>
              </w:rPr>
              <w:t>Consulting fees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general and administrative</w:t>
            </w:r>
          </w:p>
        </w:tc>
        <w:tc>
          <w:tcPr>
            <w:tcW w:w="1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6,098</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6,251</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2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Total noninterest expense</w:t>
            </w:r>
          </w:p>
        </w:tc>
        <w:tc>
          <w:tcPr>
            <w:tcW w:w="1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44,376</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41,467</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Before Income Taxes</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22,762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Income Taxes</w:t>
            </w:r>
          </w:p>
        </w:tc>
        <w:tc>
          <w:tcPr>
            <w:tcW w:w="1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5,111</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20,095</w:t>
            </w:r>
          </w:p>
        </w:tc>
        <w:tc>
          <w:tcPr>
            <w:tcW w:w="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Dividends Declared</w:t>
            </w:r>
          </w:p>
        </w:tc>
        <w:tc>
          <w:tcPr>
            <w:tcW w:w="1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vMerge w:val="continue"/>
          </w:tcPr>
          <w:p>
            <w:pPr>
              <w:spacing w:after="0"/>
              <w:rPr>
                <w:sz w:val="17"/>
                <w:szCs w:val="17"/>
                <w:color w:val="auto"/>
              </w:rPr>
            </w:pPr>
          </w:p>
        </w:tc>
        <w:tc>
          <w:tcPr>
            <w:tcW w:w="13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0.66</w:t>
            </w:r>
          </w:p>
        </w:tc>
        <w:tc>
          <w:tcPr>
            <w:tcW w:w="500" w:type="dxa"/>
            <w:vAlign w:val="bottom"/>
            <w:gridSpan w:val="2"/>
          </w:tcPr>
          <w:p>
            <w:pPr>
              <w:ind w:left="26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0.61</w:t>
            </w:r>
          </w:p>
        </w:tc>
        <w:tc>
          <w:tcPr>
            <w:tcW w:w="260" w:type="dxa"/>
            <w:vAlign w:val="bottom"/>
          </w:tcPr>
          <w:p>
            <w:pPr>
              <w:spacing w:after="0"/>
              <w:rPr>
                <w:sz w:val="17"/>
                <w:szCs w:val="17"/>
                <w:color w:val="auto"/>
              </w:rPr>
            </w:pPr>
          </w:p>
        </w:tc>
        <w:tc>
          <w:tcPr>
            <w:tcW w:w="240" w:type="dxa"/>
            <w:vAlign w:val="bottom"/>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0.56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8"/>
        </w:trPr>
        <w:tc>
          <w:tcPr>
            <w:tcW w:w="5880" w:type="dxa"/>
            <w:vAlign w:val="bottom"/>
          </w:tcPr>
          <w:p>
            <w:pPr>
              <w:spacing w:after="0"/>
              <w:rPr>
                <w:sz w:val="20"/>
                <w:szCs w:val="20"/>
                <w:color w:val="auto"/>
              </w:rPr>
            </w:pPr>
            <w:r>
              <w:rPr>
                <w:rFonts w:ascii="Arial" w:cs="Arial" w:eastAsia="Arial" w:hAnsi="Arial"/>
                <w:sz w:val="18"/>
                <w:szCs w:val="18"/>
                <w:b w:val="1"/>
                <w:bCs w:val="1"/>
                <w:color w:val="auto"/>
              </w:rPr>
              <w:t>Farmers &amp; Merchants Bancorp, Inc. and Subsidiaries</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5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gridSpan w:val="9"/>
          </w:tcPr>
          <w:p>
            <w:pPr>
              <w:jc w:val="right"/>
              <w:spacing w:after="0"/>
              <w:rPr>
                <w:sz w:val="20"/>
                <w:szCs w:val="20"/>
                <w:color w:val="auto"/>
              </w:rPr>
            </w:pPr>
            <w:r>
              <w:rPr>
                <w:rFonts w:ascii="Arial" w:cs="Arial" w:eastAsia="Arial" w:hAnsi="Arial"/>
                <w:sz w:val="18"/>
                <w:szCs w:val="18"/>
                <w:b w:val="1"/>
                <w:bCs w:val="1"/>
                <w:color w:val="auto"/>
                <w:w w:val="86"/>
              </w:rPr>
              <w:t>Consolidated Statements of Comprehensive Income</w:t>
            </w:r>
          </w:p>
        </w:tc>
        <w:tc>
          <w:tcPr>
            <w:tcW w:w="0" w:type="dxa"/>
            <w:vAlign w:val="bottom"/>
          </w:tcPr>
          <w:p>
            <w:pPr>
              <w:spacing w:after="0"/>
              <w:rPr>
                <w:sz w:val="1"/>
                <w:szCs w:val="1"/>
                <w:color w:val="auto"/>
              </w:rPr>
            </w:pPr>
          </w:p>
        </w:tc>
      </w:tr>
      <w:tr>
        <w:trPr>
          <w:trHeight w:val="211"/>
        </w:trPr>
        <w:tc>
          <w:tcPr>
            <w:tcW w:w="5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00" w:type="dxa"/>
            <w:vAlign w:val="bottom"/>
            <w:gridSpan w:val="9"/>
          </w:tcPr>
          <w:p>
            <w:pPr>
              <w:jc w:val="right"/>
              <w:spacing w:after="0"/>
              <w:rPr>
                <w:sz w:val="20"/>
                <w:szCs w:val="20"/>
                <w:color w:val="auto"/>
              </w:rPr>
            </w:pPr>
            <w:r>
              <w:rPr>
                <w:rFonts w:ascii="Arial" w:cs="Arial" w:eastAsia="Arial" w:hAnsi="Arial"/>
                <w:sz w:val="18"/>
                <w:szCs w:val="18"/>
                <w:b w:val="1"/>
                <w:bCs w:val="1"/>
                <w:color w:val="auto"/>
                <w:w w:val="95"/>
              </w:rPr>
              <w:t>Years Ended December 31, 2020, 2019 and 2018</w:t>
            </w:r>
          </w:p>
        </w:tc>
        <w:tc>
          <w:tcPr>
            <w:tcW w:w="0" w:type="dxa"/>
            <w:vAlign w:val="bottom"/>
          </w:tcPr>
          <w:p>
            <w:pPr>
              <w:spacing w:after="0"/>
              <w:rPr>
                <w:sz w:val="1"/>
                <w:szCs w:val="1"/>
                <w:color w:val="auto"/>
              </w:rPr>
            </w:pPr>
          </w:p>
        </w:tc>
      </w:tr>
      <w:tr>
        <w:trPr>
          <w:trHeight w:val="228"/>
        </w:trPr>
        <w:tc>
          <w:tcPr>
            <w:tcW w:w="5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0"/>
              </w:rPr>
              <w:t>(000’s Omitted)</w:t>
            </w:r>
          </w:p>
        </w:tc>
        <w:tc>
          <w:tcPr>
            <w:tcW w:w="0" w:type="dxa"/>
            <w:vAlign w:val="bottom"/>
          </w:tcPr>
          <w:p>
            <w:pPr>
              <w:spacing w:after="0"/>
              <w:rPr>
                <w:sz w:val="1"/>
                <w:szCs w:val="1"/>
                <w:color w:val="auto"/>
              </w:rPr>
            </w:pPr>
          </w:p>
        </w:tc>
      </w:tr>
      <w:tr>
        <w:trPr>
          <w:trHeight w:val="435"/>
        </w:trPr>
        <w:tc>
          <w:tcPr>
            <w:tcW w:w="5880" w:type="dxa"/>
            <w:vAlign w:val="bottom"/>
            <w:tcBorders>
              <w:bottom w:val="single" w:sz="8" w:color="CFF0FC"/>
            </w:tcBorders>
          </w:tcPr>
          <w:p>
            <w:pPr>
              <w:spacing w:after="0"/>
              <w:rPr>
                <w:sz w:val="24"/>
                <w:szCs w:val="24"/>
                <w:color w:val="auto"/>
              </w:rPr>
            </w:pPr>
          </w:p>
        </w:tc>
        <w:tc>
          <w:tcPr>
            <w:tcW w:w="134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20,095</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8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unrealized gain (loss) on available-for-sale securities</w:t>
            </w: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2"/>
        </w:trPr>
        <w:tc>
          <w:tcPr>
            <w:tcW w:w="5880" w:type="dxa"/>
            <w:vAlign w:val="bottom"/>
          </w:tcPr>
          <w:p>
            <w:pPr>
              <w:ind w:left="240"/>
              <w:spacing w:after="0"/>
              <w:rPr>
                <w:sz w:val="20"/>
                <w:szCs w:val="20"/>
                <w:color w:val="auto"/>
              </w:rPr>
            </w:pPr>
            <w:r>
              <w:rPr>
                <w:rFonts w:ascii="Arial" w:cs="Arial" w:eastAsia="Arial" w:hAnsi="Arial"/>
                <w:sz w:val="18"/>
                <w:szCs w:val="18"/>
                <w:color w:val="auto"/>
              </w:rPr>
              <w:t>Reclassification adjustment for realized (gain) loss on sale of</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Pr>
          <w:p>
            <w:pPr>
              <w:ind w:left="380"/>
              <w:spacing w:after="0"/>
              <w:rPr>
                <w:sz w:val="20"/>
                <w:szCs w:val="20"/>
                <w:color w:val="auto"/>
              </w:rPr>
            </w:pPr>
            <w:r>
              <w:rPr>
                <w:rFonts w:ascii="Arial" w:cs="Arial" w:eastAsia="Arial" w:hAnsi="Arial"/>
                <w:sz w:val="18"/>
                <w:szCs w:val="18"/>
                <w:color w:val="auto"/>
              </w:rPr>
              <w:t>available-for-sale securities</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Net unrealized gain (loss) on available-for-sale securities</w:t>
            </w:r>
          </w:p>
        </w:tc>
        <w:tc>
          <w:tcPr>
            <w:tcW w:w="13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80" w:type="dxa"/>
            <w:vAlign w:val="bottom"/>
            <w:vMerge w:val="continue"/>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24"/>
        </w:trPr>
        <w:tc>
          <w:tcPr>
            <w:tcW w:w="5880" w:type="dxa"/>
            <w:vAlign w:val="bottom"/>
          </w:tcPr>
          <w:p>
            <w:pPr>
              <w:ind w:left="240"/>
              <w:spacing w:after="0"/>
              <w:rPr>
                <w:sz w:val="20"/>
                <w:szCs w:val="20"/>
                <w:color w:val="auto"/>
              </w:rPr>
            </w:pPr>
            <w:r>
              <w:rPr>
                <w:rFonts w:ascii="Arial" w:cs="Arial" w:eastAsia="Arial" w:hAnsi="Arial"/>
                <w:sz w:val="18"/>
                <w:szCs w:val="18"/>
                <w:color w:val="auto"/>
              </w:rPr>
              <w:t>Tax expense (benefit)</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588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Other comprehensive income (loss)</w:t>
            </w:r>
          </w:p>
        </w:tc>
        <w:tc>
          <w:tcPr>
            <w:tcW w:w="13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80" w:type="dxa"/>
            <w:vAlign w:val="bottom"/>
            <w:vMerge w:val="continue"/>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1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80" w:type="dxa"/>
            <w:vAlign w:val="bottom"/>
            <w:vMerge w:val="continue"/>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24,694</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22,514</w:t>
            </w:r>
          </w:p>
        </w:tc>
        <w:tc>
          <w:tcPr>
            <w:tcW w:w="26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20"/>
                <w:szCs w:val="20"/>
                <w:color w:val="auto"/>
              </w:rPr>
            </w:pPr>
            <w:r>
              <w:rPr>
                <w:rFonts w:ascii="Arial" w:cs="Arial" w:eastAsia="Arial" w:hAnsi="Arial"/>
                <w:sz w:val="18"/>
                <w:szCs w:val="18"/>
                <w:b w:val="1"/>
                <w:bCs w:val="1"/>
                <w:color w:val="auto"/>
              </w:rPr>
              <w:t>Farmers &amp; Merchants Bancorp, Inc. and Subsidiaries</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60" w:type="dxa"/>
            <w:vAlign w:val="bottom"/>
            <w:gridSpan w:val="15"/>
          </w:tcPr>
          <w:p>
            <w:pPr>
              <w:jc w:val="right"/>
              <w:spacing w:after="0"/>
              <w:rPr>
                <w:sz w:val="20"/>
                <w:szCs w:val="20"/>
                <w:color w:val="auto"/>
              </w:rPr>
            </w:pPr>
            <w:r>
              <w:rPr>
                <w:rFonts w:ascii="Arial" w:cs="Arial" w:eastAsia="Arial" w:hAnsi="Arial"/>
                <w:sz w:val="18"/>
                <w:szCs w:val="18"/>
                <w:b w:val="1"/>
                <w:bCs w:val="1"/>
                <w:color w:val="auto"/>
                <w:w w:val="86"/>
              </w:rPr>
              <w:t>Consolidated Statements of Changes to Stockholders’ Equity</w:t>
            </w:r>
          </w:p>
        </w:tc>
        <w:tc>
          <w:tcPr>
            <w:tcW w:w="0" w:type="dxa"/>
            <w:vAlign w:val="bottom"/>
          </w:tcPr>
          <w:p>
            <w:pPr>
              <w:spacing w:after="0"/>
              <w:rPr>
                <w:sz w:val="1"/>
                <w:szCs w:val="1"/>
                <w:color w:val="auto"/>
              </w:rPr>
            </w:pPr>
          </w:p>
        </w:tc>
      </w:tr>
      <w:tr>
        <w:trPr>
          <w:trHeight w:val="211"/>
        </w:trPr>
        <w:tc>
          <w:tcPr>
            <w:tcW w:w="4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gridSpan w:val="12"/>
          </w:tcPr>
          <w:p>
            <w:pPr>
              <w:jc w:val="right"/>
              <w:spacing w:after="0"/>
              <w:rPr>
                <w:sz w:val="20"/>
                <w:szCs w:val="20"/>
                <w:color w:val="auto"/>
              </w:rPr>
            </w:pPr>
            <w:r>
              <w:rPr>
                <w:rFonts w:ascii="Arial" w:cs="Arial" w:eastAsia="Arial" w:hAnsi="Arial"/>
                <w:sz w:val="18"/>
                <w:szCs w:val="18"/>
                <w:b w:val="1"/>
                <w:bCs w:val="1"/>
                <w:color w:val="auto"/>
                <w:w w:val="88"/>
              </w:rPr>
              <w:t>For the Years Ended December 31, 2020, 2019 and 2018</w:t>
            </w:r>
          </w:p>
        </w:tc>
        <w:tc>
          <w:tcPr>
            <w:tcW w:w="0" w:type="dxa"/>
            <w:vAlign w:val="bottom"/>
          </w:tcPr>
          <w:p>
            <w:pPr>
              <w:spacing w:after="0"/>
              <w:rPr>
                <w:sz w:val="1"/>
                <w:szCs w:val="1"/>
                <w:color w:val="auto"/>
              </w:rPr>
            </w:pPr>
          </w:p>
        </w:tc>
      </w:tr>
      <w:tr>
        <w:trPr>
          <w:trHeight w:val="211"/>
        </w:trPr>
        <w:tc>
          <w:tcPr>
            <w:tcW w:w="4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(000’s</w:t>
            </w:r>
          </w:p>
        </w:tc>
        <w:tc>
          <w:tcPr>
            <w:tcW w:w="0" w:type="dxa"/>
            <w:vAlign w:val="bottom"/>
          </w:tcPr>
          <w:p>
            <w:pPr>
              <w:spacing w:after="0"/>
              <w:rPr>
                <w:sz w:val="1"/>
                <w:szCs w:val="1"/>
                <w:color w:val="auto"/>
              </w:rPr>
            </w:pPr>
          </w:p>
        </w:tc>
      </w:tr>
      <w:tr>
        <w:trPr>
          <w:trHeight w:val="211"/>
        </w:trPr>
        <w:tc>
          <w:tcPr>
            <w:tcW w:w="4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Omitted,</w:t>
            </w:r>
          </w:p>
        </w:tc>
        <w:tc>
          <w:tcPr>
            <w:tcW w:w="0" w:type="dxa"/>
            <w:vAlign w:val="bottom"/>
          </w:tcPr>
          <w:p>
            <w:pPr>
              <w:spacing w:after="0"/>
              <w:rPr>
                <w:sz w:val="1"/>
                <w:szCs w:val="1"/>
                <w:color w:val="auto"/>
              </w:rPr>
            </w:pPr>
          </w:p>
        </w:tc>
      </w:tr>
      <w:tr>
        <w:trPr>
          <w:trHeight w:val="211"/>
        </w:trPr>
        <w:tc>
          <w:tcPr>
            <w:tcW w:w="4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Except Per</w:t>
            </w:r>
          </w:p>
        </w:tc>
        <w:tc>
          <w:tcPr>
            <w:tcW w:w="0" w:type="dxa"/>
            <w:vAlign w:val="bottom"/>
          </w:tcPr>
          <w:p>
            <w:pPr>
              <w:spacing w:after="0"/>
              <w:rPr>
                <w:sz w:val="1"/>
                <w:szCs w:val="1"/>
                <w:color w:val="auto"/>
              </w:rPr>
            </w:pPr>
          </w:p>
        </w:tc>
      </w:tr>
      <w:tr>
        <w:trPr>
          <w:trHeight w:val="211"/>
        </w:trPr>
        <w:tc>
          <w:tcPr>
            <w:tcW w:w="4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Share</w:t>
            </w:r>
          </w:p>
        </w:tc>
        <w:tc>
          <w:tcPr>
            <w:tcW w:w="0" w:type="dxa"/>
            <w:vAlign w:val="bottom"/>
          </w:tcPr>
          <w:p>
            <w:pPr>
              <w:spacing w:after="0"/>
              <w:rPr>
                <w:sz w:val="1"/>
                <w:szCs w:val="1"/>
                <w:color w:val="auto"/>
              </w:rPr>
            </w:pPr>
          </w:p>
        </w:tc>
      </w:tr>
      <w:tr>
        <w:trPr>
          <w:trHeight w:val="228"/>
        </w:trPr>
        <w:tc>
          <w:tcPr>
            <w:tcW w:w="4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Data)</w:t>
            </w:r>
          </w:p>
        </w:tc>
        <w:tc>
          <w:tcPr>
            <w:tcW w:w="0" w:type="dxa"/>
            <w:vAlign w:val="bottom"/>
          </w:tcPr>
          <w:p>
            <w:pPr>
              <w:spacing w:after="0"/>
              <w:rPr>
                <w:sz w:val="1"/>
                <w:szCs w:val="1"/>
                <w:color w:val="auto"/>
              </w:rPr>
            </w:pPr>
          </w:p>
        </w:tc>
      </w:tr>
      <w:tr>
        <w:trPr>
          <w:trHeight w:val="435"/>
        </w:trPr>
        <w:tc>
          <w:tcPr>
            <w:tcW w:w="4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Accumulated</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78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Shares of</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4"/>
        </w:trPr>
        <w:tc>
          <w:tcPr>
            <w:tcW w:w="478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w:t>
            </w:r>
          </w:p>
        </w:tc>
        <w:tc>
          <w:tcPr>
            <w:tcW w:w="920" w:type="dxa"/>
            <w:vAlign w:val="bottom"/>
            <w:gridSpan w:val="3"/>
          </w:tcPr>
          <w:p>
            <w:pPr>
              <w:jc w:val="right"/>
              <w:ind w:right="112"/>
              <w:spacing w:after="0"/>
              <w:rPr>
                <w:sz w:val="20"/>
                <w:szCs w:val="20"/>
                <w:color w:val="auto"/>
              </w:rPr>
            </w:pPr>
            <w:r>
              <w:rPr>
                <w:rFonts w:ascii="Arial" w:cs="Arial" w:eastAsia="Arial" w:hAnsi="Arial"/>
                <w:sz w:val="18"/>
                <w:szCs w:val="18"/>
                <w:color w:val="auto"/>
                <w:w w:val="95"/>
              </w:rPr>
              <w:t>Common</w:t>
            </w:r>
          </w:p>
        </w:tc>
        <w:tc>
          <w:tcPr>
            <w:tcW w:w="80" w:type="dxa"/>
            <w:vAlign w:val="bottom"/>
          </w:tcPr>
          <w:p>
            <w:pPr>
              <w:spacing w:after="0"/>
              <w:rPr>
                <w:sz w:val="19"/>
                <w:szCs w:val="19"/>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Treasury</w:t>
            </w:r>
          </w:p>
        </w:tc>
        <w:tc>
          <w:tcPr>
            <w:tcW w:w="80" w:type="dxa"/>
            <w:vAlign w:val="bottom"/>
          </w:tcPr>
          <w:p>
            <w:pPr>
              <w:spacing w:after="0"/>
              <w:rPr>
                <w:sz w:val="19"/>
                <w:szCs w:val="19"/>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w w:val="94"/>
              </w:rPr>
              <w:t>Retained</w:t>
            </w: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color w:val="auto"/>
                <w:w w:val="87"/>
              </w:rPr>
              <w:t>Comprehensive</w:t>
            </w:r>
          </w:p>
        </w:tc>
        <w:tc>
          <w:tcPr>
            <w:tcW w:w="1060" w:type="dxa"/>
            <w:vAlign w:val="bottom"/>
            <w:gridSpan w:val="3"/>
          </w:tcPr>
          <w:p>
            <w:pPr>
              <w:spacing w:after="0"/>
              <w:rPr>
                <w:sz w:val="20"/>
                <w:szCs w:val="20"/>
                <w:color w:val="auto"/>
              </w:rPr>
            </w:pPr>
            <w:r>
              <w:rPr>
                <w:rFonts w:ascii="Arial" w:cs="Arial" w:eastAsia="Arial" w:hAnsi="Arial"/>
                <w:sz w:val="18"/>
                <w:szCs w:val="18"/>
                <w:color w:val="auto"/>
                <w:w w:val="96"/>
              </w:rPr>
              <w:t>Stockholders'</w:t>
            </w:r>
          </w:p>
        </w:tc>
        <w:tc>
          <w:tcPr>
            <w:tcW w:w="0" w:type="dxa"/>
            <w:vAlign w:val="bottom"/>
          </w:tcPr>
          <w:p>
            <w:pPr>
              <w:spacing w:after="0"/>
              <w:rPr>
                <w:sz w:val="1"/>
                <w:szCs w:val="1"/>
                <w:color w:val="auto"/>
              </w:rPr>
            </w:pPr>
          </w:p>
        </w:tc>
      </w:tr>
      <w:tr>
        <w:trPr>
          <w:trHeight w:val="224"/>
        </w:trPr>
        <w:tc>
          <w:tcPr>
            <w:tcW w:w="47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Stock</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3"/>
              </w:rPr>
              <w:t>Stock</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7"/>
              </w:rPr>
              <w:t>Stock</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Earnings</w:t>
            </w:r>
          </w:p>
        </w:tc>
        <w:tc>
          <w:tcPr>
            <w:tcW w:w="2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Income (Loss)</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Equity</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 January 1, 2018</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9,265,880</w:t>
            </w: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11,546</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(12,160)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136,547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(1,826)</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14,949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comprehensive loss</w:t>
            </w:r>
          </w:p>
        </w:tc>
        <w:tc>
          <w:tcPr>
            <w:tcW w:w="9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(829)</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24"/>
        </w:trPr>
        <w:tc>
          <w:tcPr>
            <w:tcW w:w="4780" w:type="dxa"/>
            <w:vAlign w:val="bottom"/>
          </w:tcPr>
          <w:p>
            <w:pPr>
              <w:ind w:left="240"/>
              <w:spacing w:after="0"/>
              <w:rPr>
                <w:sz w:val="20"/>
                <w:szCs w:val="20"/>
                <w:color w:val="auto"/>
              </w:rPr>
            </w:pPr>
            <w:r>
              <w:rPr>
                <w:rFonts w:ascii="Arial" w:cs="Arial" w:eastAsia="Arial" w:hAnsi="Arial"/>
                <w:sz w:val="18"/>
                <w:szCs w:val="18"/>
                <w:color w:val="auto"/>
              </w:rPr>
              <w:t>Adoption of ASU 2018-02</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 of treasury stock</w:t>
            </w: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(10,999)</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2"/>
        </w:trPr>
        <w:tc>
          <w:tcPr>
            <w:tcW w:w="4780" w:type="dxa"/>
            <w:vAlign w:val="bottom"/>
          </w:tcPr>
          <w:p>
            <w:pPr>
              <w:ind w:left="240"/>
              <w:spacing w:after="0"/>
              <w:rPr>
                <w:sz w:val="20"/>
                <w:szCs w:val="20"/>
                <w:color w:val="auto"/>
              </w:rPr>
            </w:pPr>
            <w:r>
              <w:rPr>
                <w:rFonts w:ascii="Arial" w:cs="Arial" w:eastAsia="Arial" w:hAnsi="Arial"/>
                <w:sz w:val="18"/>
                <w:szCs w:val="18"/>
                <w:color w:val="auto"/>
              </w:rPr>
              <w:t>Issuance of 33,000 shares of restricted stock</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380"/>
              <w:spacing w:after="0"/>
              <w:rPr>
                <w:sz w:val="20"/>
                <w:szCs w:val="20"/>
                <w:color w:val="auto"/>
              </w:rPr>
            </w:pPr>
            <w:r>
              <w:rPr>
                <w:rFonts w:ascii="Arial" w:cs="Arial" w:eastAsia="Arial" w:hAnsi="Arial"/>
                <w:sz w:val="18"/>
                <w:szCs w:val="18"/>
                <w:color w:val="auto"/>
              </w:rPr>
              <w:t>(Net of forfeitures - 2,620)</w:t>
            </w:r>
          </w:p>
        </w:tc>
        <w:tc>
          <w:tcPr>
            <w:tcW w:w="920" w:type="dxa"/>
            <w:vAlign w:val="bottom"/>
          </w:tcPr>
          <w:p>
            <w:pPr>
              <w:jc w:val="right"/>
              <w:spacing w:after="0"/>
              <w:rPr>
                <w:sz w:val="20"/>
                <w:szCs w:val="20"/>
                <w:color w:val="auto"/>
              </w:rPr>
            </w:pPr>
            <w:r>
              <w:rPr>
                <w:rFonts w:ascii="Arial" w:cs="Arial" w:eastAsia="Arial" w:hAnsi="Arial"/>
                <w:sz w:val="18"/>
                <w:szCs w:val="18"/>
                <w:color w:val="auto"/>
              </w:rPr>
              <w:t>30,380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4"/>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40"/>
              <w:spacing w:after="0"/>
              <w:rPr>
                <w:sz w:val="20"/>
                <w:szCs w:val="20"/>
                <w:color w:val="auto"/>
              </w:rPr>
            </w:pPr>
            <w:r>
              <w:rPr>
                <w:rFonts w:ascii="Arial" w:cs="Arial" w:eastAsia="Arial" w:hAnsi="Arial"/>
                <w:sz w:val="18"/>
                <w:szCs w:val="18"/>
                <w:color w:val="auto"/>
              </w:rPr>
              <w:t>Cash dividends declared - $0.56 per share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(5,142)</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(5,142)</w:t>
            </w:r>
          </w:p>
        </w:tc>
        <w:tc>
          <w:tcPr>
            <w:tcW w:w="0" w:type="dxa"/>
            <w:vAlign w:val="bottom"/>
          </w:tcPr>
          <w:p>
            <w:pPr>
              <w:spacing w:after="0"/>
              <w:rPr>
                <w:sz w:val="1"/>
                <w:szCs w:val="1"/>
                <w:color w:val="auto"/>
              </w:rPr>
            </w:pPr>
          </w:p>
        </w:tc>
      </w:tr>
      <w:tr>
        <w:trPr>
          <w:trHeight w:val="20"/>
        </w:trPr>
        <w:tc>
          <w:tcPr>
            <w:tcW w:w="478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Balance - December 31, 2018</w:t>
            </w: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vMerge w:val="continue"/>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9,285,261</w:t>
            </w: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(12,409)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147,887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(3,014)</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18,402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40"/>
              <w:spacing w:after="0"/>
              <w:rPr>
                <w:sz w:val="20"/>
                <w:szCs w:val="20"/>
                <w:color w:val="auto"/>
              </w:rPr>
            </w:pPr>
            <w:r>
              <w:rPr>
                <w:rFonts w:ascii="Arial" w:cs="Arial" w:eastAsia="Arial" w:hAnsi="Arial"/>
                <w:sz w:val="18"/>
                <w:szCs w:val="18"/>
                <w:color w:val="auto"/>
                <w:w w:val="92"/>
              </w:rPr>
              <w:t>Issuance of 1,830,000 shares of common stock in acquisition</w:t>
            </w:r>
          </w:p>
        </w:tc>
        <w:tc>
          <w:tcPr>
            <w:tcW w:w="920" w:type="dxa"/>
            <w:vAlign w:val="bottom"/>
          </w:tcPr>
          <w:p>
            <w:pPr>
              <w:jc w:val="right"/>
              <w:spacing w:after="0"/>
              <w:rPr>
                <w:sz w:val="20"/>
                <w:szCs w:val="20"/>
                <w:color w:val="auto"/>
              </w:rPr>
            </w:pPr>
            <w:r>
              <w:rPr>
                <w:rFonts w:ascii="Arial" w:cs="Arial" w:eastAsia="Arial" w:hAnsi="Arial"/>
                <w:sz w:val="18"/>
                <w:szCs w:val="18"/>
                <w:color w:val="auto"/>
              </w:rPr>
              <w:t>1,830,000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70,437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 of treasury stock</w:t>
            </w: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(13,206)</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2"/>
        </w:trPr>
        <w:tc>
          <w:tcPr>
            <w:tcW w:w="4780" w:type="dxa"/>
            <w:vAlign w:val="bottom"/>
          </w:tcPr>
          <w:p>
            <w:pPr>
              <w:ind w:left="240"/>
              <w:spacing w:after="0"/>
              <w:rPr>
                <w:sz w:val="20"/>
                <w:szCs w:val="20"/>
                <w:color w:val="auto"/>
              </w:rPr>
            </w:pPr>
            <w:r>
              <w:rPr>
                <w:rFonts w:ascii="Arial" w:cs="Arial" w:eastAsia="Arial" w:hAnsi="Arial"/>
                <w:sz w:val="18"/>
                <w:szCs w:val="18"/>
                <w:color w:val="auto"/>
              </w:rPr>
              <w:t>Issuance of 38,100 shares of restricted stock</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380"/>
              <w:spacing w:after="0"/>
              <w:rPr>
                <w:sz w:val="20"/>
                <w:szCs w:val="20"/>
                <w:color w:val="auto"/>
              </w:rPr>
            </w:pPr>
            <w:r>
              <w:rPr>
                <w:rFonts w:ascii="Arial" w:cs="Arial" w:eastAsia="Arial" w:hAnsi="Arial"/>
                <w:sz w:val="18"/>
                <w:szCs w:val="18"/>
                <w:color w:val="auto"/>
              </w:rPr>
              <w:t>(Net of forfeitures - 3,220)</w:t>
            </w:r>
          </w:p>
        </w:tc>
        <w:tc>
          <w:tcPr>
            <w:tcW w:w="920" w:type="dxa"/>
            <w:vAlign w:val="bottom"/>
          </w:tcPr>
          <w:p>
            <w:pPr>
              <w:jc w:val="right"/>
              <w:spacing w:after="0"/>
              <w:rPr>
                <w:sz w:val="20"/>
                <w:szCs w:val="20"/>
                <w:color w:val="auto"/>
              </w:rPr>
            </w:pPr>
            <w:r>
              <w:rPr>
                <w:rFonts w:ascii="Arial" w:cs="Arial" w:eastAsia="Arial" w:hAnsi="Arial"/>
                <w:sz w:val="18"/>
                <w:szCs w:val="18"/>
                <w:color w:val="auto"/>
              </w:rPr>
              <w:t>34,880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40"/>
              <w:spacing w:after="0"/>
              <w:rPr>
                <w:sz w:val="20"/>
                <w:szCs w:val="20"/>
                <w:color w:val="auto"/>
              </w:rPr>
            </w:pPr>
            <w:r>
              <w:rPr>
                <w:rFonts w:ascii="Arial" w:cs="Arial" w:eastAsia="Arial" w:hAnsi="Arial"/>
                <w:sz w:val="18"/>
                <w:szCs w:val="18"/>
                <w:color w:val="auto"/>
              </w:rPr>
              <w:t>Cash dividends declared - $0.61 per share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(6,734)</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(6,734)</w:t>
            </w:r>
          </w:p>
        </w:tc>
        <w:tc>
          <w:tcPr>
            <w:tcW w:w="0" w:type="dxa"/>
            <w:vAlign w:val="bottom"/>
          </w:tcPr>
          <w:p>
            <w:pPr>
              <w:spacing w:after="0"/>
              <w:rPr>
                <w:sz w:val="1"/>
                <w:szCs w:val="1"/>
                <w:color w:val="auto"/>
              </w:rPr>
            </w:pPr>
          </w:p>
        </w:tc>
      </w:tr>
      <w:tr>
        <w:trPr>
          <w:trHeight w:val="20"/>
        </w:trPr>
        <w:tc>
          <w:tcPr>
            <w:tcW w:w="478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Balance - December 31, 2019</w:t>
            </w: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vMerge w:val="continue"/>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11,136,935</w:t>
            </w: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81,535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(12,456)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160,081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230,258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20,095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40"/>
              <w:spacing w:after="0"/>
              <w:rPr>
                <w:sz w:val="20"/>
                <w:szCs w:val="20"/>
                <w:color w:val="auto"/>
              </w:rPr>
            </w:pPr>
            <w:r>
              <w:rPr>
                <w:rFonts w:ascii="Arial" w:cs="Arial" w:eastAsia="Arial" w:hAnsi="Arial"/>
                <w:sz w:val="18"/>
                <w:szCs w:val="18"/>
                <w:color w:val="auto"/>
                <w:w w:val="97"/>
              </w:rPr>
              <w:t>Issuance of 40,049 shares of common stock in acquisition</w:t>
            </w:r>
          </w:p>
        </w:tc>
        <w:tc>
          <w:tcPr>
            <w:tcW w:w="920" w:type="dxa"/>
            <w:vAlign w:val="bottom"/>
          </w:tcPr>
          <w:p>
            <w:pPr>
              <w:jc w:val="right"/>
              <w:spacing w:after="0"/>
              <w:rPr>
                <w:sz w:val="20"/>
                <w:szCs w:val="20"/>
                <w:color w:val="auto"/>
              </w:rPr>
            </w:pPr>
            <w:r>
              <w:rPr>
                <w:rFonts w:ascii="Arial" w:cs="Arial" w:eastAsia="Arial" w:hAnsi="Arial"/>
                <w:sz w:val="18"/>
                <w:szCs w:val="18"/>
                <w:color w:val="auto"/>
              </w:rPr>
              <w:t>40,049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 of treasury stock</w:t>
            </w: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(16,779)</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2"/>
        </w:trPr>
        <w:tc>
          <w:tcPr>
            <w:tcW w:w="4780" w:type="dxa"/>
            <w:vAlign w:val="bottom"/>
          </w:tcPr>
          <w:p>
            <w:pPr>
              <w:ind w:left="240"/>
              <w:spacing w:after="0"/>
              <w:rPr>
                <w:sz w:val="20"/>
                <w:szCs w:val="20"/>
                <w:color w:val="auto"/>
              </w:rPr>
            </w:pPr>
            <w:r>
              <w:rPr>
                <w:rFonts w:ascii="Arial" w:cs="Arial" w:eastAsia="Arial" w:hAnsi="Arial"/>
                <w:sz w:val="18"/>
                <w:szCs w:val="18"/>
                <w:color w:val="auto"/>
              </w:rPr>
              <w:t>Issuance of 37,382 shares of restricted stock</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380"/>
              <w:spacing w:after="0"/>
              <w:rPr>
                <w:sz w:val="20"/>
                <w:szCs w:val="20"/>
                <w:color w:val="auto"/>
              </w:rPr>
            </w:pPr>
            <w:r>
              <w:rPr>
                <w:rFonts w:ascii="Arial" w:cs="Arial" w:eastAsia="Arial" w:hAnsi="Arial"/>
                <w:sz w:val="18"/>
                <w:szCs w:val="18"/>
                <w:color w:val="auto"/>
              </w:rPr>
              <w:t>(Net of forfeitures - 2,175)</w:t>
            </w:r>
          </w:p>
        </w:tc>
        <w:tc>
          <w:tcPr>
            <w:tcW w:w="920" w:type="dxa"/>
            <w:vAlign w:val="bottom"/>
          </w:tcPr>
          <w:p>
            <w:pPr>
              <w:jc w:val="right"/>
              <w:spacing w:after="0"/>
              <w:rPr>
                <w:sz w:val="20"/>
                <w:szCs w:val="20"/>
                <w:color w:val="auto"/>
              </w:rPr>
            </w:pPr>
            <w:r>
              <w:rPr>
                <w:rFonts w:ascii="Arial" w:cs="Arial" w:eastAsia="Arial" w:hAnsi="Arial"/>
                <w:sz w:val="18"/>
                <w:szCs w:val="18"/>
                <w:color w:val="auto"/>
              </w:rPr>
              <w:t>35,207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40"/>
              <w:spacing w:after="0"/>
              <w:rPr>
                <w:sz w:val="20"/>
                <w:szCs w:val="20"/>
                <w:color w:val="auto"/>
              </w:rPr>
            </w:pPr>
            <w:r>
              <w:rPr>
                <w:rFonts w:ascii="Arial" w:cs="Arial" w:eastAsia="Arial" w:hAnsi="Arial"/>
                <w:sz w:val="18"/>
                <w:szCs w:val="18"/>
                <w:color w:val="auto"/>
              </w:rPr>
              <w:t>Director stock awards</w:t>
            </w:r>
          </w:p>
        </w:tc>
        <w:tc>
          <w:tcPr>
            <w:tcW w:w="920" w:type="dxa"/>
            <w:vAlign w:val="bottom"/>
          </w:tcPr>
          <w:p>
            <w:pPr>
              <w:jc w:val="right"/>
              <w:spacing w:after="0"/>
              <w:rPr>
                <w:sz w:val="20"/>
                <w:szCs w:val="20"/>
                <w:color w:val="auto"/>
              </w:rPr>
            </w:pPr>
            <w:r>
              <w:rPr>
                <w:rFonts w:ascii="Arial" w:cs="Arial" w:eastAsia="Arial" w:hAnsi="Arial"/>
                <w:sz w:val="18"/>
                <w:szCs w:val="18"/>
                <w:color w:val="auto"/>
              </w:rPr>
              <w:t>2,132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dividends declared - $0.66 per share</w:t>
            </w:r>
          </w:p>
        </w:tc>
        <w:tc>
          <w:tcPr>
            <w:tcW w:w="9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(7,307)</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(7,307)</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Balance - December 31, 2020</w:t>
            </w: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11,197,544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81,804</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(11,932)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173,591</w:t>
            </w:r>
          </w:p>
        </w:tc>
        <w:tc>
          <w:tcPr>
            <w:tcW w:w="22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5,697</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249,160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80" w:type="dxa"/>
            <w:vAlign w:val="bottom"/>
            <w:vMerge w:val="continue"/>
          </w:tcPr>
          <w:p>
            <w:pPr>
              <w:spacing w:after="0"/>
              <w:rPr>
                <w:sz w:val="16"/>
                <w:szCs w:val="16"/>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8"/>
        </w:trPr>
        <w:tc>
          <w:tcPr>
            <w:tcW w:w="478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7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ind w:left="828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2" w:lineRule="exact"/>
        <w:rPr>
          <w:sz w:val="20"/>
          <w:szCs w:val="20"/>
          <w:color w:val="auto"/>
        </w:rPr>
      </w:pPr>
    </w:p>
    <w:p>
      <w:pPr>
        <w:ind w:left="7660"/>
        <w:spacing w:after="0"/>
        <w:rPr>
          <w:sz w:val="20"/>
          <w:szCs w:val="20"/>
          <w:color w:val="auto"/>
        </w:rPr>
      </w:pPr>
      <w:r>
        <w:rPr>
          <w:rFonts w:ascii="Arial" w:cs="Arial" w:eastAsia="Arial" w:hAnsi="Arial"/>
          <w:sz w:val="15"/>
          <w:szCs w:val="15"/>
          <w:b w:val="1"/>
          <w:bCs w:val="1"/>
          <w:color w:val="auto"/>
        </w:rPr>
        <w:t>Years Ended December 31, 2020, 2019 and 2018</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0"/>
              </w:rPr>
              <w:t>(000’s Omitted)</w:t>
            </w:r>
          </w:p>
        </w:tc>
        <w:tc>
          <w:tcPr>
            <w:tcW w:w="0" w:type="dxa"/>
            <w:vAlign w:val="bottom"/>
          </w:tcPr>
          <w:p>
            <w:pPr>
              <w:spacing w:after="0"/>
              <w:rPr>
                <w:sz w:val="1"/>
                <w:szCs w:val="1"/>
                <w:color w:val="auto"/>
              </w:rPr>
            </w:pPr>
          </w:p>
        </w:tc>
      </w:tr>
      <w:tr>
        <w:trPr>
          <w:trHeight w:val="270"/>
        </w:trPr>
        <w:tc>
          <w:tcPr>
            <w:tcW w:w="5360" w:type="dxa"/>
            <w:vAlign w:val="bottom"/>
            <w:tcBorders>
              <w:bottom w:val="single" w:sz="8" w:color="CFF0FC"/>
            </w:tcBorders>
          </w:tcPr>
          <w:p>
            <w:pPr>
              <w:spacing w:after="0"/>
              <w:rPr>
                <w:sz w:val="23"/>
                <w:szCs w:val="23"/>
                <w:color w:val="auto"/>
              </w:rPr>
            </w:pPr>
          </w:p>
        </w:tc>
        <w:tc>
          <w:tcPr>
            <w:tcW w:w="146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20,095</w:t>
            </w:r>
          </w:p>
        </w:tc>
        <w:tc>
          <w:tcPr>
            <w:tcW w:w="3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18,402</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14,949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w w:val="91"/>
              </w:rPr>
              <w:t>Adjustments to reconcile net income to net cash from operating activities:</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Depreciation</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premiums on available-for-sale securities, net</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core deposit intangible</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Amortization of customer list intangible</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(accretion) of fair value adjustments</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(1,379)</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Director stock awards</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(1,691)</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loan losses</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Gain on sale of loans held for sale</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(4,022)</w:t>
            </w:r>
          </w:p>
        </w:tc>
        <w:tc>
          <w:tcPr>
            <w:tcW w:w="2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Originations of loans held for sale</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(210,029)</w:t>
            </w: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(73,562)</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(51,807)</w:t>
            </w: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Proceeds from sale of loans held for sale</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210,559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68,579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51,381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Loss on sale of other assets owned</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(Gain) loss on sales of available-for-sale securities</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Increase in cash surrender value of bank owned life insurance</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(359)</w:t>
            </w: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Gain on bank owned life insurance</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(430)</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Change in other assets and other liabilities, net</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(573)</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(7,466)</w:t>
            </w:r>
          </w:p>
        </w:tc>
        <w:tc>
          <w:tcPr>
            <w:tcW w:w="0" w:type="dxa"/>
            <w:vAlign w:val="bottom"/>
          </w:tcPr>
          <w:p>
            <w:pPr>
              <w:spacing w:after="0"/>
              <w:rPr>
                <w:sz w:val="1"/>
                <w:szCs w:val="1"/>
                <w:color w:val="auto"/>
              </w:rPr>
            </w:pPr>
          </w:p>
        </w:tc>
      </w:tr>
      <w:tr>
        <w:trPr>
          <w:trHeight w:val="217"/>
        </w:trPr>
        <w:tc>
          <w:tcPr>
            <w:tcW w:w="53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146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27,382</w:t>
            </w:r>
          </w:p>
        </w:tc>
        <w:tc>
          <w:tcPr>
            <w:tcW w:w="30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23,931</w:t>
            </w:r>
          </w:p>
        </w:tc>
        <w:tc>
          <w:tcPr>
            <w:tcW w:w="30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Activity in available-for-sale securities:</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Maturities, prepayments and calls</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91,003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67,071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tcPr>
          <w:p>
            <w:pPr>
              <w:ind w:left="240"/>
              <w:spacing w:after="0"/>
              <w:rPr>
                <w:sz w:val="20"/>
                <w:szCs w:val="20"/>
                <w:color w:val="auto"/>
              </w:rPr>
            </w:pPr>
            <w:r>
              <w:rPr>
                <w:rFonts w:ascii="Arial" w:cs="Arial" w:eastAsia="Arial" w:hAnsi="Arial"/>
                <w:sz w:val="18"/>
                <w:szCs w:val="18"/>
                <w:color w:val="auto"/>
              </w:rPr>
              <w:t>Sales</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11,843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11,100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(183,563)</w:t>
            </w: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(110,166)</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(13,866)</w:t>
            </w: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Activity in other securities, at cost:</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tcPr>
          <w:p>
            <w:pPr>
              <w:ind w:left="240"/>
              <w:spacing w:after="0"/>
              <w:rPr>
                <w:sz w:val="20"/>
                <w:szCs w:val="20"/>
                <w:color w:val="auto"/>
              </w:rPr>
            </w:pPr>
            <w:r>
              <w:rPr>
                <w:rFonts w:ascii="Arial" w:cs="Arial" w:eastAsia="Arial" w:hAnsi="Arial"/>
                <w:sz w:val="18"/>
                <w:szCs w:val="18"/>
                <w:color w:val="auto"/>
              </w:rPr>
              <w:t>Purchases</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Purchase of bank owned life insurance</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Proceeds from bank owned life insurance</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Change in interest-bearing time deposits</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(344)</w:t>
            </w: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Proceeds from sales of other assets owned</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Additions to premises and equipment</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(3,222)</w:t>
            </w: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(3,510)</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Loan originations and principal collections, net</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(84,354)</w:t>
            </w:r>
          </w:p>
        </w:tc>
        <w:tc>
          <w:tcPr>
            <w:tcW w:w="2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(112,212)</w:t>
            </w:r>
          </w:p>
        </w:tc>
        <w:tc>
          <w:tcPr>
            <w:tcW w:w="1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(21,926)</w:t>
            </w: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Limberlost, net of cash received</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(2,089)</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1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(177,724)</w:t>
            </w:r>
          </w:p>
        </w:tc>
        <w:tc>
          <w:tcPr>
            <w:tcW w:w="2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(149,316)</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Net change in deposits</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307,648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153,088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change in federal funds purchased and</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securities sold under agreements to repurchase</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(17,834)</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(7,314)</w:t>
            </w: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Repayment of FHLB advances</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(7,493)</w:t>
            </w:r>
          </w:p>
        </w:tc>
        <w:tc>
          <w:tcPr>
            <w:tcW w:w="2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(23,938)</w:t>
            </w:r>
          </w:p>
        </w:tc>
        <w:tc>
          <w:tcPr>
            <w:tcW w:w="1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Purchase of treasury stock</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Cash dividends paid on common stock</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(7,186)</w:t>
            </w:r>
          </w:p>
        </w:tc>
        <w:tc>
          <w:tcPr>
            <w:tcW w:w="2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(6,345)</w:t>
            </w:r>
          </w:p>
        </w:tc>
        <w:tc>
          <w:tcPr>
            <w:tcW w:w="1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0"/>
        </w:trPr>
        <w:tc>
          <w:tcPr>
            <w:tcW w:w="536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Net cash provided by (used in) financing activities</w:t>
            </w:r>
          </w:p>
        </w:tc>
        <w:tc>
          <w:tcPr>
            <w:tcW w:w="14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vMerge w:val="continue"/>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274,752</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138,316</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(8,310)</w:t>
            </w:r>
          </w:p>
        </w:tc>
        <w:tc>
          <w:tcPr>
            <w:tcW w:w="0" w:type="dxa"/>
            <w:vAlign w:val="bottom"/>
          </w:tcPr>
          <w:p>
            <w:pPr>
              <w:spacing w:after="0"/>
              <w:rPr>
                <w:sz w:val="1"/>
                <w:szCs w:val="1"/>
                <w:color w:val="auto"/>
              </w:rPr>
            </w:pPr>
          </w:p>
        </w:tc>
      </w:tr>
      <w:tr>
        <w:trPr>
          <w:trHeight w:val="217"/>
        </w:trPr>
        <w:tc>
          <w:tcPr>
            <w:tcW w:w="536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124,410</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12,931</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14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51,296</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38,365</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6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Year</w:t>
            </w:r>
          </w:p>
        </w:tc>
        <w:tc>
          <w:tcPr>
            <w:tcW w:w="1460" w:type="dxa"/>
            <w:vAlign w:val="bottom"/>
          </w:tcPr>
          <w:p>
            <w:pPr>
              <w:spacing w:after="0"/>
              <w:rPr>
                <w:sz w:val="18"/>
                <w:szCs w:val="18"/>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175,706</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51,296</w:t>
            </w: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60" w:type="dxa"/>
            <w:vAlign w:val="bottom"/>
            <w:vMerge w:val="restart"/>
          </w:tcPr>
          <w:p>
            <w:pPr>
              <w:jc w:val="right"/>
              <w:ind w:right="1012"/>
              <w:spacing w:after="0"/>
              <w:rPr>
                <w:sz w:val="20"/>
                <w:szCs w:val="20"/>
                <w:color w:val="auto"/>
              </w:rPr>
            </w:pPr>
            <w:r>
              <w:rPr>
                <w:rFonts w:ascii="Arial" w:cs="Arial" w:eastAsia="Arial" w:hAnsi="Arial"/>
                <w:sz w:val="18"/>
                <w:szCs w:val="18"/>
                <w:color w:val="auto"/>
              </w:rPr>
              <w:t>56</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36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3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8"/>
        </w:trPr>
        <w:tc>
          <w:tcPr>
            <w:tcW w:w="6820" w:type="dxa"/>
            <w:vAlign w:val="bottom"/>
          </w:tcPr>
          <w:p>
            <w:pPr>
              <w:spacing w:after="0"/>
              <w:rPr>
                <w:sz w:val="20"/>
                <w:szCs w:val="20"/>
                <w:color w:val="auto"/>
              </w:rPr>
            </w:pPr>
            <w:r>
              <w:rPr>
                <w:rFonts w:ascii="Arial" w:cs="Arial" w:eastAsia="Arial" w:hAnsi="Arial"/>
                <w:sz w:val="18"/>
                <w:szCs w:val="18"/>
                <w:b w:val="1"/>
                <w:bCs w:val="1"/>
                <w:color w:val="auto"/>
              </w:rPr>
              <w:t>Farmers &amp; Merchants Bancorp, Inc. and Subsidiaries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04"/>
        </w:trPr>
        <w:tc>
          <w:tcPr>
            <w:tcW w:w="6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8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w w:val="89"/>
              </w:rPr>
              <w:t>Consolidated Statements of Cash Flows</w:t>
            </w:r>
          </w:p>
        </w:tc>
      </w:tr>
      <w:tr>
        <w:trPr>
          <w:trHeight w:val="211"/>
        </w:trPr>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60" w:type="dxa"/>
            <w:vAlign w:val="bottom"/>
            <w:gridSpan w:val="8"/>
          </w:tcPr>
          <w:p>
            <w:pPr>
              <w:jc w:val="right"/>
              <w:ind w:right="100"/>
              <w:spacing w:after="0"/>
              <w:rPr>
                <w:sz w:val="20"/>
                <w:szCs w:val="20"/>
                <w:color w:val="auto"/>
              </w:rPr>
            </w:pPr>
            <w:r>
              <w:rPr>
                <w:rFonts w:ascii="Arial" w:cs="Arial" w:eastAsia="Arial" w:hAnsi="Arial"/>
                <w:sz w:val="18"/>
                <w:szCs w:val="18"/>
                <w:b w:val="1"/>
                <w:bCs w:val="1"/>
                <w:color w:val="auto"/>
              </w:rPr>
              <w:t>Years Ended December 31, 2020, 2019, 2018</w:t>
            </w:r>
          </w:p>
        </w:tc>
      </w:tr>
      <w:tr>
        <w:trPr>
          <w:trHeight w:val="228"/>
        </w:trPr>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(000’s Omitted)</w:t>
            </w:r>
          </w:p>
        </w:tc>
      </w:tr>
      <w:tr>
        <w:trPr>
          <w:trHeight w:val="303"/>
        </w:trPr>
        <w:tc>
          <w:tcPr>
            <w:tcW w:w="682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FF0FC"/>
            </w:tcBorders>
          </w:tcPr>
          <w:p>
            <w:pPr>
              <w:spacing w:after="0"/>
              <w:rPr>
                <w:sz w:val="24"/>
                <w:szCs w:val="24"/>
                <w:color w:val="auto"/>
              </w:rPr>
            </w:pPr>
          </w:p>
        </w:tc>
      </w:tr>
      <w:tr>
        <w:trPr>
          <w:trHeight w:val="217"/>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Information</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4"/>
        </w:trPr>
        <w:tc>
          <w:tcPr>
            <w:tcW w:w="682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4"/>
        </w:trPr>
        <w:tc>
          <w:tcPr>
            <w:tcW w:w="6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paid</w:t>
            </w: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10,093</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13,540</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6,472</w:t>
            </w:r>
          </w:p>
        </w:tc>
        <w:tc>
          <w:tcPr>
            <w:tcW w:w="120" w:type="dxa"/>
            <w:vAlign w:val="bottom"/>
            <w:shd w:val="clear" w:color="auto" w:fill="CFF0FC"/>
          </w:tcPr>
          <w:p>
            <w:pPr>
              <w:spacing w:after="0"/>
              <w:rPr>
                <w:sz w:val="19"/>
                <w:szCs w:val="19"/>
                <w:color w:val="auto"/>
              </w:rPr>
            </w:pPr>
          </w:p>
        </w:tc>
      </w:tr>
      <w:tr>
        <w:trPr>
          <w:trHeight w:val="224"/>
        </w:trPr>
        <w:tc>
          <w:tcPr>
            <w:tcW w:w="6820" w:type="dxa"/>
            <w:vAlign w:val="bottom"/>
          </w:tcPr>
          <w:p>
            <w:pPr>
              <w:ind w:left="120"/>
              <w:spacing w:after="0"/>
              <w:rPr>
                <w:sz w:val="20"/>
                <w:szCs w:val="20"/>
                <w:color w:val="auto"/>
              </w:rPr>
            </w:pPr>
            <w:r>
              <w:rPr>
                <w:rFonts w:ascii="Arial" w:cs="Arial" w:eastAsia="Arial" w:hAnsi="Arial"/>
                <w:sz w:val="18"/>
                <w:szCs w:val="18"/>
                <w:color w:val="auto"/>
              </w:rPr>
              <w:t>Income taxes paid</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6,473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3,954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5,155</w:t>
            </w:r>
          </w:p>
        </w:tc>
        <w:tc>
          <w:tcPr>
            <w:tcW w:w="120" w:type="dxa"/>
            <w:vAlign w:val="bottom"/>
          </w:tcPr>
          <w:p>
            <w:pPr>
              <w:spacing w:after="0"/>
              <w:rPr>
                <w:sz w:val="19"/>
                <w:szCs w:val="19"/>
                <w:color w:val="auto"/>
              </w:rPr>
            </w:pPr>
          </w:p>
        </w:tc>
      </w:tr>
      <w:tr>
        <w:trPr>
          <w:trHeight w:val="224"/>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Supplemental noncash disclosures:</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4"/>
        </w:trPr>
        <w:tc>
          <w:tcPr>
            <w:tcW w:w="6820" w:type="dxa"/>
            <w:vAlign w:val="bottom"/>
          </w:tcPr>
          <w:p>
            <w:pPr>
              <w:ind w:left="120"/>
              <w:spacing w:after="0"/>
              <w:rPr>
                <w:sz w:val="20"/>
                <w:szCs w:val="20"/>
                <w:color w:val="auto"/>
              </w:rPr>
            </w:pPr>
            <w:r>
              <w:rPr>
                <w:rFonts w:ascii="Arial" w:cs="Arial" w:eastAsia="Arial" w:hAnsi="Arial"/>
                <w:sz w:val="18"/>
                <w:szCs w:val="18"/>
                <w:color w:val="auto"/>
              </w:rPr>
              <w:t>Transfer of loans to other real estate owned</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r>
      <w:tr>
        <w:trPr>
          <w:trHeight w:val="224"/>
        </w:trPr>
        <w:tc>
          <w:tcPr>
            <w:tcW w:w="6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dividends declared not paid</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w:t>
            </w:r>
          </w:p>
        </w:tc>
        <w:tc>
          <w:tcPr>
            <w:tcW w:w="120" w:type="dxa"/>
            <w:vAlign w:val="bottom"/>
            <w:shd w:val="clear" w:color="auto" w:fill="CFF0FC"/>
          </w:tcPr>
          <w:p>
            <w:pPr>
              <w:spacing w:after="0"/>
              <w:rPr>
                <w:sz w:val="19"/>
                <w:szCs w:val="19"/>
                <w:color w:val="auto"/>
              </w:rPr>
            </w:pPr>
          </w:p>
        </w:tc>
      </w:tr>
      <w:tr>
        <w:trPr>
          <w:trHeight w:val="212"/>
        </w:trPr>
        <w:tc>
          <w:tcPr>
            <w:tcW w:w="6820" w:type="dxa"/>
            <w:vAlign w:val="bottom"/>
          </w:tcPr>
          <w:p>
            <w:pPr>
              <w:spacing w:after="0"/>
              <w:rPr>
                <w:sz w:val="20"/>
                <w:szCs w:val="20"/>
                <w:color w:val="auto"/>
              </w:rPr>
            </w:pPr>
            <w:r>
              <w:rPr>
                <w:rFonts w:ascii="Arial" w:cs="Arial" w:eastAsia="Arial" w:hAnsi="Arial"/>
                <w:sz w:val="18"/>
                <w:szCs w:val="18"/>
                <w:color w:val="auto"/>
                <w:w w:val="97"/>
              </w:rPr>
              <w:t>The Company purchased all of the capital stock of Limberlost for $78,902 on January 1,</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2019. In conjunction with the acquisition, liabilities were assumed as follows: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2"/>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w w:val="91"/>
              </w:rPr>
              <w:t>The Company purchased the assets of Adams County Financial Resources by issuing 40,049</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shares of common stock on November 16, 2020.</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4"/>
        </w:trPr>
        <w:tc>
          <w:tcPr>
            <w:tcW w:w="6820" w:type="dxa"/>
            <w:vAlign w:val="bottom"/>
          </w:tcPr>
          <w:p>
            <w:pPr>
              <w:ind w:left="240"/>
              <w:spacing w:after="0"/>
              <w:rPr>
                <w:sz w:val="20"/>
                <w:szCs w:val="20"/>
                <w:color w:val="auto"/>
              </w:rPr>
            </w:pPr>
            <w:r>
              <w:rPr>
                <w:rFonts w:ascii="Arial" w:cs="Arial" w:eastAsia="Arial" w:hAnsi="Arial"/>
                <w:sz w:val="18"/>
                <w:szCs w:val="18"/>
                <w:color w:val="auto"/>
              </w:rPr>
              <w:t>Fair value of assets acquired</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825</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336,380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4"/>
        </w:trPr>
        <w:tc>
          <w:tcPr>
            <w:tcW w:w="6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common stock issued</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70,437</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4"/>
        </w:trPr>
        <w:tc>
          <w:tcPr>
            <w:tcW w:w="6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Cash paid for the capital stock</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8,465</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17"/>
        </w:trPr>
        <w:tc>
          <w:tcPr>
            <w:tcW w:w="6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Liabilities assumed</w:t>
            </w: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257,478</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0"/>
        </w:trPr>
        <w:tc>
          <w:tcPr>
            <w:tcW w:w="68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December 31, 2020, 2019, 2018</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10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Nature of Operations</w:t>
      </w:r>
    </w:p>
    <w:p>
      <w:pPr>
        <w:spacing w:after="0" w:line="115" w:lineRule="exact"/>
        <w:rPr>
          <w:sz w:val="20"/>
          <w:szCs w:val="20"/>
          <w:color w:val="auto"/>
        </w:rPr>
      </w:pPr>
    </w:p>
    <w:p>
      <w:pPr>
        <w:ind w:left="800"/>
        <w:spacing w:after="0" w:line="325" w:lineRule="auto"/>
        <w:rPr>
          <w:sz w:val="20"/>
          <w:szCs w:val="20"/>
          <w:color w:val="auto"/>
        </w:rPr>
      </w:pPr>
      <w:r>
        <w:rPr>
          <w:rFonts w:ascii="Arial" w:cs="Arial" w:eastAsia="Arial" w:hAnsi="Arial"/>
          <w:sz w:val="16"/>
          <w:szCs w:val="16"/>
          <w:color w:val="auto"/>
        </w:rPr>
        <w:t>The Farmers &amp; Merchants Bancorp, Inc. (the Company) through its bank subsidiary, The Farmers &amp; Merchants State Bank (the Bank) provides a variety of financial services to individuals and small businesses through its offices in Northwest Ohio and Northeast Indiana.</w:t>
      </w:r>
    </w:p>
    <w:p>
      <w:pPr>
        <w:spacing w:after="0" w:line="12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Consolidation Policy</w:t>
      </w:r>
    </w:p>
    <w:p>
      <w:pPr>
        <w:spacing w:after="0" w:line="11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consolidated financial statements include the accounts of Farmers &amp; Merchants Bancorp, Inc. and its wholly-owned subsidiaries, The Farmers</w:t>
      </w:r>
    </w:p>
    <w:p>
      <w:pPr>
        <w:spacing w:after="0" w:line="38" w:lineRule="exact"/>
        <w:rPr>
          <w:sz w:val="20"/>
          <w:szCs w:val="20"/>
          <w:color w:val="auto"/>
        </w:rPr>
      </w:pPr>
    </w:p>
    <w:p>
      <w:pPr>
        <w:ind w:left="800" w:firstLine="1"/>
        <w:spacing w:after="0" w:line="248" w:lineRule="auto"/>
        <w:tabs>
          <w:tab w:leader="none" w:pos="9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Merchants State Bank (the Bank), a commercial banking institution and Farmers &amp; Merchants Risk Management, Inc. (the Captive), a Captive insurance company. All significant inter-company balances and transactions have been eliminated.</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Use of Estimates</w:t>
      </w:r>
    </w:p>
    <w:p>
      <w:pPr>
        <w:spacing w:after="0" w:line="115" w:lineRule="exact"/>
        <w:rPr>
          <w:sz w:val="20"/>
          <w:szCs w:val="20"/>
          <w:color w:val="auto"/>
        </w:rPr>
      </w:pPr>
    </w:p>
    <w:p>
      <w:pPr>
        <w:jc w:val="both"/>
        <w:ind w:left="800"/>
        <w:spacing w:after="0" w:line="28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Material estimates that are particularly susceptible to significant change in the near term relate to the determination of the allowance for loan losses and the valuation of mortgage servicing rights. Actual results could differ from those estimates.</w:t>
      </w:r>
    </w:p>
    <w:p>
      <w:pPr>
        <w:spacing w:after="0" w:line="59"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w:t>
      </w:r>
    </w:p>
    <w:p>
      <w:pPr>
        <w:spacing w:after="0" w:line="83"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The Bank’s loans are generally secured by specific items of collateral including real property, consumer assets, and business assets. Although the Bank has a diversified loan portfolio, a substantial portion of its debtors’ ability to honor their contracts is dependent on local economic conditions in the agricultural industry.</w:t>
      </w:r>
    </w:p>
    <w:p>
      <w:pPr>
        <w:spacing w:after="0" w:line="83" w:lineRule="exact"/>
        <w:rPr>
          <w:sz w:val="20"/>
          <w:szCs w:val="20"/>
          <w:color w:val="auto"/>
        </w:rPr>
      </w:pPr>
    </w:p>
    <w:p>
      <w:pPr>
        <w:jc w:val="both"/>
        <w:ind w:left="800"/>
        <w:spacing w:after="0" w:line="287" w:lineRule="auto"/>
        <w:rPr>
          <w:sz w:val="20"/>
          <w:szCs w:val="20"/>
          <w:color w:val="auto"/>
        </w:rPr>
      </w:pPr>
      <w:r>
        <w:rPr>
          <w:rFonts w:ascii="Arial" w:cs="Arial" w:eastAsia="Arial" w:hAnsi="Arial"/>
          <w:sz w:val="16"/>
          <w:szCs w:val="16"/>
          <w:color w:val="auto"/>
        </w:rPr>
        <w:t>While management uses available information to recognize losses on loans, further reductions in the carrying amounts of loans may be necessary based on changes in local economic conditions.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Cash and Cash Equivalents</w:t>
      </w:r>
    </w:p>
    <w:p>
      <w:pPr>
        <w:spacing w:after="0" w:line="115"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For purposes of the consolidated statement of cash flows, the Company considers all highly liquid debt instruments purchased with an original maturity of three months or less to be cash equivalents. This includes cash on hand, amounts due from banks, and federal funds sold. Generally, federal funds sold are outstanding for one day periods.</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Restrictions on Cash and Amounts Due from Banks</w:t>
      </w:r>
    </w:p>
    <w:p>
      <w:pPr>
        <w:spacing w:after="0" w:line="115"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Effective March 26, 2020, the Bank is no longer required to maintain average balances on hand with the Federal Reserve Bank. The Company and its subsidiaries maintain cash balances with high quality financial institutions. At times such balances may be in excess of the federally insured limits.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Securities</w:t>
      </w:r>
    </w:p>
    <w:p>
      <w:pPr>
        <w:spacing w:after="0" w:line="115"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Debt securities are classified as available-for-sale. Securities available-for-sale are carried at fair value with unrealized gains and losses reported in other comprehensive income (loss). Net realized gains and losses on securities available for sale are included in noninterest income and, when applicable, are reported as a reclassification adjustment, net of tax, in other comprehensive income (loss). Gains and losses on sales of securities are determined on the specific-identification method.</w:t>
      </w:r>
    </w:p>
    <w:p>
      <w:pPr>
        <w:spacing w:after="0" w:line="86" w:lineRule="exact"/>
        <w:rPr>
          <w:sz w:val="20"/>
          <w:szCs w:val="20"/>
          <w:color w:val="auto"/>
        </w:rPr>
      </w:pPr>
    </w:p>
    <w:p>
      <w:pPr>
        <w:jc w:val="both"/>
        <w:ind w:left="800"/>
        <w:spacing w:after="0" w:line="248" w:lineRule="auto"/>
        <w:rPr>
          <w:sz w:val="20"/>
          <w:szCs w:val="20"/>
          <w:color w:val="auto"/>
        </w:rPr>
      </w:pPr>
      <w:r>
        <w:rPr>
          <w:rFonts w:ascii="Arial" w:cs="Arial" w:eastAsia="Arial" w:hAnsi="Arial"/>
          <w:sz w:val="18"/>
          <w:szCs w:val="18"/>
          <w:color w:val="auto"/>
        </w:rPr>
        <w:t>Declines in the fair value of securities below their cost that are deemed to be other than temporary are reflected in earnings as realized losses. In estimating other-than-temporary impairment losses, management considers (1) the length of time and the extent to which the fair value has been less than cost, (2) the financial condition and near-term prospects of the issuer, and (3) the intent and ability of the Company to retain its investment in the issuer for a period of time sufficient to allow for any anticipated recovery in fair value. The related write-downs are included in earnings as realized losses.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Other Securities</w:t>
      </w:r>
    </w:p>
    <w:p>
      <w:pPr>
        <w:spacing w:after="0" w:line="115" w:lineRule="exact"/>
        <w:rPr>
          <w:sz w:val="20"/>
          <w:szCs w:val="20"/>
          <w:color w:val="auto"/>
        </w:rPr>
      </w:pPr>
    </w:p>
    <w:p>
      <w:pPr>
        <w:jc w:val="both"/>
        <w:ind w:left="800"/>
        <w:spacing w:after="0" w:line="300" w:lineRule="auto"/>
        <w:rPr>
          <w:sz w:val="20"/>
          <w:szCs w:val="20"/>
          <w:color w:val="auto"/>
        </w:rPr>
      </w:pPr>
      <w:r>
        <w:rPr>
          <w:rFonts w:ascii="Arial" w:cs="Arial" w:eastAsia="Arial" w:hAnsi="Arial"/>
          <w:sz w:val="16"/>
          <w:szCs w:val="16"/>
          <w:color w:val="auto"/>
        </w:rPr>
        <w:t>Other Securities consist of stock in the Federal Home Loan Banks of Cincinnati and Indianapolis (the “FHLBs”), which is held to enable the Bank to conduct business with the entities. The FHLBs sell and purchase their stock at par. The FHLBs stock is carried at cost and held as collateral security for all indebtedness of the Bank to the Federal Home Loan Bank. The FHLBs stock is evaluated for impairment as conditions warrant.</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Loans</w:t>
      </w:r>
    </w:p>
    <w:p>
      <w:pPr>
        <w:spacing w:after="0" w:line="115" w:lineRule="exact"/>
        <w:rPr>
          <w:sz w:val="20"/>
          <w:szCs w:val="20"/>
          <w:color w:val="auto"/>
        </w:rPr>
      </w:pPr>
    </w:p>
    <w:p>
      <w:pPr>
        <w:jc w:val="both"/>
        <w:ind w:left="800"/>
        <w:spacing w:after="0" w:line="300" w:lineRule="auto"/>
        <w:rPr>
          <w:sz w:val="20"/>
          <w:szCs w:val="20"/>
          <w:color w:val="auto"/>
        </w:rPr>
      </w:pPr>
      <w:r>
        <w:rPr>
          <w:rFonts w:ascii="Arial" w:cs="Arial" w:eastAsia="Arial" w:hAnsi="Arial"/>
          <w:sz w:val="16"/>
          <w:szCs w:val="16"/>
          <w:color w:val="auto"/>
        </w:rPr>
        <w:t>Loans that management has the intent and ability to hold for the foreseeable future or until maturity or pay-off are reported at the amount of unpaid principal, reduced by unearned discounts, unamortized premiums or discounts on purchased loans, and deferred loan fees and costs, as well as, by the allowance for loan losses. Interest income is accrued on a daily basis based on the principal outstanding.</w:t>
      </w:r>
    </w:p>
    <w:p>
      <w:pPr>
        <w:spacing w:after="0" w:line="48" w:lineRule="exact"/>
        <w:rPr>
          <w:sz w:val="20"/>
          <w:szCs w:val="20"/>
          <w:color w:val="auto"/>
        </w:rPr>
      </w:pPr>
    </w:p>
    <w:p>
      <w:pPr>
        <w:jc w:val="both"/>
        <w:ind w:left="800"/>
        <w:spacing w:after="0" w:line="316" w:lineRule="auto"/>
        <w:rPr>
          <w:sz w:val="20"/>
          <w:szCs w:val="20"/>
          <w:color w:val="auto"/>
        </w:rPr>
      </w:pPr>
      <w:r>
        <w:rPr>
          <w:rFonts w:ascii="Arial" w:cs="Arial" w:eastAsia="Arial" w:hAnsi="Arial"/>
          <w:sz w:val="15"/>
          <w:szCs w:val="15"/>
          <w:color w:val="auto"/>
        </w:rPr>
        <w:t>Generally, a loan is classified as nonaccrual and the accrual of interest income is generally discontinued when a loan becomes ninety days past due as to principal or interest and these loans are placed on a “cash basis” for purposes of income recognition. Management may elect to continue the accrual of interest when the estimated net realizable value of collateral is sufficient to cover the principal and accrued interest, and the loan is in the process of collection. When a loan is placed on nonaccrual status, all previously accrued and unpaid interest receivable is charged against income.</w:t>
      </w:r>
    </w:p>
    <w:p>
      <w:pPr>
        <w:spacing w:after="0" w:line="40"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Loan origination and commitment fees and certain direct loan origination costs are deferred and amortized as a net adjustment to the related loan’s yield. The Bank is generally amortizing these costs over the contractual life of such loans.</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Allowance for Loan Losses</w:t>
      </w:r>
    </w:p>
    <w:p>
      <w:pPr>
        <w:spacing w:after="0" w:line="115" w:lineRule="exact"/>
        <w:rPr>
          <w:sz w:val="20"/>
          <w:szCs w:val="20"/>
          <w:color w:val="auto"/>
        </w:rPr>
      </w:pPr>
    </w:p>
    <w:p>
      <w:pPr>
        <w:jc w:val="both"/>
        <w:ind w:left="800"/>
        <w:spacing w:after="0" w:line="362" w:lineRule="auto"/>
        <w:rPr>
          <w:sz w:val="20"/>
          <w:szCs w:val="20"/>
          <w:color w:val="auto"/>
        </w:rPr>
      </w:pPr>
      <w:r>
        <w:rPr>
          <w:rFonts w:ascii="Arial" w:cs="Arial" w:eastAsia="Arial" w:hAnsi="Arial"/>
          <w:sz w:val="15"/>
          <w:szCs w:val="15"/>
          <w:color w:val="auto"/>
        </w:rPr>
        <w:t>The allowance for loan losses is established through a provision for loan losses charged to income. Loans deemed to be uncollectable and changes in the allowance relating to loans are charged against the allowance for loan losses, and subsequent recoveries, if any, are credited to the allowance.</w:t>
      </w:r>
    </w:p>
    <w:p>
      <w:pPr>
        <w:spacing w:after="0" w:line="7"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The allowance for loan losses is evaluated on a regular basis by management and is based on management’s periodic review of the collectability of the loans in light of historical experiences, the nature and volume of the loan portfolio, adverse situations that may affect the borrower’s ability to repay, estimated value of any underlying collateral, and prevailing economic conditions. This evaluation is inherently subjective, as it requires estimates that are subject to revision as more information becomes available.</w:t>
      </w:r>
    </w:p>
    <w:p>
      <w:pPr>
        <w:spacing w:after="0" w:line="86"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The allowance consists of specific, general and unallocated components. The specific component relates to loans that are classified as doubtful, substandard or special mention. For such loans that are also classified as impaired, an allowance is established when the discounted cash flows (or collateral value) of the impaired loan is lower than the carrying value of that loan. The general component covers non-classified loans and is based on historical loss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308"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experience adjusted for qualitative factors. The unallocated component is maintained to cover uncertainties that could affect management’s estimate of probable losses.</w:t>
      </w:r>
    </w:p>
    <w:p>
      <w:pPr>
        <w:spacing w:after="0" w:line="75" w:lineRule="exact"/>
        <w:rPr>
          <w:sz w:val="20"/>
          <w:szCs w:val="20"/>
          <w:color w:val="auto"/>
        </w:rPr>
      </w:pPr>
    </w:p>
    <w:p>
      <w:pPr>
        <w:jc w:val="both"/>
        <w:ind w:left="800"/>
        <w:spacing w:after="0" w:line="281" w:lineRule="auto"/>
        <w:rPr>
          <w:sz w:val="20"/>
          <w:szCs w:val="20"/>
          <w:color w:val="auto"/>
        </w:rPr>
      </w:pPr>
      <w:r>
        <w:rPr>
          <w:rFonts w:ascii="Arial" w:cs="Arial" w:eastAsia="Arial" w:hAnsi="Arial"/>
          <w:sz w:val="16"/>
          <w:szCs w:val="16"/>
          <w:color w:val="auto"/>
        </w:rPr>
        <w:t>A loan is considered impaired when, based on current information and events, it is probable that the Bank will be unable to collect the scheduled payments of principal or interest when due according to the contractual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length of the delay, the reasons for the delay, the borrower's prior payment record, and the amount of the shortfall in relation to the principal and interest owed. Impairment is measured on a loan by loan basis for commercial and agricultural loans by either the present value of expected future cash flows discounted at the loan's effective interest rate or the fair value of the collateral if the loan is collateral dependent.</w:t>
      </w:r>
    </w:p>
    <w:p>
      <w:pPr>
        <w:spacing w:after="0" w:line="64"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w:t>
      </w:r>
    </w:p>
    <w:p>
      <w:pPr>
        <w:spacing w:after="0" w:line="83" w:lineRule="exact"/>
        <w:rPr>
          <w:sz w:val="20"/>
          <w:szCs w:val="20"/>
          <w:color w:val="auto"/>
        </w:rPr>
      </w:pPr>
    </w:p>
    <w:p>
      <w:pPr>
        <w:jc w:val="both"/>
        <w:ind w:left="800"/>
        <w:spacing w:after="0" w:line="248" w:lineRule="auto"/>
        <w:rPr>
          <w:sz w:val="20"/>
          <w:szCs w:val="20"/>
          <w:color w:val="auto"/>
        </w:rPr>
      </w:pPr>
      <w:r>
        <w:rPr>
          <w:rFonts w:ascii="Arial" w:cs="Arial" w:eastAsia="Arial" w:hAnsi="Arial"/>
          <w:sz w:val="18"/>
          <w:szCs w:val="18"/>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90" w:lineRule="exact"/>
        <w:rPr>
          <w:sz w:val="20"/>
          <w:szCs w:val="20"/>
          <w:color w:val="auto"/>
        </w:rPr>
      </w:pPr>
    </w:p>
    <w:p>
      <w:pPr>
        <w:jc w:val="both"/>
        <w:ind w:left="800"/>
        <w:spacing w:after="0" w:line="325" w:lineRule="auto"/>
        <w:rPr>
          <w:sz w:val="20"/>
          <w:szCs w:val="20"/>
          <w:color w:val="auto"/>
        </w:rPr>
      </w:pPr>
      <w:r>
        <w:rPr>
          <w:rFonts w:ascii="Arial" w:cs="Arial" w:eastAsia="Arial" w:hAnsi="Arial"/>
          <w:sz w:val="16"/>
          <w:szCs w:val="16"/>
          <w:color w:val="auto"/>
        </w:rPr>
        <w:t>Large groups of homogeneous loans are collectively evaluated for impairment. Accordingly, the Bank does not separately identify individual consumer loans for impairment, unless such loans are the subject of a restructuring agreement due to financial difficulties of the borrower.</w:t>
      </w:r>
    </w:p>
    <w:p>
      <w:pPr>
        <w:spacing w:after="0" w:line="29"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For more information regarding the actual composition and classification of loans involved in the establishment of the allowance for loan loss, please see Note 4 provided here with the notes to consolidated financial statements.</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Loans Held for Sale</w:t>
      </w:r>
    </w:p>
    <w:p>
      <w:pPr>
        <w:spacing w:after="0" w:line="115"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Loans originated and intended for sale in the secondary market are carried at the lower of cost or estimated fair value in the aggregate. Net unrealized losses, if any, are recognized in a valuation allowance by charges to income.</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ervicing Assets</w:t>
      </w:r>
    </w:p>
    <w:p>
      <w:pPr>
        <w:spacing w:after="0" w:line="115" w:lineRule="exact"/>
        <w:rPr>
          <w:sz w:val="20"/>
          <w:szCs w:val="20"/>
          <w:color w:val="auto"/>
        </w:rPr>
      </w:pPr>
    </w:p>
    <w:p>
      <w:pPr>
        <w:jc w:val="both"/>
        <w:ind w:left="800"/>
        <w:spacing w:after="0" w:line="282" w:lineRule="auto"/>
        <w:rPr>
          <w:sz w:val="20"/>
          <w:szCs w:val="20"/>
          <w:color w:val="auto"/>
        </w:rPr>
      </w:pPr>
      <w:r>
        <w:rPr>
          <w:rFonts w:ascii="Arial" w:cs="Arial" w:eastAsia="Arial" w:hAnsi="Arial"/>
          <w:sz w:val="16"/>
          <w:szCs w:val="16"/>
          <w:color w:val="auto"/>
        </w:rPr>
        <w:t>Servicing assets are recognized as separate assets when rights are acquired through purchase or sale of financial assets. Capitalized servicing rights are amortized into noninterest expense in proportion to, and over the period of, the estimated future net servicing income of the underlying financial assets. Servicing assets are evaluated for impairment based upon the fair value of the rights as compared to amortized cost. Impairment is determined by stratifying rights by predominant characteristics, such as interest rates and terms. Fair value is determined using prices for similar assets with similar characteristics, when available, or based upon discounted cash flows using market-based assumptions. Impairment is recognized through a valuation allowance for an individual stratum, to the extent that fair value is less than the capitalized amount for the stratum. Fees received for servicing loans owned by investors are based on a percentage of the outstanding monthly principal balance of such loans and are included in operating income as loan payments are received. Costs of servicing loans are charged to expense as incurred.</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15"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Goodwill results from business acquisitions and represents the excess of the purchase price over the fair value of acquired tangible assets and liabilities and identifiable intangible assets. Goodwill is assessed for impairment at least annually. If possible impairment is likely, the Bank will utilize the assistance of an independent third party for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308" w:lineRule="exact"/>
        <w:rPr>
          <w:sz w:val="20"/>
          <w:szCs w:val="20"/>
          <w:color w:val="auto"/>
        </w:rPr>
      </w:pPr>
    </w:p>
    <w:p>
      <w:pPr>
        <w:jc w:val="both"/>
        <w:ind w:left="800"/>
        <w:spacing w:after="0" w:line="283" w:lineRule="auto"/>
        <w:rPr>
          <w:sz w:val="20"/>
          <w:szCs w:val="20"/>
          <w:color w:val="auto"/>
        </w:rPr>
      </w:pPr>
      <w:r>
        <w:rPr>
          <w:rFonts w:ascii="Arial" w:cs="Arial" w:eastAsia="Arial" w:hAnsi="Arial"/>
          <w:sz w:val="16"/>
          <w:szCs w:val="16"/>
          <w:color w:val="auto"/>
        </w:rPr>
        <w:t>an appraisal and any such impairment is recognized in the period identified. The Bank’s annual goodwill impairment analysis was performed as of September 30, 2020 by an independent third party. The goodwill impairment analysis consisted of a first step goodwill impairment test which was used to identify potential impairment by comparing the fair value of the relevant reporting entity with its carrying value, including goodwill. The analysis was performed under guidance of FASB ASC 350. As of September 30, 2020, the excess fair value of capital was $57.8 million or 26.8% over the carrying value and was over 1.2 times the value of goodwill being carried. Therefore, the Bank concluded it is unlikely impairment of goodwill has occurred from the goodwill established from the Bank’s acquisition of Knisely which occurred on December 31, 2007, and the acquisition of Bank of Geneva which occurred on January 1, 2019.</w:t>
      </w:r>
    </w:p>
    <w:p>
      <w:pPr>
        <w:spacing w:after="0" w:line="62"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Other intangible assets consist of core deposit and customer list intangible assets arising from business acquisitions. They are initially measured at fair value and then are amortized on a straight line method over their estimated useful lives and evaluated for impairment. These assets are included in other assets on the consolidated balance sheets.</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Off Balance Sheet Instruments</w:t>
      </w:r>
    </w:p>
    <w:p>
      <w:pPr>
        <w:spacing w:after="0" w:line="115" w:lineRule="exact"/>
        <w:rPr>
          <w:sz w:val="20"/>
          <w:szCs w:val="20"/>
          <w:color w:val="auto"/>
        </w:rPr>
      </w:pPr>
    </w:p>
    <w:p>
      <w:pPr>
        <w:jc w:val="both"/>
        <w:ind w:left="800"/>
        <w:spacing w:after="0" w:line="325" w:lineRule="auto"/>
        <w:rPr>
          <w:sz w:val="20"/>
          <w:szCs w:val="20"/>
          <w:color w:val="auto"/>
        </w:rPr>
      </w:pPr>
      <w:r>
        <w:rPr>
          <w:rFonts w:ascii="Arial" w:cs="Arial" w:eastAsia="Arial" w:hAnsi="Arial"/>
          <w:sz w:val="16"/>
          <w:szCs w:val="16"/>
          <w:color w:val="auto"/>
        </w:rPr>
        <w:t>In the ordinary course of business, the Bank has entered into commitments to extend credit, including commitments under credit card arrangements, commercial letters of credit and standby letters of credit. Such financial instruments are recorded when they are funded.</w:t>
      </w:r>
    </w:p>
    <w:p>
      <w:pPr>
        <w:spacing w:after="0" w:line="12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Foreclosed Real Estate</w:t>
      </w:r>
    </w:p>
    <w:p>
      <w:pPr>
        <w:spacing w:after="0" w:line="115" w:lineRule="exact"/>
        <w:rPr>
          <w:sz w:val="20"/>
          <w:szCs w:val="20"/>
          <w:color w:val="auto"/>
        </w:rPr>
      </w:pPr>
    </w:p>
    <w:p>
      <w:pPr>
        <w:jc w:val="both"/>
        <w:ind w:left="800"/>
        <w:spacing w:after="0" w:line="284" w:lineRule="auto"/>
        <w:rPr>
          <w:sz w:val="20"/>
          <w:szCs w:val="20"/>
          <w:color w:val="auto"/>
        </w:rPr>
      </w:pPr>
      <w:r>
        <w:rPr>
          <w:rFonts w:ascii="Arial" w:cs="Arial" w:eastAsia="Arial" w:hAnsi="Arial"/>
          <w:sz w:val="16"/>
          <w:szCs w:val="16"/>
          <w:color w:val="auto"/>
        </w:rPr>
        <w:t>Foreclosed real estate held for sale is carried at the lower of fair value minus estimated costs to sell, or cost. Costs of holding foreclosed real estate are charged to expense in the current period, except for significant property improvements, which are capitalized. Valuations are periodically performed by management and an allowance is established by a charge to non-interest expense if the carrying value exceeds the fair value minus the estimated costs to sell. Foreclosed real estate is classified as other real estate owned. The net loss from operations of foreclosed real estate held for sale is reported in non-interest expense. At December 31, the Bank’s holding of other real estate owned totaled $71 thousand and $214 thousand for 2020 and 2019, respectively.</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Bank Premises and Equipment</w:t>
      </w:r>
    </w:p>
    <w:p>
      <w:pPr>
        <w:spacing w:after="0" w:line="115" w:lineRule="exact"/>
        <w:rPr>
          <w:sz w:val="20"/>
          <w:szCs w:val="20"/>
          <w:color w:val="auto"/>
        </w:rPr>
      </w:pPr>
    </w:p>
    <w:p>
      <w:pPr>
        <w:jc w:val="both"/>
        <w:ind w:left="800"/>
        <w:spacing w:after="0" w:line="300" w:lineRule="auto"/>
        <w:rPr>
          <w:sz w:val="20"/>
          <w:szCs w:val="20"/>
          <w:color w:val="auto"/>
        </w:rPr>
      </w:pPr>
      <w:r>
        <w:rPr>
          <w:rFonts w:ascii="Arial" w:cs="Arial" w:eastAsia="Arial" w:hAnsi="Arial"/>
          <w:sz w:val="16"/>
          <w:szCs w:val="16"/>
          <w:color w:val="auto"/>
        </w:rPr>
        <w:t>Land is carried at cost. Bank premises and equipment are stated at cost less accumulated depreciation. Depreciation is based on the estimated useful lives of the various properties and is computed using straight line and accelerated methods. Costs for maintenance and repairs are charged to operations as incurred. Gains and losses on dispositions are included in current operations.</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Bank Owned Life Insurance</w:t>
      </w:r>
    </w:p>
    <w:p>
      <w:pPr>
        <w:spacing w:after="0" w:line="115"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Bank owned life insurance policies are carried at their cash surrender value. The Bank recognizes tax-free income from the periodic increases in the cash surrender value of these policies and from death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00" w:lineRule="exact"/>
        <w:rPr>
          <w:sz w:val="20"/>
          <w:szCs w:val="20"/>
          <w:color w:val="auto"/>
        </w:rPr>
      </w:pPr>
    </w:p>
    <w:p>
      <w:pPr>
        <w:spacing w:after="0" w:line="31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Revenue Recognition</w:t>
      </w:r>
    </w:p>
    <w:p>
      <w:pPr>
        <w:spacing w:after="0" w:line="115" w:lineRule="exact"/>
        <w:rPr>
          <w:sz w:val="20"/>
          <w:szCs w:val="20"/>
          <w:color w:val="auto"/>
        </w:rPr>
      </w:pPr>
    </w:p>
    <w:p>
      <w:pPr>
        <w:jc w:val="both"/>
        <w:ind w:left="800"/>
        <w:spacing w:after="0" w:line="284" w:lineRule="auto"/>
        <w:rPr>
          <w:sz w:val="20"/>
          <w:szCs w:val="20"/>
          <w:color w:val="auto"/>
        </w:rPr>
      </w:pPr>
      <w:r>
        <w:rPr>
          <w:rFonts w:ascii="Arial" w:cs="Arial" w:eastAsia="Arial" w:hAnsi="Arial"/>
          <w:sz w:val="16"/>
          <w:szCs w:val="16"/>
          <w:color w:val="auto"/>
        </w:rPr>
        <w:t>Accounting Standards Codification 606, “Revenue from Contracts with Customer” (ASC 606) provides that an entity should recognize revenue to depict the transfer of promised goods or services to customers in an amount that reflects the consideration to which the entity expects to be entitled in exchange for those goods or services. Revenue generated from financial instruments, including loans and investment securities, are not included within the scope of ASC 606. The adoption of ASC 606 did not result in a change to the accounting for any of the Company’s revenue streams that are within scope of the amendments. Revenue-generating activities that are within the scope of ASC 606 that are presented as non-interest income in the Company’s consolidated statements of income include:</w:t>
      </w:r>
    </w:p>
    <w:p>
      <w:pPr>
        <w:spacing w:after="0" w:line="64" w:lineRule="exact"/>
        <w:rPr>
          <w:sz w:val="20"/>
          <w:szCs w:val="20"/>
          <w:color w:val="auto"/>
        </w:rPr>
      </w:pPr>
    </w:p>
    <w:p>
      <w:pPr>
        <w:jc w:val="both"/>
        <w:ind w:left="1600" w:hanging="396"/>
        <w:spacing w:after="0" w:line="243" w:lineRule="auto"/>
        <w:tabs>
          <w:tab w:leader="none" w:pos="1600" w:val="left"/>
        </w:tabs>
        <w:numPr>
          <w:ilvl w:val="0"/>
          <w:numId w:val="18"/>
        </w:numPr>
        <w:rPr>
          <w:rFonts w:ascii="Courier New" w:cs="Courier New" w:eastAsia="Courier New" w:hAnsi="Courier New"/>
          <w:sz w:val="18"/>
          <w:szCs w:val="18"/>
          <w:color w:val="auto"/>
        </w:rPr>
      </w:pPr>
      <w:r>
        <w:rPr>
          <w:rFonts w:ascii="Arial" w:cs="Arial" w:eastAsia="Arial" w:hAnsi="Arial"/>
          <w:sz w:val="18"/>
          <w:szCs w:val="18"/>
          <w:color w:val="auto"/>
        </w:rPr>
        <w:t>Customer service fees – these include miscellaneous service fees and transaction-based fees charged for certain services, such as debit card or credit card. Revenue is recognized when the performance obligation is completed, which is generally after a transaction is completed or monthly for account maintenance services.</w:t>
      </w:r>
    </w:p>
    <w:p>
      <w:pPr>
        <w:spacing w:after="0" w:line="92" w:lineRule="exact"/>
        <w:rPr>
          <w:rFonts w:ascii="Courier New" w:cs="Courier New" w:eastAsia="Courier New" w:hAnsi="Courier New"/>
          <w:sz w:val="18"/>
          <w:szCs w:val="18"/>
          <w:color w:val="auto"/>
        </w:rPr>
      </w:pPr>
    </w:p>
    <w:p>
      <w:pPr>
        <w:jc w:val="both"/>
        <w:ind w:left="1600" w:hanging="396"/>
        <w:spacing w:after="0" w:line="244" w:lineRule="auto"/>
        <w:tabs>
          <w:tab w:leader="none" w:pos="1600" w:val="left"/>
        </w:tabs>
        <w:numPr>
          <w:ilvl w:val="0"/>
          <w:numId w:val="18"/>
        </w:numPr>
        <w:rPr>
          <w:rFonts w:ascii="Courier New" w:cs="Courier New" w:eastAsia="Courier New" w:hAnsi="Courier New"/>
          <w:sz w:val="18"/>
          <w:szCs w:val="18"/>
          <w:color w:val="auto"/>
        </w:rPr>
      </w:pPr>
      <w:r>
        <w:rPr>
          <w:rFonts w:ascii="Arial" w:cs="Arial" w:eastAsia="Arial" w:hAnsi="Arial"/>
          <w:sz w:val="18"/>
          <w:szCs w:val="18"/>
          <w:color w:val="auto"/>
        </w:rPr>
        <w:t>Other service charges and fees – these include service fees charged for deposit account maintenance and activity along with transaction-based fees charged for certain services, such as overdraft activities, returned check charges and wire transfers. Revenue is recognized when the performance obligation is completed, which is generally after a transaction is completed or monthly for account maintenance services.</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Income Tax</w:t>
      </w:r>
    </w:p>
    <w:p>
      <w:pPr>
        <w:spacing w:after="0" w:line="115" w:lineRule="exact"/>
        <w:rPr>
          <w:sz w:val="20"/>
          <w:szCs w:val="20"/>
          <w:color w:val="auto"/>
        </w:rPr>
      </w:pPr>
    </w:p>
    <w:p>
      <w:pPr>
        <w:jc w:val="both"/>
        <w:ind w:left="800"/>
        <w:spacing w:after="0" w:line="287" w:lineRule="auto"/>
        <w:rPr>
          <w:sz w:val="20"/>
          <w:szCs w:val="20"/>
          <w:color w:val="auto"/>
        </w:rPr>
      </w:pPr>
      <w:r>
        <w:rPr>
          <w:rFonts w:ascii="Arial" w:cs="Arial" w:eastAsia="Arial" w:hAnsi="Arial"/>
          <w:sz w:val="16"/>
          <w:szCs w:val="16"/>
          <w:color w:val="auto"/>
        </w:rPr>
        <w:t>The Company’s income tax expense consists of the following components for federal and state: current and deferred. Current income tax expense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w:t>
      </w:r>
    </w:p>
    <w:p>
      <w:pPr>
        <w:spacing w:after="0" w:line="59" w:lineRule="exact"/>
        <w:rPr>
          <w:sz w:val="20"/>
          <w:szCs w:val="20"/>
          <w:color w:val="auto"/>
        </w:rPr>
      </w:pPr>
    </w:p>
    <w:p>
      <w:pPr>
        <w:jc w:val="both"/>
        <w:ind w:left="800"/>
        <w:spacing w:after="0" w:line="281" w:lineRule="auto"/>
        <w:rPr>
          <w:sz w:val="20"/>
          <w:szCs w:val="20"/>
          <w:color w:val="auto"/>
        </w:rPr>
      </w:pPr>
      <w:r>
        <w:rPr>
          <w:rFonts w:ascii="Arial" w:cs="Arial" w:eastAsia="Arial" w:hAnsi="Arial"/>
          <w:sz w:val="16"/>
          <w:szCs w:val="16"/>
          <w:color w:val="auto"/>
        </w:rPr>
        <w:t>Deferred income tax expense results from changes in deferred tax assets and liabilities between periods. Deferred tax assets are recognized if it is more likely than not, based on the technical merits, that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more-likely-than-not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or not a tax position has met the more-likely-than-not recognition threshold considers the facts, circumstances, and information available at the reporting date and is subject to management’s judgment. Deferred tax assets are reduced by a valuation allowance if, based on the weight of evidence available, it is more likely than not that some portion or all of a deferred tax asset will not be realized.</w:t>
      </w:r>
    </w:p>
    <w:p>
      <w:pPr>
        <w:spacing w:after="0" w:line="64"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The Company recognizes interest and penalties, if any, related to unrecognized tax benefits in tax expense. Based on management’s analysis, the Company did not have any uncertain tax positions as of December 31, 2020 and 2019. With a few exceptions, the Company is no longer subject to U.S. Federal, state or local examinations by tax authorities for years before 2017.</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Earnings Per Share</w:t>
      </w:r>
    </w:p>
    <w:p>
      <w:pPr>
        <w:spacing w:after="0" w:line="115"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Basic earnings per share represent income available to common stockholders divided by the weighted-average number of common shares outstanding during the period. On August 18, 2017, the Company’s Board of Directors authorized a two-for-one stock split payable on September 20, 2017, for shareholders of record on September 5, 2017. See Note 12 for additional information.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00" w:lineRule="exact"/>
        <w:rPr>
          <w:sz w:val="20"/>
          <w:szCs w:val="20"/>
          <w:color w:val="auto"/>
        </w:rPr>
      </w:pPr>
    </w:p>
    <w:p>
      <w:pPr>
        <w:spacing w:after="0" w:line="31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Stock-Based Compensation</w:t>
      </w:r>
    </w:p>
    <w:p>
      <w:pPr>
        <w:spacing w:after="0" w:line="115"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The fair value of restricted common stock is their fair market value on the date of grant. The fair value of restricted stock is amortized as compensation expense on a straight-line basis over the vesting period of the grants. Compensation expense recognized is included in salaries and wages in the consolidated statements of income.</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Transfers of Financial Assets</w:t>
      </w:r>
    </w:p>
    <w:p>
      <w:pPr>
        <w:spacing w:after="0" w:line="115" w:lineRule="exact"/>
        <w:rPr>
          <w:sz w:val="20"/>
          <w:szCs w:val="20"/>
          <w:color w:val="auto"/>
        </w:rPr>
      </w:pPr>
    </w:p>
    <w:p>
      <w:pPr>
        <w:jc w:val="both"/>
        <w:ind w:left="800"/>
        <w:spacing w:after="0" w:line="287" w:lineRule="auto"/>
        <w:rPr>
          <w:sz w:val="20"/>
          <w:szCs w:val="20"/>
          <w:color w:val="auto"/>
        </w:rPr>
      </w:pPr>
      <w:r>
        <w:rPr>
          <w:rFonts w:ascii="Arial" w:cs="Arial" w:eastAsia="Arial" w:hAnsi="Arial"/>
          <w:sz w:val="16"/>
          <w:szCs w:val="16"/>
          <w:color w:val="auto"/>
        </w:rPr>
        <w:t>Transfers of financial assets are accounted for as sales, when control over the assets has been surrendered. Control over transferred assets is deemed to be surrendered when (1) the assets have been isolated from the Corporation – put presumptively beyond the reach of the transferor and its creditors, even in bankruptcy or other receivership, (2) the transferee obtains the right (free of conditions that constrain it from taking advantage of that right) to pledge or exchange the transferred assets and (3) the Corporation does not maintain effective control over the transferred assets through an agreement to repurchase them before their maturity or the ability to unilaterally cause the holder to return specific assets.</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Treasury Stock</w:t>
      </w:r>
    </w:p>
    <w:p>
      <w:pPr>
        <w:spacing w:after="0" w:line="115"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Common stock shares repurchased are recorded at market value on date of purchase. Restricted shares when awarded are removed from treasury stock using the weighted average method.</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Other Comprehensive Income (Loss)</w:t>
      </w:r>
    </w:p>
    <w:p>
      <w:pPr>
        <w:spacing w:after="0" w:line="115" w:lineRule="exact"/>
        <w:rPr>
          <w:sz w:val="20"/>
          <w:szCs w:val="20"/>
          <w:color w:val="auto"/>
        </w:rPr>
      </w:pPr>
    </w:p>
    <w:p>
      <w:pPr>
        <w:jc w:val="both"/>
        <w:ind w:left="800"/>
        <w:spacing w:after="0" w:line="300" w:lineRule="auto"/>
        <w:rPr>
          <w:sz w:val="20"/>
          <w:szCs w:val="20"/>
          <w:color w:val="auto"/>
        </w:rPr>
      </w:pPr>
      <w:r>
        <w:rPr>
          <w:rFonts w:ascii="Arial" w:cs="Arial" w:eastAsia="Arial" w:hAnsi="Arial"/>
          <w:sz w:val="16"/>
          <w:szCs w:val="16"/>
          <w:color w:val="auto"/>
        </w:rPr>
        <w:t>Accounting principles generally require that recognized revenue, expenses, gains and losses be included in net income. Certain changes in assets and liabilities, such as unrealized gains and losses on available-for-sale securities, are reported as a separate component of the equity section of the balance sheet. Such items, along with net income, are components of other comprehensive income (loss).</w:t>
      </w:r>
    </w:p>
    <w:p>
      <w:pPr>
        <w:spacing w:after="0" w:line="48"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The company adopted ASU 2018-02 on January 1, 2018 and elected to reclassify the income tax effects of the Tax Cuts and Jobs Act from accumulated other comprehensive income (AOCI) to retained earnings. The reclassification increased retained earnings and decreased AOCI by $359 thousand, with zero net effect on total stockholder’s equity.</w:t>
      </w:r>
    </w:p>
    <w:p>
      <w:pPr>
        <w:spacing w:after="0" w:line="8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components of other comprehensive income (loss) and related tax effects are as follows: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20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(In Thousands)</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32"/>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w w:val="89"/>
              </w:rPr>
              <w:t>Net unrealized gain (loss) on</w:t>
            </w:r>
          </w:p>
        </w:tc>
        <w:tc>
          <w:tcPr>
            <w:tcW w:w="2240" w:type="dxa"/>
            <w:vAlign w:val="bottom"/>
            <w:tcBorders>
              <w:top w:val="single" w:sz="8" w:color="CFF0FC"/>
            </w:tcBorders>
            <w:shd w:val="clear" w:color="auto" w:fill="CFF0FC"/>
          </w:tcPr>
          <w:p>
            <w:pPr>
              <w:ind w:left="20"/>
              <w:spacing w:after="0" w:line="205" w:lineRule="exact"/>
              <w:rPr>
                <w:sz w:val="20"/>
                <w:szCs w:val="20"/>
                <w:color w:val="auto"/>
              </w:rPr>
            </w:pPr>
            <w:r>
              <w:rPr>
                <w:rFonts w:ascii="Arial" w:cs="Arial" w:eastAsia="Arial" w:hAnsi="Arial"/>
                <w:sz w:val="18"/>
                <w:szCs w:val="18"/>
                <w:color w:val="auto"/>
              </w:rPr>
              <w:t>available-for-sale</w:t>
            </w:r>
          </w:p>
        </w:tc>
        <w:tc>
          <w:tcPr>
            <w:tcW w:w="64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securities</w:t>
            </w:r>
          </w:p>
        </w:tc>
        <w:tc>
          <w:tcPr>
            <w:tcW w:w="2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6,091</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5,179</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2"/>
        </w:trPr>
        <w:tc>
          <w:tcPr>
            <w:tcW w:w="4320" w:type="dxa"/>
            <w:vAlign w:val="bottom"/>
            <w:gridSpan w:val="2"/>
          </w:tcPr>
          <w:p>
            <w:pPr>
              <w:spacing w:after="0"/>
              <w:rPr>
                <w:sz w:val="20"/>
                <w:szCs w:val="20"/>
                <w:color w:val="auto"/>
              </w:rPr>
            </w:pPr>
            <w:r>
              <w:rPr>
                <w:rFonts w:ascii="Arial" w:cs="Arial" w:eastAsia="Arial" w:hAnsi="Arial"/>
                <w:sz w:val="18"/>
                <w:szCs w:val="18"/>
                <w:color w:val="auto"/>
              </w:rPr>
              <w:t>Reclassification adjustment for (gain) loss on sale of</w:t>
            </w: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120"/>
              <w:spacing w:after="0"/>
              <w:rPr>
                <w:sz w:val="20"/>
                <w:szCs w:val="20"/>
                <w:color w:val="auto"/>
              </w:rPr>
            </w:pPr>
            <w:r>
              <w:rPr>
                <w:rFonts w:ascii="Arial" w:cs="Arial" w:eastAsia="Arial" w:hAnsi="Arial"/>
                <w:sz w:val="18"/>
                <w:szCs w:val="18"/>
                <w:color w:val="auto"/>
                <w:w w:val="88"/>
              </w:rPr>
              <w:t>available-for-sale securities</w:t>
            </w:r>
          </w:p>
        </w:tc>
        <w:tc>
          <w:tcPr>
            <w:tcW w:w="2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w w:val="89"/>
              </w:rPr>
              <w:t>Net unrealized gain (loss) on</w:t>
            </w:r>
          </w:p>
        </w:tc>
        <w:tc>
          <w:tcPr>
            <w:tcW w:w="2240" w:type="dxa"/>
            <w:vAlign w:val="bottom"/>
            <w:tcBorders>
              <w:top w:val="single" w:sz="8" w:color="CFF0FC"/>
            </w:tcBorders>
            <w:shd w:val="clear" w:color="auto" w:fill="CFF0FC"/>
          </w:tcPr>
          <w:p>
            <w:pPr>
              <w:ind w:left="20"/>
              <w:spacing w:after="0" w:line="205" w:lineRule="exact"/>
              <w:rPr>
                <w:sz w:val="20"/>
                <w:szCs w:val="20"/>
                <w:color w:val="auto"/>
              </w:rPr>
            </w:pPr>
            <w:r>
              <w:rPr>
                <w:rFonts w:ascii="Arial" w:cs="Arial" w:eastAsia="Arial" w:hAnsi="Arial"/>
                <w:sz w:val="18"/>
                <w:szCs w:val="18"/>
                <w:color w:val="auto"/>
              </w:rPr>
              <w:t>available-for-sale</w:t>
            </w:r>
          </w:p>
        </w:tc>
        <w:tc>
          <w:tcPr>
            <w:tcW w:w="64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securities</w:t>
            </w:r>
          </w:p>
        </w:tc>
        <w:tc>
          <w:tcPr>
            <w:tcW w:w="2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5,821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24"/>
        </w:trPr>
        <w:tc>
          <w:tcPr>
            <w:tcW w:w="2080" w:type="dxa"/>
            <w:vAlign w:val="bottom"/>
          </w:tcPr>
          <w:p>
            <w:pPr>
              <w:spacing w:after="0"/>
              <w:rPr>
                <w:sz w:val="20"/>
                <w:szCs w:val="20"/>
                <w:color w:val="auto"/>
              </w:rPr>
            </w:pPr>
            <w:r>
              <w:rPr>
                <w:rFonts w:ascii="Arial" w:cs="Arial" w:eastAsia="Arial" w:hAnsi="Arial"/>
                <w:sz w:val="18"/>
                <w:szCs w:val="18"/>
                <w:color w:val="auto"/>
              </w:rPr>
              <w:t>Tax expense (benefit)</w:t>
            </w:r>
          </w:p>
        </w:tc>
        <w:tc>
          <w:tcPr>
            <w:tcW w:w="2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432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6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20" w:type="dxa"/>
            <w:vAlign w:val="bottom"/>
            <w:gridSpan w:val="2"/>
            <w:vMerge w:val="continue"/>
            <w:shd w:val="clear" w:color="auto" w:fill="CFF0FC"/>
          </w:tcPr>
          <w:p>
            <w:pPr>
              <w:spacing w:after="0"/>
              <w:rPr>
                <w:sz w:val="18"/>
                <w:szCs w:val="18"/>
                <w:color w:val="auto"/>
              </w:rPr>
            </w:pPr>
          </w:p>
        </w:tc>
        <w:tc>
          <w:tcPr>
            <w:tcW w:w="1400" w:type="dxa"/>
            <w:vAlign w:val="bottom"/>
            <w:gridSpan w:val="2"/>
            <w:shd w:val="clear" w:color="auto" w:fill="CFF0FC"/>
          </w:tcPr>
          <w:p>
            <w:pPr>
              <w:jc w:val="right"/>
              <w:ind w:right="6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4,599</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0"/>
        </w:trPr>
        <w:tc>
          <w:tcPr>
            <w:tcW w:w="2080" w:type="dxa"/>
            <w:vAlign w:val="bottom"/>
            <w:tcBorders>
              <w:top w:val="single" w:sz="8" w:color="CFF0FC"/>
            </w:tcBorders>
          </w:tcPr>
          <w:p>
            <w:pPr>
              <w:spacing w:after="0" w:line="20" w:lineRule="exact"/>
              <w:rPr>
                <w:sz w:val="1"/>
                <w:szCs w:val="1"/>
                <w:color w:val="auto"/>
              </w:rPr>
            </w:pPr>
          </w:p>
        </w:tc>
        <w:tc>
          <w:tcPr>
            <w:tcW w:w="22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Reclassification</w:t>
      </w:r>
    </w:p>
    <w:p>
      <w:pPr>
        <w:spacing w:after="0" w:line="115" w:lineRule="exact"/>
        <w:rPr>
          <w:sz w:val="20"/>
          <w:szCs w:val="20"/>
          <w:color w:val="auto"/>
        </w:rPr>
      </w:pPr>
    </w:p>
    <w:p>
      <w:pPr>
        <w:ind w:left="800"/>
        <w:spacing w:after="0" w:line="262" w:lineRule="auto"/>
        <w:rPr>
          <w:sz w:val="20"/>
          <w:szCs w:val="20"/>
          <w:color w:val="auto"/>
        </w:rPr>
      </w:pPr>
      <w:r>
        <w:rPr>
          <w:rFonts w:ascii="Arial" w:cs="Arial" w:eastAsia="Arial" w:hAnsi="Arial"/>
          <w:sz w:val="18"/>
          <w:szCs w:val="18"/>
          <w:color w:val="auto"/>
        </w:rPr>
        <w:t>Certain amounts in the 2019 and 2018 consolidated financial statements have been reclassified to conform with the 2020 presentation. These reclassifications had no effect on net income.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00" w:lineRule="exact"/>
        <w:rPr>
          <w:sz w:val="20"/>
          <w:szCs w:val="20"/>
          <w:color w:val="auto"/>
        </w:rPr>
      </w:pPr>
    </w:p>
    <w:p>
      <w:pPr>
        <w:spacing w:after="0" w:line="31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Recent Accounting Pronouncements</w:t>
      </w:r>
    </w:p>
    <w:p>
      <w:pPr>
        <w:spacing w:after="0" w:line="115" w:lineRule="exact"/>
        <w:rPr>
          <w:sz w:val="20"/>
          <w:szCs w:val="20"/>
          <w:color w:val="auto"/>
        </w:rPr>
      </w:pPr>
    </w:p>
    <w:p>
      <w:pPr>
        <w:jc w:val="both"/>
        <w:ind w:left="800"/>
        <w:spacing w:after="0" w:line="279" w:lineRule="auto"/>
        <w:rPr>
          <w:sz w:val="20"/>
          <w:szCs w:val="20"/>
          <w:color w:val="auto"/>
        </w:rPr>
      </w:pPr>
      <w:r>
        <w:rPr>
          <w:rFonts w:ascii="Arial" w:cs="Arial" w:eastAsia="Arial" w:hAnsi="Arial"/>
          <w:sz w:val="16"/>
          <w:szCs w:val="16"/>
          <w:color w:val="auto"/>
        </w:rPr>
        <w:t>In June 2016, the Financial Accounting Standards Board (“FASB”) issued Accounting Standards Update (“ASU”) No. 2016-13 “Financial Instruments - Credit Losses (Topic 326): Measurement of Credit Losses on Financial Instruments.” This ASU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71" w:lineRule="exact"/>
        <w:rPr>
          <w:sz w:val="20"/>
          <w:szCs w:val="20"/>
          <w:color w:val="auto"/>
        </w:rPr>
      </w:pPr>
    </w:p>
    <w:p>
      <w:pPr>
        <w:jc w:val="both"/>
        <w:ind w:left="800"/>
        <w:spacing w:after="0" w:line="287" w:lineRule="auto"/>
        <w:rPr>
          <w:sz w:val="20"/>
          <w:szCs w:val="20"/>
          <w:color w:val="auto"/>
        </w:rPr>
      </w:pPr>
      <w:r>
        <w:rPr>
          <w:rFonts w:ascii="Arial" w:cs="Arial" w:eastAsia="Arial" w:hAnsi="Arial"/>
          <w:sz w:val="16"/>
          <w:szCs w:val="16"/>
          <w:color w:val="auto"/>
        </w:rPr>
        <w:t>The ASU was effective for SEC filers for fiscal years, and interim periods within those fiscal years, beginning after December 15, 2019 (i.e., January 1, 2020, for calendar year entities). FASB subsequently approved a delay in adoption for Smaller Reporting Companies. The Company has completed an analysis to determine that it qualifies as a Smaller Reporting Company. As such, adoption can be postponed until periods beginning after December 15, 2022 (i.e., January 1, 2023, for calendar year entities). Early application will be permitted for all organizations for fiscal years, and interim periods within those fiscal years, beginning after December 15, 2018.</w:t>
      </w:r>
    </w:p>
    <w:p>
      <w:pPr>
        <w:spacing w:after="0" w:line="59" w:lineRule="exact"/>
        <w:rPr>
          <w:sz w:val="20"/>
          <w:szCs w:val="20"/>
          <w:color w:val="auto"/>
        </w:rPr>
      </w:pPr>
    </w:p>
    <w:p>
      <w:pPr>
        <w:jc w:val="both"/>
        <w:ind w:left="800"/>
        <w:spacing w:after="0" w:line="248" w:lineRule="auto"/>
        <w:rPr>
          <w:sz w:val="20"/>
          <w:szCs w:val="20"/>
          <w:color w:val="auto"/>
        </w:rPr>
      </w:pPr>
      <w:r>
        <w:rPr>
          <w:rFonts w:ascii="Arial" w:cs="Arial" w:eastAsia="Arial" w:hAnsi="Arial"/>
          <w:sz w:val="18"/>
          <w:szCs w:val="18"/>
          <w:color w:val="auto"/>
        </w:rPr>
        <w:t>The Company has contracted with an external advisor and has formed a committee to determine the methodology to be used. Most importantly, the Company is gathering as much data as possible to enable management to review scenarios and determine which calculations will produce the most reliable results. The Company began working with the third-party service provider to review parallel reports starting in June 2019. The Company has not adopted ASU 2016-13 in calendar year 2020 and management is currently evaluating when or if they would elect to early adopt ASU 2016-13.</w:t>
      </w:r>
    </w:p>
    <w:p>
      <w:pPr>
        <w:spacing w:after="0" w:line="90" w:lineRule="exact"/>
        <w:rPr>
          <w:sz w:val="20"/>
          <w:szCs w:val="20"/>
          <w:color w:val="auto"/>
        </w:rPr>
      </w:pPr>
    </w:p>
    <w:p>
      <w:pPr>
        <w:jc w:val="both"/>
        <w:ind w:left="800"/>
        <w:spacing w:after="0" w:line="282" w:lineRule="auto"/>
        <w:rPr>
          <w:sz w:val="20"/>
          <w:szCs w:val="20"/>
          <w:color w:val="auto"/>
        </w:rPr>
      </w:pPr>
      <w:r>
        <w:rPr>
          <w:rFonts w:ascii="Arial" w:cs="Arial" w:eastAsia="Arial" w:hAnsi="Arial"/>
          <w:sz w:val="16"/>
          <w:szCs w:val="16"/>
          <w:color w:val="auto"/>
        </w:rPr>
        <w:t>In January 2017, the FASB issued ASU No. 2017-04 “Intangibles – Goodwill and other (Topic 350) – Simplifying the Test for Goodwill Impairment.” These amendments eliminate Step 2 from the goodwill impairment test. The amendments also eliminate the requirements for any 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guidance is effective for annual or any interim goodwill impairment tests in fiscal years beginning after December 15, 2019. Early adoption was permitted for interim or annual goodwill impairment tests performed on testing dates after January 1, 2017. ASU 2017-04 should be adopted on a prospective basis. The Company has adopted ASU 2017-04 effective January 1, 2020, as required, without a material impact on its financial statements.</w:t>
      </w:r>
    </w:p>
    <w:p>
      <w:pPr>
        <w:spacing w:after="0" w:line="62" w:lineRule="exact"/>
        <w:rPr>
          <w:sz w:val="20"/>
          <w:szCs w:val="20"/>
          <w:color w:val="auto"/>
        </w:rPr>
      </w:pPr>
    </w:p>
    <w:p>
      <w:pPr>
        <w:jc w:val="both"/>
        <w:ind w:left="800"/>
        <w:spacing w:after="0" w:line="247" w:lineRule="auto"/>
        <w:rPr>
          <w:sz w:val="20"/>
          <w:szCs w:val="20"/>
          <w:color w:val="auto"/>
        </w:rPr>
      </w:pPr>
      <w:r>
        <w:rPr>
          <w:rFonts w:ascii="Arial" w:cs="Arial" w:eastAsia="Arial" w:hAnsi="Arial"/>
          <w:sz w:val="18"/>
          <w:szCs w:val="18"/>
          <w:color w:val="auto"/>
        </w:rPr>
        <w:t>In August 2018, the FASB issued ASU No. 2018-13 “Fair Value Measurement (Topic 820) - Disclosure Framework-Changes to the Disclosure Requirements for Fair Value Measurement.” ASU 2018-13 modifies the disclosure requirements on fair value measurements in Topic 820. The amendments in this update remove disclosures that no longer are considered cost beneficial, modify/clarify the specific requirements of certain disclosures, and add disclosure requirements identified as relevant. ASU 2018-13 is effective for years beginning after December 15, 2019, with early adoption permitted. The Company adopted ASU 2018-13 effective January 1, 2020, as required, without material effect on its accounting disclosures.</w:t>
      </w:r>
    </w:p>
    <w:p>
      <w:pPr>
        <w:spacing w:after="0" w:line="92" w:lineRule="exact"/>
        <w:rPr>
          <w:sz w:val="20"/>
          <w:szCs w:val="20"/>
          <w:color w:val="auto"/>
        </w:rPr>
      </w:pPr>
    </w:p>
    <w:p>
      <w:pPr>
        <w:jc w:val="both"/>
        <w:ind w:left="800"/>
        <w:spacing w:after="0" w:line="247" w:lineRule="auto"/>
        <w:rPr>
          <w:sz w:val="20"/>
          <w:szCs w:val="20"/>
          <w:color w:val="auto"/>
        </w:rPr>
      </w:pPr>
      <w:r>
        <w:rPr>
          <w:rFonts w:ascii="Arial" w:cs="Arial" w:eastAsia="Arial" w:hAnsi="Arial"/>
          <w:sz w:val="18"/>
          <w:szCs w:val="18"/>
          <w:color w:val="auto"/>
        </w:rPr>
        <w:t>In March 2020, in connection with the implementation of the Coronavirus Aid, Relief and Economic Security Act (CARES Act) and related provisions, we have elected the temporary relief in the CARES Act not to apply the guidance in ASC 310-40 on accounting for troubled debt restructurings (TDRs) to loan modifications related to COVID-19 made between March 1, 2020 and the earlier of (1) December 31, 2020 or (2) 60 days after the end of the COVID-19 national emergency. The relief was only applied to modifications for borrowers that were not more than 30 days past due as of December 31, 2019. As of December 31, 2020, there were no loan modifications that would have been previously treated as TDRs under the guidance in ASC 310-40.</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Note 2 – Business Combination &amp; Asset Purchase</w:t>
      </w:r>
    </w:p>
    <w:p>
      <w:pPr>
        <w:spacing w:after="0" w:line="326" w:lineRule="exact"/>
        <w:rPr>
          <w:sz w:val="20"/>
          <w:szCs w:val="20"/>
          <w:color w:val="auto"/>
        </w:rPr>
      </w:pPr>
    </w:p>
    <w:p>
      <w:pPr>
        <w:jc w:val="both"/>
        <w:ind w:left="800"/>
        <w:spacing w:after="0" w:line="283" w:lineRule="auto"/>
        <w:rPr>
          <w:sz w:val="20"/>
          <w:szCs w:val="20"/>
          <w:color w:val="auto"/>
        </w:rPr>
      </w:pPr>
      <w:r>
        <w:rPr>
          <w:rFonts w:ascii="Arial" w:cs="Arial" w:eastAsia="Arial" w:hAnsi="Arial"/>
          <w:sz w:val="16"/>
          <w:szCs w:val="16"/>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 shares of FMAO common stock and $8,465.00 in cash for each share. Limberlost had 1,000 shares outstanding on January 1, 2019. The share price of Farmers &amp; Merchants Bancorp, Inc. (FMAO) stock on January 1, 2019 was $38.49. Total consideration for the acquisition was approximately $78.9 million consisting of $8.5 million in cash and $70.4 million in stock. As a result of the acquisition, the Company has had an opportunity to increase its deposit base and reduce transaction costs. The Company has also reduced costs through economies of scale.</w:t>
      </w:r>
    </w:p>
    <w:p>
      <w:pPr>
        <w:spacing w:after="0" w:line="168"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In 2018, the Company incurred $742.1 thousand of third-party acquisition-related costs. The largest portion of the expenses recognized in 2018 related to consulting fees of $340 thousand, other general and administration expenses of $331.5 thousand and data processing expenses of $58.6 thousand. These three categories of expense accounted for 98.4% of the total acquisition expenses impacting the 2018 financial statements of the Company.</w:t>
      </w:r>
    </w:p>
    <w:p>
      <w:pPr>
        <w:spacing w:after="0" w:line="191"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In 2019, the Company has incurred additional third-party acquisition-related costs of $1.28 million. These expenses are comprised of data processing of $867.6 thousand, employee benefits of $163.0 thousand, ATM expense of $31.4 thousand, consulting fees of $19.3 thousand and other general and administrative expense of $199.8 thousand in the Company’s consolidated statement of income for the year ended December 31, 2019.</w:t>
      </w:r>
    </w:p>
    <w:p>
      <w:pPr>
        <w:spacing w:after="0" w:line="139" w:lineRule="exact"/>
        <w:rPr>
          <w:sz w:val="20"/>
          <w:szCs w:val="20"/>
          <w:color w:val="auto"/>
        </w:rPr>
      </w:pPr>
    </w:p>
    <w:p>
      <w:pPr>
        <w:jc w:val="both"/>
        <w:ind w:left="800"/>
        <w:spacing w:after="0" w:line="284" w:lineRule="auto"/>
        <w:rPr>
          <w:sz w:val="20"/>
          <w:szCs w:val="20"/>
          <w:color w:val="auto"/>
        </w:rPr>
      </w:pPr>
      <w:r>
        <w:rPr>
          <w:rFonts w:ascii="Arial" w:cs="Arial" w:eastAsia="Arial" w:hAnsi="Arial"/>
          <w:sz w:val="16"/>
          <w:szCs w:val="16"/>
          <w:color w:val="auto"/>
        </w:rPr>
        <w:t>Under the acquisition method of accounting, the total purchase was allocated to net tangible and intangible assets based on their current estimated fair values on the date of acquisition. Of the total purchase price of $78.9 million, $3.9 million has been allocated to core deposit intangible included in other assets and is being amortized over seven years on a straight line basis. Goodwill of $43.3 million resulting from the acquisition consists largely of the synergies and economies of scale expected from combining the operations of the Company and Bank of Geneva. Of that total amount, none of the purchase price is deductible for tax purposes. The following table summarizes the consideration paid for Bank of Geneva and the amounts of the assets acquired and liabilities assumed recognized at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3549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28"/>
        </w:trPr>
        <w:tc>
          <w:tcPr>
            <w:tcW w:w="6760" w:type="dxa"/>
            <w:vAlign w:val="bottom"/>
          </w:tcPr>
          <w:p>
            <w:pPr>
              <w:spacing w:after="0"/>
              <w:rPr>
                <w:sz w:val="20"/>
                <w:szCs w:val="20"/>
                <w:color w:val="auto"/>
              </w:rPr>
            </w:pPr>
            <w:r>
              <w:rPr>
                <w:rFonts w:ascii="Arial" w:cs="Arial" w:eastAsia="Arial" w:hAnsi="Arial"/>
                <w:sz w:val="18"/>
                <w:szCs w:val="18"/>
                <w:b w:val="1"/>
                <w:bCs w:val="1"/>
                <w:color w:val="auto"/>
              </w:rPr>
              <w:t>Farmers &amp; Merchants Bancorp, Inc. and Subsidiaries</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6760" w:type="dxa"/>
            <w:vAlign w:val="bottom"/>
          </w:tcPr>
          <w:p>
            <w:pPr>
              <w:spacing w:after="0"/>
              <w:rPr>
                <w:sz w:val="24"/>
                <w:szCs w:val="24"/>
                <w:color w:val="auto"/>
              </w:rPr>
            </w:pPr>
          </w:p>
        </w:tc>
        <w:tc>
          <w:tcPr>
            <w:tcW w:w="4480" w:type="dxa"/>
            <w:vAlign w:val="bottom"/>
            <w:gridSpan w:val="4"/>
          </w:tcPr>
          <w:p>
            <w:pPr>
              <w:jc w:val="right"/>
              <w:spacing w:after="0"/>
              <w:rPr>
                <w:sz w:val="20"/>
                <w:szCs w:val="20"/>
                <w:color w:val="auto"/>
              </w:rPr>
            </w:pPr>
            <w:r>
              <w:rPr>
                <w:rFonts w:ascii="Arial" w:cs="Arial" w:eastAsia="Arial" w:hAnsi="Arial"/>
                <w:sz w:val="18"/>
                <w:szCs w:val="18"/>
                <w:b w:val="1"/>
                <w:bCs w:val="1"/>
                <w:color w:val="auto"/>
              </w:rPr>
              <w:t>Notes to Consolidated Financial Statements</w:t>
            </w:r>
          </w:p>
        </w:tc>
        <w:tc>
          <w:tcPr>
            <w:tcW w:w="0" w:type="dxa"/>
            <w:vAlign w:val="bottom"/>
          </w:tcPr>
          <w:p>
            <w:pPr>
              <w:spacing w:after="0"/>
              <w:rPr>
                <w:sz w:val="1"/>
                <w:szCs w:val="1"/>
                <w:color w:val="auto"/>
              </w:rPr>
            </w:pPr>
          </w:p>
        </w:tc>
      </w:tr>
      <w:tr>
        <w:trPr>
          <w:trHeight w:val="228"/>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Note 2 – Business Combination &amp; Asset Purchase (Continued)</w:t>
            </w:r>
          </w:p>
        </w:tc>
        <w:tc>
          <w:tcPr>
            <w:tcW w:w="4480" w:type="dxa"/>
            <w:vAlign w:val="bottom"/>
            <w:gridSpan w:val="4"/>
          </w:tcPr>
          <w:p>
            <w:pPr>
              <w:jc w:val="right"/>
              <w:spacing w:after="0"/>
              <w:rPr>
                <w:sz w:val="20"/>
                <w:szCs w:val="20"/>
                <w:color w:val="auto"/>
              </w:rPr>
            </w:pPr>
            <w:r>
              <w:rPr>
                <w:rFonts w:ascii="Arial" w:cs="Arial" w:eastAsia="Arial" w:hAnsi="Arial"/>
                <w:sz w:val="18"/>
                <w:szCs w:val="18"/>
                <w:b w:val="1"/>
                <w:bCs w:val="1"/>
                <w:color w:val="auto"/>
              </w:rPr>
              <w:t>December 31, 2020, 2019, 2018</w:t>
            </w:r>
          </w:p>
        </w:tc>
        <w:tc>
          <w:tcPr>
            <w:tcW w:w="0" w:type="dxa"/>
            <w:vAlign w:val="bottom"/>
          </w:tcPr>
          <w:p>
            <w:pPr>
              <w:spacing w:after="0"/>
              <w:rPr>
                <w:sz w:val="1"/>
                <w:szCs w:val="1"/>
                <w:color w:val="auto"/>
              </w:rPr>
            </w:pPr>
          </w:p>
        </w:tc>
      </w:tr>
      <w:tr>
        <w:trPr>
          <w:trHeight w:val="211"/>
        </w:trPr>
        <w:tc>
          <w:tcPr>
            <w:tcW w:w="676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6760" w:type="dxa"/>
            <w:vAlign w:val="bottom"/>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760" w:type="dxa"/>
            <w:vAlign w:val="bottom"/>
            <w:tcBorders>
              <w:bottom w:val="single" w:sz="8" w:color="CFF0FC"/>
            </w:tcBorders>
          </w:tcPr>
          <w:p>
            <w:pPr>
              <w:spacing w:after="0"/>
              <w:rPr>
                <w:sz w:val="19"/>
                <w:szCs w:val="19"/>
                <w:color w:val="auto"/>
              </w:rPr>
            </w:pPr>
          </w:p>
        </w:tc>
        <w:tc>
          <w:tcPr>
            <w:tcW w:w="25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(In Thousands)</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Shares (1,830,000 shares)</w:t>
            </w:r>
          </w:p>
        </w:tc>
        <w:tc>
          <w:tcPr>
            <w:tcW w:w="25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25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6760" w:type="dxa"/>
            <w:vAlign w:val="bottom"/>
            <w:vMerge w:val="continue"/>
          </w:tcPr>
          <w:p>
            <w:pPr>
              <w:spacing w:after="0"/>
              <w:rPr>
                <w:sz w:val="24"/>
                <w:szCs w:val="24"/>
                <w:color w:val="auto"/>
              </w:rPr>
            </w:pP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7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Securities - available-for-sale</w:t>
            </w:r>
          </w:p>
        </w:tc>
        <w:tc>
          <w:tcPr>
            <w:tcW w:w="2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140"/>
              <w:spacing w:after="0"/>
              <w:rPr>
                <w:sz w:val="20"/>
                <w:szCs w:val="20"/>
                <w:color w:val="auto"/>
              </w:rPr>
            </w:pPr>
            <w:r>
              <w:rPr>
                <w:rFonts w:ascii="Arial" w:cs="Arial" w:eastAsia="Arial" w:hAnsi="Arial"/>
                <w:sz w:val="18"/>
                <w:szCs w:val="18"/>
                <w:color w:val="auto"/>
              </w:rPr>
              <w:t>Other securities, at cost</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Loans, net</w:t>
            </w:r>
          </w:p>
        </w:tc>
        <w:tc>
          <w:tcPr>
            <w:tcW w:w="2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140"/>
              <w:spacing w:after="0"/>
              <w:rPr>
                <w:sz w:val="20"/>
                <w:szCs w:val="20"/>
                <w:color w:val="auto"/>
              </w:rPr>
            </w:pPr>
            <w:r>
              <w:rPr>
                <w:rFonts w:ascii="Arial" w:cs="Arial" w:eastAsia="Arial" w:hAnsi="Arial"/>
                <w:sz w:val="18"/>
                <w:szCs w:val="18"/>
                <w:color w:val="auto"/>
              </w:rPr>
              <w:t>Premises and equipment</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Goodwill</w:t>
            </w:r>
          </w:p>
        </w:tc>
        <w:tc>
          <w:tcPr>
            <w:tcW w:w="2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 assets</w:t>
            </w:r>
          </w:p>
        </w:tc>
        <w:tc>
          <w:tcPr>
            <w:tcW w:w="25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 Purchased</w:t>
            </w:r>
          </w:p>
        </w:tc>
        <w:tc>
          <w:tcPr>
            <w:tcW w:w="2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336,380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FF0FC"/>
            </w:tcBorders>
          </w:tcPr>
          <w:p>
            <w:pPr>
              <w:spacing w:after="0" w:line="20" w:lineRule="exact"/>
              <w:rPr>
                <w:sz w:val="1"/>
                <w:szCs w:val="1"/>
                <w:color w:val="auto"/>
              </w:rPr>
            </w:pPr>
          </w:p>
        </w:tc>
        <w:tc>
          <w:tcPr>
            <w:tcW w:w="25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140"/>
              <w:spacing w:after="0"/>
              <w:rPr>
                <w:sz w:val="20"/>
                <w:szCs w:val="20"/>
                <w:color w:val="auto"/>
              </w:rPr>
            </w:pPr>
            <w:r>
              <w:rPr>
                <w:rFonts w:ascii="Arial" w:cs="Arial" w:eastAsia="Arial" w:hAnsi="Arial"/>
                <w:sz w:val="18"/>
                <w:szCs w:val="18"/>
                <w:color w:val="auto"/>
              </w:rPr>
              <w:t>Deposits</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Noninterest bearing</w:t>
            </w:r>
          </w:p>
        </w:tc>
        <w:tc>
          <w:tcPr>
            <w:tcW w:w="2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bearing</w:t>
            </w:r>
          </w:p>
        </w:tc>
        <w:tc>
          <w:tcPr>
            <w:tcW w:w="25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deposits</w:t>
            </w:r>
          </w:p>
        </w:tc>
        <w:tc>
          <w:tcPr>
            <w:tcW w:w="2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140"/>
              <w:spacing w:after="0"/>
              <w:rPr>
                <w:sz w:val="20"/>
                <w:szCs w:val="20"/>
                <w:color w:val="auto"/>
              </w:rPr>
            </w:pPr>
            <w:r>
              <w:rPr>
                <w:rFonts w:ascii="Arial" w:cs="Arial" w:eastAsia="Arial" w:hAnsi="Arial"/>
                <w:sz w:val="18"/>
                <w:szCs w:val="18"/>
                <w:color w:val="auto"/>
              </w:rPr>
              <w:t>Federal Home Loan Bank (FHLB) advances</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5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tcPr>
          <w:p>
            <w:pPr>
              <w:spacing w:after="0"/>
              <w:rPr>
                <w:sz w:val="20"/>
                <w:szCs w:val="20"/>
                <w:color w:val="auto"/>
              </w:rPr>
            </w:pPr>
            <w:r>
              <w:rPr>
                <w:rFonts w:ascii="Arial" w:cs="Arial" w:eastAsia="Arial" w:hAnsi="Arial"/>
                <w:sz w:val="18"/>
                <w:szCs w:val="18"/>
                <w:b w:val="1"/>
                <w:bCs w:val="1"/>
                <w:color w:val="auto"/>
              </w:rPr>
              <w:t>Total Liabilities Assumed</w:t>
            </w:r>
          </w:p>
        </w:tc>
        <w:tc>
          <w:tcPr>
            <w:tcW w:w="2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257,478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00"/>
        <w:spacing w:after="0" w:line="325" w:lineRule="auto"/>
        <w:rPr>
          <w:sz w:val="20"/>
          <w:szCs w:val="20"/>
          <w:color w:val="auto"/>
        </w:rPr>
      </w:pPr>
      <w:r>
        <w:rPr>
          <w:rFonts w:ascii="Arial" w:cs="Arial" w:eastAsia="Arial" w:hAnsi="Arial"/>
          <w:sz w:val="16"/>
          <w:szCs w:val="16"/>
          <w:color w:val="auto"/>
        </w:rPr>
        <w:t>The fair value of the assets acquired included loans with a fair value of $257.2 million. The gross principal and contractual interest due under the contracts were $359.2 million, of which $4.7 million was expected to be uncollectible. The loans had a weighted average life of 70 months.</w:t>
      </w:r>
    </w:p>
    <w:p>
      <w:pPr>
        <w:spacing w:after="0" w:line="81"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The fair value of building and land included in premises and equipment was written down by $1.2 million and is being amortized based on the remaining life of each building. The combined average remaining life was 16.75 years.</w:t>
      </w:r>
    </w:p>
    <w:p>
      <w:pPr>
        <w:spacing w:after="0" w:line="128" w:lineRule="exact"/>
        <w:rPr>
          <w:sz w:val="20"/>
          <w:szCs w:val="20"/>
          <w:color w:val="auto"/>
        </w:rPr>
      </w:pPr>
    </w:p>
    <w:p>
      <w:pPr>
        <w:jc w:val="both"/>
        <w:ind w:left="800"/>
        <w:spacing w:after="0" w:line="325" w:lineRule="auto"/>
        <w:rPr>
          <w:sz w:val="20"/>
          <w:szCs w:val="20"/>
          <w:color w:val="auto"/>
        </w:rPr>
      </w:pPr>
      <w:r>
        <w:rPr>
          <w:rFonts w:ascii="Arial" w:cs="Arial" w:eastAsia="Arial" w:hAnsi="Arial"/>
          <w:sz w:val="16"/>
          <w:szCs w:val="16"/>
          <w:color w:val="auto"/>
        </w:rPr>
        <w:t>The fair value for certificates of deposit incorporated a valuation amount of $0.5 million which was amortized over 1.5 years. The fair value of Federal Home Loan Bank (FHLB) advances included a valuation amount of $1.3 million which is being amortized over 2.3 years.</w:t>
      </w:r>
    </w:p>
    <w:p>
      <w:pPr>
        <w:spacing w:after="0" w:line="81"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The Company acquired loans in the acquisition that had evidence of deterioration of credit quality since origination and it was probable, at acquisition, that all contractually required payments would not be collected.</w:t>
      </w:r>
    </w:p>
    <w:p>
      <w:pPr>
        <w:spacing w:after="0" w:line="128" w:lineRule="exact"/>
        <w:rPr>
          <w:sz w:val="20"/>
          <w:szCs w:val="20"/>
          <w:color w:val="auto"/>
        </w:rPr>
      </w:pPr>
    </w:p>
    <w:p>
      <w:pPr>
        <w:jc w:val="both"/>
        <w:ind w:left="800"/>
        <w:spacing w:after="0" w:line="247" w:lineRule="auto"/>
        <w:rPr>
          <w:sz w:val="20"/>
          <w:szCs w:val="20"/>
          <w:color w:val="auto"/>
        </w:rPr>
      </w:pPr>
      <w:r>
        <w:rPr>
          <w:rFonts w:ascii="Arial" w:cs="Arial" w:eastAsia="Arial" w:hAnsi="Arial"/>
          <w:sz w:val="18"/>
          <w:szCs w:val="18"/>
          <w:color w:val="auto"/>
        </w:rPr>
        <w:t>Loans purchased with evidence of credit deterioration since origination and for which it was probable that all contractually required payments would not be collected were considered to be credit impaired. Evidence of credit quality deterioration as of the purchase date included information such as past-due and nonaccrual status, borrower credit scores and recent loan to value percentages. Purchased credit-impaired loans were accounted for under the accounting guidance for loans and debt securities acquired with deteriorated credit quality (ASC 310-30) and initially measured at fair value, which included estimated future credit losses expected to be incurred over the life of the loan. Accordingly, an allowance for credit losses related to these loans was not carried over and recorded at the acquisition date. Management estimated the cash flows expected to be collected at acquisition using our internal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 &amp; Asset Purchase (Continued)</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risk models, which incorporated the estimate of current key assumptions, such as default rates, severity and prepayment speeds.</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carrying amount of those loans is included in loans, net on the balance sheet at December 31, 2020. The amounts of loans at December 31,</w:t>
      </w:r>
    </w:p>
    <w:p>
      <w:pPr>
        <w:spacing w:after="0" w:line="3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2020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7"/>
        </w:trPr>
        <w:tc>
          <w:tcPr>
            <w:tcW w:w="8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January 1, 2019</w:t>
            </w:r>
          </w:p>
        </w:tc>
        <w:tc>
          <w:tcPr>
            <w:tcW w:w="420" w:type="dxa"/>
            <w:vAlign w:val="bottom"/>
            <w:tcBorders>
              <w:top w:val="single" w:sz="8" w:color="auto"/>
            </w:tcBorders>
            <w:shd w:val="clear" w:color="auto" w:fill="CFF0FC"/>
          </w:tcPr>
          <w:p>
            <w:pPr>
              <w:spacing w:after="0"/>
              <w:rPr>
                <w:sz w:val="18"/>
                <w:szCs w:val="18"/>
                <w:color w:val="auto"/>
              </w:rPr>
            </w:pPr>
          </w:p>
        </w:tc>
        <w:tc>
          <w:tcPr>
            <w:tcW w:w="2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Consumer RE</w:t>
            </w:r>
          </w:p>
        </w:tc>
        <w:tc>
          <w:tcPr>
            <w:tcW w:w="42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0" w:type="dxa"/>
            <w:vAlign w:val="bottom"/>
          </w:tcPr>
          <w:p>
            <w:pPr>
              <w:ind w:left="140"/>
              <w:spacing w:after="0"/>
              <w:rPr>
                <w:sz w:val="20"/>
                <w:szCs w:val="20"/>
                <w:color w:val="auto"/>
              </w:rPr>
            </w:pPr>
            <w:r>
              <w:rPr>
                <w:rFonts w:ascii="Arial" w:cs="Arial" w:eastAsia="Arial" w:hAnsi="Arial"/>
                <w:sz w:val="18"/>
                <w:szCs w:val="18"/>
                <w:color w:val="auto"/>
              </w:rPr>
              <w:t>Consumer</w:t>
            </w:r>
          </w:p>
        </w:tc>
        <w:tc>
          <w:tcPr>
            <w:tcW w:w="4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00" w:type="dxa"/>
            <w:vAlign w:val="bottom"/>
          </w:tcPr>
          <w:p>
            <w:pPr>
              <w:ind w:left="260"/>
              <w:spacing w:after="0"/>
              <w:rPr>
                <w:sz w:val="20"/>
                <w:szCs w:val="20"/>
                <w:color w:val="auto"/>
              </w:rPr>
            </w:pPr>
            <w:r>
              <w:rPr>
                <w:rFonts w:ascii="Arial" w:cs="Arial" w:eastAsia="Arial" w:hAnsi="Arial"/>
                <w:sz w:val="18"/>
                <w:szCs w:val="18"/>
                <w:color w:val="auto"/>
              </w:rPr>
              <w:t>Carrying amount, net of fair value adjustment of $2,118</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Balance - December 31, 2019</w:t>
            </w:r>
          </w:p>
        </w:tc>
        <w:tc>
          <w:tcPr>
            <w:tcW w:w="42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60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Consumer RE</w:t>
            </w:r>
          </w:p>
        </w:tc>
        <w:tc>
          <w:tcPr>
            <w:tcW w:w="42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6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Consumer</w:t>
            </w:r>
          </w:p>
        </w:tc>
        <w:tc>
          <w:tcPr>
            <w:tcW w:w="4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Carrying amount, net of fair value adjustment of $62</w:t>
            </w:r>
          </w:p>
        </w:tc>
        <w:tc>
          <w:tcPr>
            <w:tcW w:w="420" w:type="dxa"/>
            <w:vAlign w:val="bottom"/>
            <w:tcBorders>
              <w:bottom w:val="single" w:sz="8" w:color="auto"/>
            </w:tcBorders>
            <w:shd w:val="clear" w:color="auto" w:fill="CFF0FC"/>
          </w:tcPr>
          <w:p>
            <w:pPr>
              <w:jc w:val="right"/>
              <w:ind w:right="232"/>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color w:val="auto"/>
              </w:rPr>
              <w:t>Balance - January 1, 2020</w:t>
            </w:r>
          </w:p>
        </w:tc>
        <w:tc>
          <w:tcPr>
            <w:tcW w:w="4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w:t>
            </w:r>
          </w:p>
        </w:tc>
        <w:tc>
          <w:tcPr>
            <w:tcW w:w="420" w:type="dxa"/>
            <w:vAlign w:val="bottom"/>
            <w:shd w:val="clear" w:color="auto" w:fill="CFF0FC"/>
          </w:tcPr>
          <w:p>
            <w:pPr>
              <w:jc w:val="right"/>
              <w:ind w:right="232"/>
              <w:spacing w:after="0"/>
              <w:rPr>
                <w:sz w:val="20"/>
                <w:szCs w:val="20"/>
                <w:color w:val="auto"/>
              </w:rPr>
            </w:pPr>
            <w:r>
              <w:rPr>
                <w:rFonts w:ascii="Arial" w:cs="Arial" w:eastAsia="Arial" w:hAnsi="Arial"/>
                <w:sz w:val="18"/>
                <w:szCs w:val="18"/>
                <w:color w:val="auto"/>
                <w:w w:val="79"/>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600" w:type="dxa"/>
            <w:vAlign w:val="bottom"/>
          </w:tcPr>
          <w:p>
            <w:pPr>
              <w:ind w:left="140"/>
              <w:spacing w:after="0"/>
              <w:rPr>
                <w:sz w:val="20"/>
                <w:szCs w:val="20"/>
                <w:color w:val="auto"/>
              </w:rPr>
            </w:pPr>
            <w:r>
              <w:rPr>
                <w:rFonts w:ascii="Arial" w:cs="Arial" w:eastAsia="Arial" w:hAnsi="Arial"/>
                <w:sz w:val="18"/>
                <w:szCs w:val="18"/>
                <w:color w:val="auto"/>
              </w:rPr>
              <w:t>Consumer RE</w:t>
            </w:r>
          </w:p>
        </w:tc>
        <w:tc>
          <w:tcPr>
            <w:tcW w:w="4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Consumer</w:t>
            </w:r>
          </w:p>
        </w:tc>
        <w:tc>
          <w:tcPr>
            <w:tcW w:w="420" w:type="dxa"/>
            <w:vAlign w:val="bottom"/>
            <w:tcBorders>
              <w:bottom w:val="single" w:sz="8" w:color="auto"/>
            </w:tcBorders>
            <w:shd w:val="clear" w:color="auto" w:fill="CFF0FC"/>
          </w:tcPr>
          <w:p>
            <w:pPr>
              <w:spacing w:after="0"/>
              <w:rPr>
                <w:sz w:val="19"/>
                <w:szCs w:val="19"/>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Carrying amount, net of fair value adjustment of $62</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86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600" w:type="dxa"/>
            <w:vAlign w:val="bottom"/>
          </w:tcPr>
          <w:p>
            <w:pPr>
              <w:spacing w:after="0"/>
              <w:rPr>
                <w:sz w:val="20"/>
                <w:szCs w:val="20"/>
                <w:color w:val="auto"/>
              </w:rPr>
            </w:pPr>
            <w:r>
              <w:rPr>
                <w:rFonts w:ascii="Arial" w:cs="Arial" w:eastAsia="Arial" w:hAnsi="Arial"/>
                <w:sz w:val="18"/>
                <w:szCs w:val="18"/>
                <w:color w:val="auto"/>
              </w:rPr>
              <w:t>Balance - December 31, 2020</w:t>
            </w: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w:t>
            </w:r>
          </w:p>
        </w:tc>
        <w:tc>
          <w:tcPr>
            <w:tcW w:w="420" w:type="dxa"/>
            <w:vAlign w:val="bottom"/>
            <w:shd w:val="clear" w:color="auto" w:fill="CFF0FC"/>
          </w:tcPr>
          <w:p>
            <w:pPr>
              <w:jc w:val="right"/>
              <w:ind w:right="232"/>
              <w:spacing w:after="0"/>
              <w:rPr>
                <w:sz w:val="20"/>
                <w:szCs w:val="20"/>
                <w:color w:val="auto"/>
              </w:rPr>
            </w:pPr>
            <w:r>
              <w:rPr>
                <w:rFonts w:ascii="Arial" w:cs="Arial" w:eastAsia="Arial" w:hAnsi="Arial"/>
                <w:sz w:val="18"/>
                <w:szCs w:val="18"/>
                <w:color w:val="auto"/>
                <w:w w:val="79"/>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600" w:type="dxa"/>
            <w:vAlign w:val="bottom"/>
          </w:tcPr>
          <w:p>
            <w:pPr>
              <w:ind w:left="140"/>
              <w:spacing w:after="0"/>
              <w:rPr>
                <w:sz w:val="20"/>
                <w:szCs w:val="20"/>
                <w:color w:val="auto"/>
              </w:rPr>
            </w:pPr>
            <w:r>
              <w:rPr>
                <w:rFonts w:ascii="Arial" w:cs="Arial" w:eastAsia="Arial" w:hAnsi="Arial"/>
                <w:sz w:val="18"/>
                <w:szCs w:val="18"/>
                <w:color w:val="auto"/>
              </w:rPr>
              <w:t>Consumer RE</w:t>
            </w:r>
          </w:p>
        </w:tc>
        <w:tc>
          <w:tcPr>
            <w:tcW w:w="4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Consumer</w:t>
            </w:r>
          </w:p>
        </w:tc>
        <w:tc>
          <w:tcPr>
            <w:tcW w:w="420" w:type="dxa"/>
            <w:vAlign w:val="bottom"/>
            <w:tcBorders>
              <w:bottom w:val="single" w:sz="8" w:color="auto"/>
            </w:tcBorders>
            <w:shd w:val="clear" w:color="auto" w:fill="CFF0FC"/>
          </w:tcPr>
          <w:p>
            <w:pPr>
              <w:spacing w:after="0"/>
              <w:rPr>
                <w:sz w:val="19"/>
                <w:szCs w:val="19"/>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00" w:type="dxa"/>
            <w:vAlign w:val="bottom"/>
          </w:tcPr>
          <w:p>
            <w:pPr>
              <w:ind w:left="260"/>
              <w:spacing w:after="0"/>
              <w:rPr>
                <w:sz w:val="20"/>
                <w:szCs w:val="20"/>
                <w:color w:val="auto"/>
              </w:rPr>
            </w:pPr>
            <w:r>
              <w:rPr>
                <w:rFonts w:ascii="Arial" w:cs="Arial" w:eastAsia="Arial" w:hAnsi="Arial"/>
                <w:sz w:val="18"/>
                <w:szCs w:val="18"/>
                <w:color w:val="auto"/>
              </w:rPr>
              <w:t>Carrying amount, net of fair value adjustment of $0</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Loans acquired during 2019 for which it was probable at acquisition that all contractually required payments would not be collected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ind w:left="160"/>
              <w:spacing w:after="0"/>
              <w:rPr>
                <w:sz w:val="20"/>
                <w:szCs w:val="20"/>
                <w:color w:val="auto"/>
              </w:rPr>
            </w:pPr>
            <w:r>
              <w:rPr>
                <w:rFonts w:ascii="Arial" w:cs="Arial" w:eastAsia="Arial" w:hAnsi="Arial"/>
                <w:sz w:val="18"/>
                <w:szCs w:val="18"/>
                <w:color w:val="auto"/>
              </w:rPr>
              <w:t>(In Thousands)</w:t>
            </w:r>
          </w:p>
        </w:tc>
      </w:tr>
      <w:tr>
        <w:trPr>
          <w:trHeight w:val="217"/>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Contractually required payments receivable at acquisition</w:t>
            </w:r>
          </w:p>
        </w:tc>
        <w:tc>
          <w:tcPr>
            <w:tcW w:w="2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4"/>
        </w:trPr>
        <w:tc>
          <w:tcPr>
            <w:tcW w:w="926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19"/>
                <w:szCs w:val="19"/>
                <w:color w:val="auto"/>
              </w:rPr>
            </w:pPr>
          </w:p>
        </w:tc>
      </w:tr>
      <w:tr>
        <w:trPr>
          <w:trHeight w:val="224"/>
        </w:trPr>
        <w:tc>
          <w:tcPr>
            <w:tcW w:w="9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Consumer RE</w:t>
            </w: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FF0FC"/>
          </w:tcPr>
          <w:p>
            <w:pPr>
              <w:spacing w:after="0"/>
              <w:rPr>
                <w:sz w:val="19"/>
                <w:szCs w:val="19"/>
                <w:color w:val="auto"/>
              </w:rPr>
            </w:pPr>
          </w:p>
        </w:tc>
      </w:tr>
      <w:tr>
        <w:trPr>
          <w:trHeight w:val="224"/>
        </w:trPr>
        <w:tc>
          <w:tcPr>
            <w:tcW w:w="92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FF0FC"/>
            </w:tcBorders>
          </w:tcPr>
          <w:p>
            <w:pPr>
              <w:spacing w:after="0"/>
              <w:rPr>
                <w:sz w:val="19"/>
                <w:szCs w:val="19"/>
                <w:color w:val="auto"/>
              </w:rPr>
            </w:pPr>
          </w:p>
        </w:tc>
      </w:tr>
      <w:tr>
        <w:trPr>
          <w:trHeight w:val="217"/>
        </w:trPr>
        <w:tc>
          <w:tcPr>
            <w:tcW w:w="92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required payments receivable</w:t>
            </w:r>
          </w:p>
        </w:tc>
        <w:tc>
          <w:tcPr>
            <w:tcW w:w="2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9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 flows expected to be collected at acquisition</w:t>
            </w: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FF0FC"/>
          </w:tcPr>
          <w:p>
            <w:pPr>
              <w:spacing w:after="0"/>
              <w:rPr>
                <w:sz w:val="19"/>
                <w:szCs w:val="19"/>
                <w:color w:val="auto"/>
              </w:rPr>
            </w:pPr>
          </w:p>
        </w:tc>
      </w:tr>
      <w:tr>
        <w:trPr>
          <w:trHeight w:val="224"/>
        </w:trPr>
        <w:tc>
          <w:tcPr>
            <w:tcW w:w="9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Basis in acquired loans at acquisition</w:t>
            </w: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4,396</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75" w:lineRule="exact"/>
        <w:rPr>
          <w:sz w:val="20"/>
          <w:szCs w:val="20"/>
          <w:color w:val="auto"/>
        </w:rPr>
      </w:pPr>
    </w:p>
    <w:p>
      <w:pPr>
        <w:ind w:left="800"/>
        <w:spacing w:after="0" w:line="262" w:lineRule="auto"/>
        <w:rPr>
          <w:sz w:val="20"/>
          <w:szCs w:val="20"/>
          <w:color w:val="auto"/>
        </w:rPr>
      </w:pPr>
      <w:r>
        <w:rPr>
          <w:rFonts w:ascii="Arial" w:cs="Arial" w:eastAsia="Arial" w:hAnsi="Arial"/>
          <w:sz w:val="18"/>
          <w:szCs w:val="18"/>
          <w:color w:val="auto"/>
        </w:rPr>
        <w:t>During the second quarter 2019, two commercial purchased credit-impaired loans were paid off in full after the customer was able to secure financing at another financial institution. The associated discount originally recognized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 &amp; Asset Purchase (Continued)</w:t>
      </w:r>
    </w:p>
    <w:p>
      <w:pPr>
        <w:spacing w:after="0" w:line="374"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at acquisition of $1.985 million was included in loan interest income in the Company’s consolidated statement of income for the year ended December 31, 2019. The balance of the fair value adjustment for loans acquired and accounted for under this guidance (ASC 310-30) was $0 at December 31, 2020, $62 thousand at December 31, 2019, and $2.118 million on January 1,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60" w:type="dxa"/>
            <w:vAlign w:val="bottom"/>
          </w:tcPr>
          <w:p>
            <w:pPr>
              <w:ind w:left="800"/>
              <w:spacing w:after="0"/>
              <w:rPr>
                <w:sz w:val="20"/>
                <w:szCs w:val="20"/>
                <w:color w:val="auto"/>
              </w:rPr>
            </w:pPr>
            <w:r>
              <w:rPr>
                <w:rFonts w:ascii="Arial" w:cs="Arial" w:eastAsia="Arial" w:hAnsi="Arial"/>
                <w:sz w:val="18"/>
                <w:szCs w:val="18"/>
                <w:color w:val="auto"/>
                <w:w w:val="96"/>
              </w:rPr>
              <w:t>Changes in accretable yield, or income expected to be collected, are as follows:</w:t>
            </w: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6960" w:type="dxa"/>
            <w:vAlign w:val="bottom"/>
          </w:tcPr>
          <w:p>
            <w:pPr>
              <w:spacing w:after="0"/>
              <w:rPr>
                <w:sz w:val="19"/>
                <w:szCs w:val="19"/>
                <w:color w:val="auto"/>
              </w:rPr>
            </w:pPr>
          </w:p>
        </w:tc>
        <w:tc>
          <w:tcPr>
            <w:tcW w:w="158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17"/>
        </w:trPr>
        <w:tc>
          <w:tcPr>
            <w:tcW w:w="69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(In Thousands)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(In Thousands)</w:t>
            </w:r>
          </w:p>
        </w:tc>
      </w:tr>
      <w:tr>
        <w:trPr>
          <w:trHeight w:val="217"/>
        </w:trPr>
        <w:tc>
          <w:tcPr>
            <w:tcW w:w="6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580" w:type="dxa"/>
            <w:vAlign w:val="bottom"/>
            <w:tcBorders>
              <w:top w:val="single" w:sz="8" w:color="auto"/>
            </w:tcBorders>
            <w:shd w:val="clear" w:color="auto" w:fill="CFF0FC"/>
          </w:tcPr>
          <w:p>
            <w:pPr>
              <w:jc w:val="right"/>
              <w:ind w:right="141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2,021</w:t>
            </w: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Borders>
              <w:top w:val="single" w:sz="8" w:color="CFF0FC"/>
            </w:tcBorders>
            <w:shd w:val="clear" w:color="auto" w:fill="CFF0FC"/>
          </w:tcPr>
          <w:p>
            <w:pPr>
              <w:spacing w:after="0"/>
              <w:rPr>
                <w:sz w:val="18"/>
                <w:szCs w:val="18"/>
                <w:color w:val="auto"/>
              </w:rPr>
            </w:pPr>
          </w:p>
        </w:tc>
      </w:tr>
      <w:tr>
        <w:trPr>
          <w:trHeight w:val="224"/>
        </w:trPr>
        <w:tc>
          <w:tcPr>
            <w:tcW w:w="696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5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24"/>
        </w:trPr>
        <w:tc>
          <w:tcPr>
            <w:tcW w:w="6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Accretion</w:t>
            </w:r>
          </w:p>
        </w:tc>
        <w:tc>
          <w:tcPr>
            <w:tcW w:w="15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(427)</w:t>
            </w:r>
          </w:p>
        </w:tc>
        <w:tc>
          <w:tcPr>
            <w:tcW w:w="2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(2,426)</w:t>
            </w:r>
          </w:p>
        </w:tc>
      </w:tr>
      <w:tr>
        <w:trPr>
          <w:trHeight w:val="224"/>
        </w:trPr>
        <w:tc>
          <w:tcPr>
            <w:tcW w:w="6960" w:type="dxa"/>
            <w:vAlign w:val="bottom"/>
          </w:tcPr>
          <w:p>
            <w:pPr>
              <w:ind w:left="140"/>
              <w:spacing w:after="0"/>
              <w:rPr>
                <w:sz w:val="20"/>
                <w:szCs w:val="20"/>
                <w:color w:val="auto"/>
              </w:rPr>
            </w:pPr>
            <w:r>
              <w:rPr>
                <w:rFonts w:ascii="Arial" w:cs="Arial" w:eastAsia="Arial" w:hAnsi="Arial"/>
                <w:sz w:val="18"/>
                <w:szCs w:val="18"/>
                <w:color w:val="auto"/>
              </w:rPr>
              <w:t>Reclassification from nonaccretable difference</w:t>
            </w:r>
          </w:p>
        </w:tc>
        <w:tc>
          <w:tcPr>
            <w:tcW w:w="15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24"/>
        </w:trPr>
        <w:tc>
          <w:tcPr>
            <w:tcW w:w="6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Disposals</w:t>
            </w:r>
          </w:p>
        </w:tc>
        <w:tc>
          <w:tcPr>
            <w:tcW w:w="15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w:t>
            </w:r>
          </w:p>
        </w:tc>
      </w:tr>
      <w:tr>
        <w:trPr>
          <w:trHeight w:val="217"/>
        </w:trPr>
        <w:tc>
          <w:tcPr>
            <w:tcW w:w="6960" w:type="dxa"/>
            <w:vAlign w:val="bottom"/>
          </w:tcPr>
          <w:p>
            <w:pPr>
              <w:spacing w:after="0"/>
              <w:rPr>
                <w:sz w:val="20"/>
                <w:szCs w:val="20"/>
                <w:color w:val="auto"/>
              </w:rPr>
            </w:pPr>
            <w:r>
              <w:rPr>
                <w:rFonts w:ascii="Arial" w:cs="Arial" w:eastAsia="Arial" w:hAnsi="Arial"/>
                <w:sz w:val="18"/>
                <w:szCs w:val="18"/>
                <w:color w:val="auto"/>
              </w:rPr>
              <w:t>Ending Balance</w:t>
            </w:r>
          </w:p>
        </w:tc>
        <w:tc>
          <w:tcPr>
            <w:tcW w:w="1580" w:type="dxa"/>
            <w:vAlign w:val="bottom"/>
            <w:tcBorders>
              <w:top w:val="single" w:sz="8" w:color="auto"/>
              <w:bottom w:val="single" w:sz="8" w:color="auto"/>
            </w:tcBorders>
          </w:tcPr>
          <w:p>
            <w:pPr>
              <w:jc w:val="right"/>
              <w:ind w:right="141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1,653</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The results of operations of Bank of Geneva have been included in the Company’s consolidated financial statements since the acquisition date of January 1, 2019. The following schedule includes pro-forma results for the years ended December 31, 2019 and 2018 as if the Bank of Geneva acquisition had occurred as of the beginning of the comparable prior reporting period.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60" w:type="dxa"/>
            <w:vAlign w:val="bottom"/>
          </w:tcPr>
          <w:p>
            <w:pPr>
              <w:spacing w:after="0"/>
              <w:rPr>
                <w:sz w:val="19"/>
                <w:szCs w:val="19"/>
                <w:color w:val="auto"/>
              </w:rPr>
            </w:pPr>
          </w:p>
        </w:tc>
        <w:tc>
          <w:tcPr>
            <w:tcW w:w="2840" w:type="dxa"/>
            <w:vAlign w:val="bottom"/>
            <w:gridSpan w:val="2"/>
          </w:tcPr>
          <w:p>
            <w:pPr>
              <w:jc w:val="right"/>
              <w:ind w:right="52"/>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652"/>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Summary of Operations</w:t>
            </w:r>
          </w:p>
        </w:tc>
        <w:tc>
          <w:tcPr>
            <w:tcW w:w="162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60" w:type="dxa"/>
            <w:vAlign w:val="bottom"/>
          </w:tcPr>
          <w:p>
            <w:pPr>
              <w:spacing w:after="0"/>
              <w:rPr>
                <w:sz w:val="20"/>
                <w:szCs w:val="20"/>
                <w:color w:val="auto"/>
              </w:rPr>
            </w:pPr>
            <w:r>
              <w:rPr>
                <w:rFonts w:ascii="Arial" w:cs="Arial" w:eastAsia="Arial" w:hAnsi="Arial"/>
                <w:sz w:val="18"/>
                <w:szCs w:val="18"/>
                <w:color w:val="auto"/>
              </w:rPr>
              <w:t>Net Interest Income - Before Provision for Loan Losses</w:t>
            </w:r>
          </w:p>
        </w:tc>
        <w:tc>
          <w:tcPr>
            <w:tcW w:w="2840" w:type="dxa"/>
            <w:vAlign w:val="bottom"/>
            <w:gridSpan w:val="2"/>
          </w:tcPr>
          <w:p>
            <w:pPr>
              <w:jc w:val="right"/>
              <w:ind w:right="103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53,547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54,234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Loan Losses</w:t>
            </w:r>
          </w:p>
        </w:tc>
        <w:tc>
          <w:tcPr>
            <w:tcW w:w="16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60" w:type="dxa"/>
            <w:vAlign w:val="bottom"/>
          </w:tcPr>
          <w:p>
            <w:pPr>
              <w:spacing w:after="0"/>
              <w:rPr>
                <w:sz w:val="20"/>
                <w:szCs w:val="20"/>
                <w:color w:val="auto"/>
              </w:rPr>
            </w:pPr>
            <w:r>
              <w:rPr>
                <w:rFonts w:ascii="Arial" w:cs="Arial" w:eastAsia="Arial" w:hAnsi="Arial"/>
                <w:sz w:val="18"/>
                <w:szCs w:val="18"/>
                <w:color w:val="auto"/>
              </w:rPr>
              <w:t>Net Interest Income After Provision for Loan Losses</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52,409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53,655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Noninterest Income</w:t>
            </w:r>
          </w:p>
        </w:tc>
        <w:tc>
          <w:tcPr>
            <w:tcW w:w="16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Noninterest Expense</w:t>
            </w:r>
          </w:p>
        </w:tc>
        <w:tc>
          <w:tcPr>
            <w:tcW w:w="16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40,314</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6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Taxes</w:t>
            </w:r>
          </w:p>
        </w:tc>
        <w:tc>
          <w:tcPr>
            <w:tcW w:w="16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6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103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19,431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63"/>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20,358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Basic and Diluted Earnings Per Share</w:t>
            </w:r>
          </w:p>
        </w:tc>
        <w:tc>
          <w:tcPr>
            <w:tcW w:w="16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vMerge w:val="continue"/>
          </w:tcPr>
          <w:p>
            <w:pPr>
              <w:spacing w:after="0"/>
              <w:rPr>
                <w:sz w:val="17"/>
                <w:szCs w:val="17"/>
                <w:color w:val="auto"/>
              </w:rPr>
            </w:pPr>
          </w:p>
        </w:tc>
        <w:tc>
          <w:tcPr>
            <w:tcW w:w="2840" w:type="dxa"/>
            <w:vAlign w:val="bottom"/>
            <w:gridSpan w:val="2"/>
          </w:tcPr>
          <w:p>
            <w:pPr>
              <w:jc w:val="right"/>
              <w:ind w:right="1032"/>
              <w:spacing w:after="0" w:line="203"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1.75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00"/>
        <w:spacing w:after="0" w:line="300" w:lineRule="auto"/>
        <w:rPr>
          <w:sz w:val="20"/>
          <w:szCs w:val="20"/>
          <w:color w:val="auto"/>
        </w:rPr>
      </w:pPr>
      <w:r>
        <w:rPr>
          <w:rFonts w:ascii="Arial" w:cs="Arial" w:eastAsia="Arial" w:hAnsi="Arial"/>
          <w:sz w:val="16"/>
          <w:szCs w:val="16"/>
          <w:color w:val="auto"/>
        </w:rPr>
        <w:t>The pro-forma information includes adjustments for interest income on loans, amortization of intangibles arising from the transaction, interest expense on deposits acquired, premises expense for the branches acquired and the related income tax effects. The pro-forma information for the year ended December 31, 2019 includes approximately $7.4 million, net of tax, of operating revenue from Bank of Geneva since acquisition.</w:t>
      </w:r>
    </w:p>
    <w:p>
      <w:pPr>
        <w:spacing w:after="0" w:line="153" w:lineRule="exact"/>
        <w:rPr>
          <w:sz w:val="20"/>
          <w:szCs w:val="20"/>
          <w:color w:val="auto"/>
        </w:rPr>
      </w:pPr>
    </w:p>
    <w:p>
      <w:pPr>
        <w:jc w:val="both"/>
        <w:ind w:left="800"/>
        <w:spacing w:after="0" w:line="325" w:lineRule="auto"/>
        <w:rPr>
          <w:sz w:val="20"/>
          <w:szCs w:val="20"/>
          <w:color w:val="auto"/>
        </w:rPr>
      </w:pPr>
      <w:r>
        <w:rPr>
          <w:rFonts w:ascii="Arial" w:cs="Arial" w:eastAsia="Arial" w:hAnsi="Arial"/>
          <w:sz w:val="16"/>
          <w:szCs w:val="16"/>
          <w:color w:val="auto"/>
        </w:rPr>
        <w:t>The pro-forma financial information is presented for informational purposes only and is not indicative of the results of operations that actually would have been achieved had the acquisition been consummated as of that time, nor is it intended to be a projection of future results.</w:t>
      </w:r>
    </w:p>
    <w:p>
      <w:pPr>
        <w:spacing w:after="0" w:line="134"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The Company purchased an office on December 13, 2013 in Custar, Ohio. Core deposit intangible assets of $1.17 million were recognized and were amortized over its remaining economic useful life of the deposits of 7 years on a straight line basis.</w:t>
      </w:r>
    </w:p>
    <w:p>
      <w:pPr>
        <w:spacing w:after="0" w:line="180"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As mentioned previously, the acquisition of Bank of Geneva resulted in the recognition of $3.9 million in core deposit intangible assets which are being amortized over its remaining economic useful life of 7 years on a straight line basis. Core deposit intangible is included in other assets on the consolidated balance sheets.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 &amp; Asset Purchase (Continued)</w:t>
      </w:r>
    </w:p>
    <w:p>
      <w:pPr>
        <w:spacing w:after="0" w:line="30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amortization expense for the years ended December 31, 2020, 2019 and 2018 was $720, $727, and $167 thousand, respectively.</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Future amortization expense of core deposit intangible assets is as follows:</w:t>
      </w:r>
    </w:p>
    <w:p>
      <w:pPr>
        <w:spacing w:after="0" w:line="228" w:lineRule="exact"/>
        <w:rPr>
          <w:sz w:val="20"/>
          <w:szCs w:val="20"/>
          <w:color w:val="auto"/>
        </w:rPr>
      </w:pPr>
    </w:p>
    <w:tbl>
      <w:tblPr>
        <w:tblLayout w:type="fixed"/>
        <w:tblInd w:w="2260" w:type="dxa"/>
        <w:tblCellMar>
          <w:top w:w="0" w:type="dxa"/>
          <w:left w:w="0" w:type="dxa"/>
          <w:bottom w:w="0" w:type="dxa"/>
          <w:right w:w="0" w:type="dxa"/>
        </w:tblCellMar>
      </w:tblPr>
      <w:tr>
        <w:trPr>
          <w:trHeight w:val="223"/>
        </w:trPr>
        <w:tc>
          <w:tcPr>
            <w:tcW w:w="5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82"/>
              </w:rPr>
              <w:t>Geneva</w:t>
            </w:r>
          </w:p>
        </w:tc>
        <w:tc>
          <w:tcPr>
            <w:tcW w:w="60" w:type="dxa"/>
            <w:vAlign w:val="bottom"/>
          </w:tcPr>
          <w:p>
            <w:pPr>
              <w:spacing w:after="0"/>
              <w:rPr>
                <w:sz w:val="19"/>
                <w:szCs w:val="19"/>
                <w:color w:val="auto"/>
              </w:rPr>
            </w:pPr>
          </w:p>
        </w:tc>
      </w:tr>
      <w:tr>
        <w:trPr>
          <w:trHeight w:val="217"/>
        </w:trPr>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(In thousands)</w:t>
            </w:r>
          </w:p>
        </w:tc>
      </w:tr>
      <w:tr>
        <w:trPr>
          <w:trHeight w:val="224"/>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60" w:type="dxa"/>
            <w:vAlign w:val="bottom"/>
            <w:shd w:val="clear" w:color="auto" w:fill="CFF0FC"/>
          </w:tcPr>
          <w:p>
            <w:pPr>
              <w:spacing w:after="0"/>
              <w:rPr>
                <w:sz w:val="19"/>
                <w:szCs w:val="19"/>
                <w:color w:val="auto"/>
              </w:rPr>
            </w:pPr>
          </w:p>
        </w:tc>
      </w:tr>
      <w:tr>
        <w:trPr>
          <w:trHeight w:val="224"/>
        </w:trPr>
        <w:tc>
          <w:tcPr>
            <w:tcW w:w="514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560</w:t>
            </w:r>
          </w:p>
        </w:tc>
        <w:tc>
          <w:tcPr>
            <w:tcW w:w="60" w:type="dxa"/>
            <w:vAlign w:val="bottom"/>
          </w:tcPr>
          <w:p>
            <w:pPr>
              <w:spacing w:after="0"/>
              <w:rPr>
                <w:sz w:val="19"/>
                <w:szCs w:val="19"/>
                <w:color w:val="auto"/>
              </w:rPr>
            </w:pPr>
          </w:p>
        </w:tc>
      </w:tr>
      <w:tr>
        <w:trPr>
          <w:trHeight w:val="224"/>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60" w:type="dxa"/>
            <w:vAlign w:val="bottom"/>
            <w:shd w:val="clear" w:color="auto" w:fill="CFF0FC"/>
          </w:tcPr>
          <w:p>
            <w:pPr>
              <w:spacing w:after="0"/>
              <w:rPr>
                <w:sz w:val="19"/>
                <w:szCs w:val="19"/>
                <w:color w:val="auto"/>
              </w:rPr>
            </w:pPr>
          </w:p>
        </w:tc>
      </w:tr>
      <w:tr>
        <w:trPr>
          <w:trHeight w:val="224"/>
        </w:trPr>
        <w:tc>
          <w:tcPr>
            <w:tcW w:w="514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560</w:t>
            </w:r>
          </w:p>
        </w:tc>
        <w:tc>
          <w:tcPr>
            <w:tcW w:w="60" w:type="dxa"/>
            <w:vAlign w:val="bottom"/>
          </w:tcPr>
          <w:p>
            <w:pPr>
              <w:spacing w:after="0"/>
              <w:rPr>
                <w:sz w:val="19"/>
                <w:szCs w:val="19"/>
                <w:color w:val="auto"/>
              </w:rPr>
            </w:pPr>
          </w:p>
        </w:tc>
      </w:tr>
      <w:tr>
        <w:trPr>
          <w:trHeight w:val="224"/>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60" w:type="dxa"/>
            <w:vAlign w:val="bottom"/>
            <w:shd w:val="clear" w:color="auto" w:fill="CFF0FC"/>
          </w:tcPr>
          <w:p>
            <w:pPr>
              <w:spacing w:after="0"/>
              <w:rPr>
                <w:sz w:val="19"/>
                <w:szCs w:val="19"/>
                <w:color w:val="auto"/>
              </w:rPr>
            </w:pPr>
          </w:p>
        </w:tc>
      </w:tr>
      <w:tr>
        <w:trPr>
          <w:trHeight w:val="217"/>
        </w:trPr>
        <w:tc>
          <w:tcPr>
            <w:tcW w:w="51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w:t>
            </w:r>
          </w:p>
        </w:tc>
        <w:tc>
          <w:tcPr>
            <w:tcW w:w="60" w:type="dxa"/>
            <w:vAlign w:val="bottom"/>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[Remainder of this page intentionally left blank.]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 &amp; Asset Purchase (Continued)</w:t>
      </w:r>
    </w:p>
    <w:p>
      <w:pPr>
        <w:spacing w:after="0" w:line="203"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On November 16, 2020, FM Investment Services, a division of the Bank, purchased the assets and clients of Adams County Financial Resources (ACFR), a full-service registered investment advisory firm located in Geneva, Indiana.</w:t>
      </w:r>
    </w:p>
    <w:p>
      <w:pPr>
        <w:spacing w:after="0" w:line="180" w:lineRule="exact"/>
        <w:rPr>
          <w:sz w:val="20"/>
          <w:szCs w:val="20"/>
          <w:color w:val="auto"/>
        </w:rPr>
      </w:pPr>
    </w:p>
    <w:p>
      <w:pPr>
        <w:jc w:val="both"/>
        <w:ind w:left="800"/>
        <w:spacing w:after="0" w:line="325" w:lineRule="auto"/>
        <w:rPr>
          <w:sz w:val="20"/>
          <w:szCs w:val="20"/>
          <w:color w:val="auto"/>
        </w:rPr>
      </w:pPr>
      <w:r>
        <w:rPr>
          <w:rFonts w:ascii="Arial" w:cs="Arial" w:eastAsia="Arial" w:hAnsi="Arial"/>
          <w:sz w:val="16"/>
          <w:szCs w:val="16"/>
          <w:color w:val="auto"/>
        </w:rPr>
        <w:t>ACFR was founded in 1994 by R. Lee Flueckiger and provides clients and their families with financial confidence through personalized investment planning and services. As of November 30, 2020, ACFR had approximately $83 million of assets under management and over 450 clients.</w:t>
      </w:r>
    </w:p>
    <w:p>
      <w:pPr>
        <w:spacing w:after="0" w:line="134"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Total consideration for the purchase was $825 thousand which consisted of 40,049 shares of stock. As a result of this purchase, the Company expects an increase to noninterest income of approximately $500 thousand in 2021.</w:t>
      </w:r>
    </w:p>
    <w:p>
      <w:pPr>
        <w:spacing w:after="0" w:line="180"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Under the acquisition method of accounting, the total purchase is allocated to net tangible and intangible assets based on their current estimated fair values on the date of acquisition. Of the total purchase price of $825 thousand, $800 thousand has been allocated to customer list intangible, included in other assets, to be amortized over 6.5 years on a straight line basis.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summarizes the consideration paid for ACFR and the amounts of the assets acquired: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60" w:type="dxa"/>
            <w:vAlign w:val="bottom"/>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gridSpan w:val="2"/>
          </w:tcPr>
          <w:p>
            <w:pPr>
              <w:ind w:left="26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7"/>
        </w:trPr>
        <w:tc>
          <w:tcPr>
            <w:tcW w:w="8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Common Shares (40,049 shares)</w:t>
            </w:r>
          </w:p>
        </w:tc>
        <w:tc>
          <w:tcPr>
            <w:tcW w:w="340" w:type="dxa"/>
            <w:vAlign w:val="bottom"/>
            <w:tcBorders>
              <w:top w:val="single" w:sz="8" w:color="auto"/>
              <w:bottom w:val="single" w:sz="8" w:color="auto"/>
            </w:tcBorders>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8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60" w:type="dxa"/>
            <w:vAlign w:val="bottom"/>
          </w:tcPr>
          <w:p>
            <w:pPr>
              <w:ind w:left="140"/>
              <w:spacing w:after="0"/>
              <w:rPr>
                <w:sz w:val="20"/>
                <w:szCs w:val="20"/>
                <w:color w:val="auto"/>
              </w:rPr>
            </w:pPr>
            <w:r>
              <w:rPr>
                <w:rFonts w:ascii="Arial" w:cs="Arial" w:eastAsia="Arial" w:hAnsi="Arial"/>
                <w:sz w:val="18"/>
                <w:szCs w:val="18"/>
                <w:color w:val="auto"/>
              </w:rPr>
              <w:t>Premises and equipment</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Customer list intangible</w:t>
            </w:r>
          </w:p>
        </w:tc>
        <w:tc>
          <w:tcPr>
            <w:tcW w:w="34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860" w:type="dxa"/>
            <w:vAlign w:val="bottom"/>
          </w:tcPr>
          <w:p>
            <w:pPr>
              <w:spacing w:after="0"/>
              <w:rPr>
                <w:sz w:val="20"/>
                <w:szCs w:val="20"/>
                <w:color w:val="auto"/>
              </w:rPr>
            </w:pPr>
            <w:r>
              <w:rPr>
                <w:rFonts w:ascii="Arial" w:cs="Arial" w:eastAsia="Arial" w:hAnsi="Arial"/>
                <w:sz w:val="18"/>
                <w:szCs w:val="18"/>
                <w:b w:val="1"/>
                <w:bCs w:val="1"/>
                <w:color w:val="auto"/>
              </w:rPr>
              <w:t>Total Assets Purchased</w:t>
            </w: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customer list intangible amortization expense for 2020 was $16 thousand. Future amortization expense of customer list intangible is as follows:</w:t>
      </w:r>
    </w:p>
    <w:p>
      <w:pPr>
        <w:spacing w:after="0" w:line="40"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(In Thousands)</w:t>
      </w:r>
    </w:p>
    <w:p>
      <w:pPr>
        <w:spacing w:after="0" w:line="33"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88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FF0FC"/>
          </w:tcPr>
          <w:p>
            <w:pPr>
              <w:spacing w:after="0"/>
              <w:rPr>
                <w:sz w:val="18"/>
                <w:szCs w:val="18"/>
                <w:color w:val="auto"/>
              </w:rPr>
            </w:pPr>
          </w:p>
        </w:tc>
      </w:tr>
      <w:tr>
        <w:trPr>
          <w:trHeight w:val="224"/>
        </w:trPr>
        <w:tc>
          <w:tcPr>
            <w:tcW w:w="2940" w:type="dxa"/>
            <w:vAlign w:val="bottom"/>
          </w:tcPr>
          <w:p>
            <w:pPr>
              <w:spacing w:after="0"/>
              <w:rPr>
                <w:sz w:val="20"/>
                <w:szCs w:val="20"/>
                <w:color w:val="auto"/>
              </w:rPr>
            </w:pPr>
            <w:r>
              <w:rPr>
                <w:rFonts w:ascii="Arial" w:cs="Arial" w:eastAsia="Arial" w:hAnsi="Arial"/>
                <w:sz w:val="18"/>
                <w:szCs w:val="18"/>
                <w:color w:val="auto"/>
              </w:rPr>
              <w:t>2022</w:t>
            </w:r>
          </w:p>
        </w:tc>
        <w:tc>
          <w:tcPr>
            <w:tcW w:w="2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r>
      <w:tr>
        <w:trPr>
          <w:trHeight w:val="224"/>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FF0FC"/>
          </w:tcPr>
          <w:p>
            <w:pPr>
              <w:spacing w:after="0"/>
              <w:rPr>
                <w:sz w:val="19"/>
                <w:szCs w:val="19"/>
                <w:color w:val="auto"/>
              </w:rPr>
            </w:pPr>
          </w:p>
        </w:tc>
      </w:tr>
      <w:tr>
        <w:trPr>
          <w:trHeight w:val="224"/>
        </w:trPr>
        <w:tc>
          <w:tcPr>
            <w:tcW w:w="2940" w:type="dxa"/>
            <w:vAlign w:val="bottom"/>
          </w:tcPr>
          <w:p>
            <w:pPr>
              <w:spacing w:after="0"/>
              <w:rPr>
                <w:sz w:val="20"/>
                <w:szCs w:val="20"/>
                <w:color w:val="auto"/>
              </w:rPr>
            </w:pPr>
            <w:r>
              <w:rPr>
                <w:rFonts w:ascii="Arial" w:cs="Arial" w:eastAsia="Arial" w:hAnsi="Arial"/>
                <w:sz w:val="18"/>
                <w:szCs w:val="18"/>
                <w:color w:val="auto"/>
              </w:rPr>
              <w:t>2024</w:t>
            </w:r>
          </w:p>
        </w:tc>
        <w:tc>
          <w:tcPr>
            <w:tcW w:w="2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r>
      <w:tr>
        <w:trPr>
          <w:trHeight w:val="224"/>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FF0FC"/>
          </w:tcPr>
          <w:p>
            <w:pPr>
              <w:spacing w:after="0"/>
              <w:rPr>
                <w:sz w:val="19"/>
                <w:szCs w:val="19"/>
                <w:color w:val="auto"/>
              </w:rPr>
            </w:pPr>
          </w:p>
        </w:tc>
      </w:tr>
      <w:tr>
        <w:trPr>
          <w:trHeight w:val="224"/>
        </w:trPr>
        <w:tc>
          <w:tcPr>
            <w:tcW w:w="2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2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60" w:type="dxa"/>
            <w:vAlign w:val="bottom"/>
            <w:tcBorders>
              <w:bottom w:val="single" w:sz="8" w:color="CFF0FC"/>
            </w:tcBorders>
          </w:tcPr>
          <w:p>
            <w:pPr>
              <w:spacing w:after="0"/>
              <w:rPr>
                <w:sz w:val="19"/>
                <w:szCs w:val="19"/>
                <w:color w:val="auto"/>
              </w:rPr>
            </w:pPr>
          </w:p>
        </w:tc>
      </w:tr>
      <w:tr>
        <w:trPr>
          <w:trHeight w:val="217"/>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88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60" w:type="dxa"/>
            <w:vAlign w:val="bottom"/>
            <w:shd w:val="clear" w:color="auto" w:fill="CFF0FC"/>
          </w:tcPr>
          <w:p>
            <w:pPr>
              <w:spacing w:after="0"/>
              <w:rPr>
                <w:sz w:val="18"/>
                <w:szCs w:val="18"/>
                <w:color w:val="auto"/>
              </w:rPr>
            </w:pPr>
          </w:p>
        </w:tc>
      </w:tr>
      <w:tr>
        <w:trPr>
          <w:trHeight w:val="20"/>
        </w:trPr>
        <w:tc>
          <w:tcPr>
            <w:tcW w:w="2940" w:type="dxa"/>
            <w:vAlign w:val="bottom"/>
            <w:tcBorders>
              <w:top w:val="single" w:sz="8" w:color="CFF0FC"/>
            </w:tcBorders>
          </w:tcPr>
          <w:p>
            <w:pPr>
              <w:spacing w:after="0" w:line="20" w:lineRule="exact"/>
              <w:rPr>
                <w:sz w:val="1"/>
                <w:szCs w:val="1"/>
                <w:color w:val="auto"/>
              </w:rPr>
            </w:pPr>
          </w:p>
        </w:tc>
        <w:tc>
          <w:tcPr>
            <w:tcW w:w="2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3549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securities, with gross unrealized gains and losses, follows: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5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8"/>
                <w:szCs w:val="18"/>
                <w:color w:val="auto"/>
                <w:w w:val="89"/>
              </w:rPr>
              <w:t>2020</w:t>
            </w: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3"/>
              </w:rPr>
              <w:t>Gross</w:t>
            </w:r>
          </w:p>
        </w:tc>
        <w:tc>
          <w:tcPr>
            <w:tcW w:w="8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3"/>
              </w:rPr>
              <w:t>Gross</w:t>
            </w:r>
          </w:p>
        </w:tc>
        <w:tc>
          <w:tcPr>
            <w:tcW w:w="16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24"/>
        </w:trPr>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Amortized</w:t>
            </w:r>
          </w:p>
        </w:tc>
        <w:tc>
          <w:tcPr>
            <w:tcW w:w="10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Unrealized</w:t>
            </w:r>
          </w:p>
        </w:tc>
        <w:tc>
          <w:tcPr>
            <w:tcW w:w="8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Unrealized</w:t>
            </w:r>
          </w:p>
        </w:tc>
        <w:tc>
          <w:tcPr>
            <w:tcW w:w="16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Market</w:t>
            </w:r>
          </w:p>
        </w:tc>
        <w:tc>
          <w:tcPr>
            <w:tcW w:w="0" w:type="dxa"/>
            <w:vAlign w:val="bottom"/>
          </w:tcPr>
          <w:p>
            <w:pPr>
              <w:spacing w:after="0"/>
              <w:rPr>
                <w:sz w:val="1"/>
                <w:szCs w:val="1"/>
                <w:color w:val="auto"/>
              </w:rPr>
            </w:pPr>
          </w:p>
        </w:tc>
      </w:tr>
      <w:tr>
        <w:trPr>
          <w:trHeight w:val="224"/>
        </w:trPr>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Cost</w:t>
            </w:r>
          </w:p>
        </w:tc>
        <w:tc>
          <w:tcPr>
            <w:tcW w:w="10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Gains</w:t>
            </w:r>
          </w:p>
        </w:tc>
        <w:tc>
          <w:tcPr>
            <w:tcW w:w="8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Losses</w:t>
            </w:r>
          </w:p>
        </w:tc>
        <w:tc>
          <w:tcPr>
            <w:tcW w:w="16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7"/>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122,514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110,828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67,260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300,602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7,350</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307,812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5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8"/>
                <w:szCs w:val="18"/>
                <w:color w:val="auto"/>
                <w:w w:val="89"/>
              </w:rPr>
              <w:t>2019</w:t>
            </w: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3"/>
              </w:rPr>
              <w:t>Gross</w:t>
            </w:r>
          </w:p>
        </w:tc>
        <w:tc>
          <w:tcPr>
            <w:tcW w:w="8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3"/>
              </w:rPr>
              <w:t>Gross</w:t>
            </w:r>
          </w:p>
        </w:tc>
        <w:tc>
          <w:tcPr>
            <w:tcW w:w="16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24"/>
        </w:trPr>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Amortized</w:t>
            </w:r>
          </w:p>
        </w:tc>
        <w:tc>
          <w:tcPr>
            <w:tcW w:w="10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Unrealized</w:t>
            </w:r>
          </w:p>
        </w:tc>
        <w:tc>
          <w:tcPr>
            <w:tcW w:w="8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Unrealized</w:t>
            </w:r>
          </w:p>
        </w:tc>
        <w:tc>
          <w:tcPr>
            <w:tcW w:w="16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Market</w:t>
            </w:r>
          </w:p>
        </w:tc>
        <w:tc>
          <w:tcPr>
            <w:tcW w:w="0" w:type="dxa"/>
            <w:vAlign w:val="bottom"/>
          </w:tcPr>
          <w:p>
            <w:pPr>
              <w:spacing w:after="0"/>
              <w:rPr>
                <w:sz w:val="1"/>
                <w:szCs w:val="1"/>
                <w:color w:val="auto"/>
              </w:rPr>
            </w:pPr>
          </w:p>
        </w:tc>
      </w:tr>
      <w:tr>
        <w:trPr>
          <w:trHeight w:val="224"/>
        </w:trPr>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Cost</w:t>
            </w:r>
          </w:p>
        </w:tc>
        <w:tc>
          <w:tcPr>
            <w:tcW w:w="10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Gains</w:t>
            </w:r>
          </w:p>
        </w:tc>
        <w:tc>
          <w:tcPr>
            <w:tcW w:w="8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Losses</w:t>
            </w:r>
          </w:p>
        </w:tc>
        <w:tc>
          <w:tcPr>
            <w:tcW w:w="16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7"/>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10,023</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61,882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94,998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54,001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220,904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1,769</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(380)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222,293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00"/>
        <w:spacing w:after="0" w:line="325" w:lineRule="auto"/>
        <w:rPr>
          <w:sz w:val="20"/>
          <w:szCs w:val="20"/>
          <w:color w:val="auto"/>
        </w:rPr>
      </w:pPr>
      <w:r>
        <w:rPr>
          <w:rFonts w:ascii="Arial" w:cs="Arial" w:eastAsia="Arial" w:hAnsi="Arial"/>
          <w:sz w:val="16"/>
          <w:szCs w:val="16"/>
          <w:color w:val="auto"/>
        </w:rPr>
        <w:t>Investment securities will at times depreciate to an unrealized loss position. The Bank utilizes the following criteria to assess whether impairment is other than temporary. No one item by itself will necessarily signal that a security should be recognized as other than temporarily impaired.</w:t>
      </w:r>
    </w:p>
    <w:p>
      <w:pPr>
        <w:spacing w:after="0" w:line="29" w:lineRule="exact"/>
        <w:rPr>
          <w:sz w:val="20"/>
          <w:szCs w:val="20"/>
          <w:color w:val="auto"/>
        </w:rPr>
      </w:pPr>
    </w:p>
    <w:p>
      <w:pPr>
        <w:ind w:left="1740" w:hanging="536"/>
        <w:spacing w:after="0"/>
        <w:tabs>
          <w:tab w:leader="none" w:pos="1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109" w:lineRule="exact"/>
        <w:rPr>
          <w:rFonts w:ascii="Arial" w:cs="Arial" w:eastAsia="Arial" w:hAnsi="Arial"/>
          <w:sz w:val="18"/>
          <w:szCs w:val="18"/>
          <w:color w:val="auto"/>
        </w:rPr>
      </w:pPr>
    </w:p>
    <w:p>
      <w:pPr>
        <w:ind w:left="1740" w:hanging="536"/>
        <w:spacing w:after="0" w:line="262" w:lineRule="auto"/>
        <w:tabs>
          <w:tab w:leader="none" w:pos="1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downgrade has occurred that lowered the credit rating to below investment grade (below Baa3 by Moody and BBB – by Standard and Poors.)</w:t>
      </w:r>
    </w:p>
    <w:p>
      <w:pPr>
        <w:spacing w:after="0" w:line="75" w:lineRule="exact"/>
        <w:rPr>
          <w:rFonts w:ascii="Arial" w:cs="Arial" w:eastAsia="Arial" w:hAnsi="Arial"/>
          <w:sz w:val="18"/>
          <w:szCs w:val="18"/>
          <w:color w:val="auto"/>
        </w:rPr>
      </w:pPr>
    </w:p>
    <w:p>
      <w:pPr>
        <w:ind w:left="1740" w:hanging="536"/>
        <w:spacing w:after="0"/>
        <w:tabs>
          <w:tab w:leader="none" w:pos="1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109" w:lineRule="exact"/>
        <w:rPr>
          <w:rFonts w:ascii="Arial" w:cs="Arial" w:eastAsia="Arial" w:hAnsi="Arial"/>
          <w:sz w:val="18"/>
          <w:szCs w:val="18"/>
          <w:color w:val="auto"/>
        </w:rPr>
      </w:pPr>
    </w:p>
    <w:p>
      <w:pPr>
        <w:ind w:left="1740" w:hanging="536"/>
        <w:spacing w:after="0"/>
        <w:tabs>
          <w:tab w:leader="none" w:pos="1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underwater security has longer than 10 years to maturity and the loss position had existed for more than 3 years.</w:t>
      </w:r>
    </w:p>
    <w:p>
      <w:pPr>
        <w:spacing w:after="0" w:line="109" w:lineRule="exact"/>
        <w:rPr>
          <w:rFonts w:ascii="Arial" w:cs="Arial" w:eastAsia="Arial" w:hAnsi="Arial"/>
          <w:sz w:val="18"/>
          <w:szCs w:val="18"/>
          <w:color w:val="auto"/>
        </w:rPr>
      </w:pPr>
    </w:p>
    <w:p>
      <w:pPr>
        <w:ind w:left="1740" w:hanging="536"/>
        <w:spacing w:after="0" w:line="262" w:lineRule="auto"/>
        <w:tabs>
          <w:tab w:leader="none" w:pos="1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75" w:lineRule="exact"/>
        <w:rPr>
          <w:sz w:val="20"/>
          <w:szCs w:val="20"/>
          <w:color w:val="auto"/>
        </w:rPr>
      </w:pPr>
    </w:p>
    <w:p>
      <w:pPr>
        <w:jc w:val="both"/>
        <w:ind w:left="800"/>
        <w:spacing w:after="0" w:line="248" w:lineRule="auto"/>
        <w:rPr>
          <w:sz w:val="20"/>
          <w:szCs w:val="20"/>
          <w:color w:val="auto"/>
        </w:rPr>
      </w:pPr>
      <w:r>
        <w:rPr>
          <w:rFonts w:ascii="Arial" w:cs="Arial" w:eastAsia="Arial" w:hAnsi="Arial"/>
          <w:sz w:val="18"/>
          <w:szCs w:val="18"/>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Bank currently does not hold any securities with other than temporary impairment.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3549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auto"/>
        </w:rPr>
        <w:t>Farmers &amp; Merchants Bancorp, Inc. and Subsidiaries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 – Securities (Continued)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200" w:lineRule="exact"/>
        <w:rPr>
          <w:sz w:val="20"/>
          <w:szCs w:val="20"/>
          <w:color w:val="auto"/>
        </w:rPr>
      </w:pPr>
    </w:p>
    <w:p>
      <w:pPr>
        <w:sectPr>
          <w:pgSz w:w="11900" w:h="16838" w:orient="portrait"/>
          <w:cols w:equalWidth="0" w:num="2">
            <w:col w:w="7260" w:space="720"/>
            <w:col w:w="3260"/>
          </w:cols>
          <w:pgMar w:left="320" w:top="121" w:right="339" w:bottom="1440" w:gutter="0" w:footer="0" w:header="0"/>
          <w:type w:val="continuous"/>
        </w:sectPr>
      </w:pPr>
    </w:p>
    <w:p>
      <w:pPr>
        <w:spacing w:after="0" w:line="108"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Information pertaining to securities with gross unrealized losses at December 31, 2020 and 2019, aggregated by investment category and length of time that individual securities have been in a continuous loss position follows: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5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8"/>
                <w:szCs w:val="18"/>
                <w:color w:val="auto"/>
                <w:w w:val="87"/>
              </w:rPr>
              <w:t>(In Thousands)</w:t>
            </w:r>
          </w:p>
        </w:tc>
        <w:tc>
          <w:tcPr>
            <w:tcW w:w="80" w:type="dxa"/>
            <w:vAlign w:val="bottom"/>
          </w:tcPr>
          <w:p>
            <w:pPr>
              <w:spacing w:after="0"/>
              <w:rPr>
                <w:sz w:val="18"/>
                <w:szCs w:val="18"/>
                <w:color w:val="auto"/>
              </w:rPr>
            </w:pPr>
          </w:p>
        </w:tc>
        <w:tc>
          <w:tcPr>
            <w:tcW w:w="2220" w:type="dxa"/>
            <w:vAlign w:val="bottom"/>
            <w:gridSpan w:val="5"/>
          </w:tcPr>
          <w:p>
            <w:pPr>
              <w:ind w:left="48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4"/>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Less Than Twelve Months</w:t>
            </w:r>
          </w:p>
        </w:tc>
        <w:tc>
          <w:tcPr>
            <w:tcW w:w="80" w:type="dxa"/>
            <w:vAlign w:val="bottom"/>
          </w:tcPr>
          <w:p>
            <w:pPr>
              <w:spacing w:after="0"/>
              <w:rPr>
                <w:sz w:val="19"/>
                <w:szCs w:val="19"/>
                <w:color w:val="auto"/>
              </w:rPr>
            </w:pPr>
          </w:p>
        </w:tc>
        <w:tc>
          <w:tcPr>
            <w:tcW w:w="2220" w:type="dxa"/>
            <w:vAlign w:val="bottom"/>
            <w:gridSpan w:val="5"/>
          </w:tcPr>
          <w:p>
            <w:pPr>
              <w:ind w:left="180"/>
              <w:spacing w:after="0"/>
              <w:rPr>
                <w:sz w:val="20"/>
                <w:szCs w:val="20"/>
                <w:color w:val="auto"/>
              </w:rPr>
            </w:pPr>
            <w:r>
              <w:rPr>
                <w:rFonts w:ascii="Arial" w:cs="Arial" w:eastAsia="Arial" w:hAnsi="Arial"/>
                <w:sz w:val="18"/>
                <w:szCs w:val="18"/>
                <w:color w:val="auto"/>
              </w:rPr>
              <w:t>Twelve Months &amp; Over</w:t>
            </w:r>
          </w:p>
        </w:tc>
        <w:tc>
          <w:tcPr>
            <w:tcW w:w="0" w:type="dxa"/>
            <w:vAlign w:val="bottom"/>
          </w:tcPr>
          <w:p>
            <w:pPr>
              <w:spacing w:after="0"/>
              <w:rPr>
                <w:sz w:val="1"/>
                <w:szCs w:val="1"/>
                <w:color w:val="auto"/>
              </w:rPr>
            </w:pPr>
          </w:p>
        </w:tc>
      </w:tr>
      <w:tr>
        <w:trPr>
          <w:trHeight w:val="217"/>
        </w:trPr>
        <w:tc>
          <w:tcPr>
            <w:tcW w:w="5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87"/>
              </w:rPr>
              <w:t>Gross</w:t>
            </w: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Gross</w:t>
            </w: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tcPr>
          <w:p>
            <w:pPr>
              <w:spacing w:after="0"/>
              <w:rPr>
                <w:sz w:val="19"/>
                <w:szCs w:val="19"/>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9"/>
                <w:szCs w:val="19"/>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Fair</w:t>
            </w:r>
          </w:p>
        </w:tc>
        <w:tc>
          <w:tcPr>
            <w:tcW w:w="8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Unrealized</w:t>
            </w:r>
          </w:p>
        </w:tc>
        <w:tc>
          <w:tcPr>
            <w:tcW w:w="180" w:type="dxa"/>
            <w:vAlign w:val="bottom"/>
          </w:tcPr>
          <w:p>
            <w:pPr>
              <w:spacing w:after="0"/>
              <w:rPr>
                <w:sz w:val="19"/>
                <w:szCs w:val="19"/>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24"/>
        </w:trPr>
        <w:tc>
          <w:tcPr>
            <w:tcW w:w="53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4"/>
              </w:rPr>
              <w:t>Losses</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86"/>
              </w:rPr>
              <w:t>Value</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Losses</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86"/>
              </w:rPr>
              <w:t>Value</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48,331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left w:val="single" w:sz="8" w:color="CFF0FC"/>
            </w:tcBorders>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3,562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available-for-sales securities</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vMerge w:val="continue"/>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51,893</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5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8"/>
                <w:szCs w:val="18"/>
                <w:color w:val="auto"/>
                <w:w w:val="87"/>
              </w:rPr>
              <w:t>(In Thousands)</w:t>
            </w:r>
          </w:p>
        </w:tc>
        <w:tc>
          <w:tcPr>
            <w:tcW w:w="80" w:type="dxa"/>
            <w:vAlign w:val="bottom"/>
          </w:tcPr>
          <w:p>
            <w:pPr>
              <w:spacing w:after="0"/>
              <w:rPr>
                <w:sz w:val="18"/>
                <w:szCs w:val="18"/>
                <w:color w:val="auto"/>
              </w:rPr>
            </w:pPr>
          </w:p>
        </w:tc>
        <w:tc>
          <w:tcPr>
            <w:tcW w:w="2220" w:type="dxa"/>
            <w:vAlign w:val="bottom"/>
            <w:gridSpan w:val="5"/>
          </w:tcPr>
          <w:p>
            <w:pPr>
              <w:ind w:left="48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4"/>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Less Than Twelve Months</w:t>
            </w:r>
          </w:p>
        </w:tc>
        <w:tc>
          <w:tcPr>
            <w:tcW w:w="80" w:type="dxa"/>
            <w:vAlign w:val="bottom"/>
          </w:tcPr>
          <w:p>
            <w:pPr>
              <w:spacing w:after="0"/>
              <w:rPr>
                <w:sz w:val="19"/>
                <w:szCs w:val="19"/>
                <w:color w:val="auto"/>
              </w:rPr>
            </w:pPr>
          </w:p>
        </w:tc>
        <w:tc>
          <w:tcPr>
            <w:tcW w:w="2220" w:type="dxa"/>
            <w:vAlign w:val="bottom"/>
            <w:gridSpan w:val="5"/>
          </w:tcPr>
          <w:p>
            <w:pPr>
              <w:ind w:left="180"/>
              <w:spacing w:after="0"/>
              <w:rPr>
                <w:sz w:val="20"/>
                <w:szCs w:val="20"/>
                <w:color w:val="auto"/>
              </w:rPr>
            </w:pPr>
            <w:r>
              <w:rPr>
                <w:rFonts w:ascii="Arial" w:cs="Arial" w:eastAsia="Arial" w:hAnsi="Arial"/>
                <w:sz w:val="18"/>
                <w:szCs w:val="18"/>
                <w:color w:val="auto"/>
              </w:rPr>
              <w:t>Twelve Months &amp; Over</w:t>
            </w:r>
          </w:p>
        </w:tc>
        <w:tc>
          <w:tcPr>
            <w:tcW w:w="0" w:type="dxa"/>
            <w:vAlign w:val="bottom"/>
          </w:tcPr>
          <w:p>
            <w:pPr>
              <w:spacing w:after="0"/>
              <w:rPr>
                <w:sz w:val="1"/>
                <w:szCs w:val="1"/>
                <w:color w:val="auto"/>
              </w:rPr>
            </w:pPr>
          </w:p>
        </w:tc>
      </w:tr>
      <w:tr>
        <w:trPr>
          <w:trHeight w:val="217"/>
        </w:trPr>
        <w:tc>
          <w:tcPr>
            <w:tcW w:w="5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3"/>
              </w:rPr>
              <w:t>Gross</w:t>
            </w: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Gross</w:t>
            </w: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Unrealized</w:t>
            </w:r>
          </w:p>
        </w:tc>
        <w:tc>
          <w:tcPr>
            <w:tcW w:w="180" w:type="dxa"/>
            <w:vAlign w:val="bottom"/>
          </w:tcPr>
          <w:p>
            <w:pPr>
              <w:spacing w:after="0"/>
              <w:rPr>
                <w:sz w:val="19"/>
                <w:szCs w:val="19"/>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Fair</w:t>
            </w:r>
          </w:p>
        </w:tc>
        <w:tc>
          <w:tcPr>
            <w:tcW w:w="8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Unrealized</w:t>
            </w:r>
          </w:p>
        </w:tc>
        <w:tc>
          <w:tcPr>
            <w:tcW w:w="180" w:type="dxa"/>
            <w:vAlign w:val="bottom"/>
          </w:tcPr>
          <w:p>
            <w:pPr>
              <w:spacing w:after="0"/>
              <w:rPr>
                <w:sz w:val="19"/>
                <w:szCs w:val="19"/>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24"/>
        </w:trPr>
        <w:tc>
          <w:tcPr>
            <w:tcW w:w="53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4"/>
              </w:rPr>
              <w:t>Losses</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86"/>
              </w:rPr>
              <w:t>Value</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Losses</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86"/>
              </w:rPr>
              <w:t>Value</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10,549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left w:val="single" w:sz="8" w:color="CFF0FC"/>
            </w:tcBorders>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16,845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available-for-sales securities</w:t>
            </w: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vMerge w:val="continue"/>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55,090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The fair value is expected to recover as the bonds approach the maturity date.</w:t>
      </w:r>
    </w:p>
    <w:p>
      <w:pPr>
        <w:spacing w:after="0" w:line="8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Sales of $11.8, $11.1, and $10.1 million for 2020, 2019, and 2018 respectively, generated gross realized gains and losses for the years ended</w:t>
      </w:r>
    </w:p>
    <w:p>
      <w:pPr>
        <w:spacing w:after="0" w:line="3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December 31, as presented below:</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60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w w:val="89"/>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8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Gross realized gains</w:t>
            </w:r>
          </w:p>
        </w:tc>
        <w:tc>
          <w:tcPr>
            <w:tcW w:w="800" w:type="dxa"/>
            <w:vAlign w:val="bottom"/>
            <w:shd w:val="clear" w:color="auto" w:fill="CFF0FC"/>
          </w:tcPr>
          <w:p>
            <w:pPr>
              <w:jc w:val="right"/>
              <w:ind w:right="64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270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80" w:type="dxa"/>
            <w:vAlign w:val="bottom"/>
          </w:tcPr>
          <w:p>
            <w:pPr>
              <w:spacing w:after="0"/>
              <w:rPr>
                <w:sz w:val="20"/>
                <w:szCs w:val="20"/>
                <w:color w:val="auto"/>
              </w:rPr>
            </w:pPr>
            <w:r>
              <w:rPr>
                <w:rFonts w:ascii="Arial" w:cs="Arial" w:eastAsia="Arial" w:hAnsi="Arial"/>
                <w:sz w:val="18"/>
                <w:szCs w:val="18"/>
                <w:color w:val="auto"/>
              </w:rPr>
              <w:t>Gross realized losses</w:t>
            </w: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08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Net realized gains (losses)</w:t>
            </w: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80" w:type="dxa"/>
            <w:vAlign w:val="bottom"/>
            <w:vMerge w:val="continue"/>
            <w:shd w:val="clear" w:color="auto" w:fill="CFF0FC"/>
          </w:tcPr>
          <w:p>
            <w:pPr>
              <w:spacing w:after="0"/>
              <w:rPr>
                <w:sz w:val="18"/>
                <w:szCs w:val="18"/>
                <w:color w:val="auto"/>
              </w:rPr>
            </w:pPr>
          </w:p>
        </w:tc>
        <w:tc>
          <w:tcPr>
            <w:tcW w:w="800" w:type="dxa"/>
            <w:vAlign w:val="bottom"/>
            <w:shd w:val="clear" w:color="auto" w:fill="CFF0FC"/>
          </w:tcPr>
          <w:p>
            <w:pPr>
              <w:jc w:val="right"/>
              <w:ind w:right="64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270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Tax expense (benefit) related to net realized gains (losses)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vMerge w:val="continue"/>
          </w:tcPr>
          <w:p>
            <w:pPr>
              <w:spacing w:after="0"/>
              <w:rPr>
                <w:sz w:val="17"/>
                <w:szCs w:val="17"/>
                <w:color w:val="auto"/>
              </w:rPr>
            </w:pPr>
          </w:p>
        </w:tc>
        <w:tc>
          <w:tcPr>
            <w:tcW w:w="800" w:type="dxa"/>
            <w:vAlign w:val="bottom"/>
          </w:tcPr>
          <w:p>
            <w:pPr>
              <w:jc w:val="right"/>
              <w:ind w:right="64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line="203" w:lineRule="exact"/>
              <w:rPr>
                <w:sz w:val="20"/>
                <w:szCs w:val="20"/>
                <w:color w:val="auto"/>
              </w:rPr>
            </w:pPr>
            <w:r>
              <w:rPr>
                <w:rFonts w:ascii="Arial" w:cs="Arial" w:eastAsia="Arial" w:hAnsi="Arial"/>
                <w:sz w:val="18"/>
                <w:szCs w:val="18"/>
                <w:color w:val="auto"/>
              </w:rPr>
              <w:t>57</w:t>
            </w:r>
          </w:p>
        </w:tc>
        <w:tc>
          <w:tcPr>
            <w:tcW w:w="240" w:type="dxa"/>
            <w:vAlign w:val="bottom"/>
          </w:tcPr>
          <w:p>
            <w:pPr>
              <w:spacing w:after="0"/>
              <w:rPr>
                <w:sz w:val="17"/>
                <w:szCs w:val="17"/>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The net realized gain (loss) on sales and related tax expense (benefit) is a reclassification out of accumulated other comprehensive income (loss). The net realized gain (loss) is included in net gain (loss) on sale of securities available-for-sale and the related tax expense (benefit) is included in income taxes in the consolidated statements of income.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6"/>
          <w:szCs w:val="16"/>
          <w:b w:val="1"/>
          <w:bCs w:val="1"/>
          <w:color w:val="auto"/>
        </w:rPr>
        <w:t>Farmers &amp; Merchants Bancorp, Inc. and Subsidiaries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 – Securities (Continued)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200" w:lineRule="exact"/>
        <w:rPr>
          <w:sz w:val="20"/>
          <w:szCs w:val="20"/>
          <w:color w:val="auto"/>
        </w:rPr>
      </w:pPr>
    </w:p>
    <w:p>
      <w:pPr>
        <w:sectPr>
          <w:pgSz w:w="11900" w:h="16838" w:orient="portrait"/>
          <w:cols w:equalWidth="0" w:num="2">
            <w:col w:w="7260" w:space="720"/>
            <w:col w:w="3260"/>
          </w:cols>
          <w:pgMar w:left="320" w:top="121" w:right="339" w:bottom="1440" w:gutter="0" w:footer="0" w:header="0"/>
          <w:type w:val="continuous"/>
        </w:sectPr>
      </w:pPr>
    </w:p>
    <w:p>
      <w:pPr>
        <w:spacing w:after="0" w:line="108" w:lineRule="exact"/>
        <w:rPr>
          <w:sz w:val="20"/>
          <w:szCs w:val="20"/>
          <w:color w:val="auto"/>
        </w:rPr>
      </w:pPr>
    </w:p>
    <w:p>
      <w:pPr>
        <w:ind w:left="800"/>
        <w:spacing w:after="0" w:line="325" w:lineRule="auto"/>
        <w:rPr>
          <w:sz w:val="20"/>
          <w:szCs w:val="20"/>
          <w:color w:val="auto"/>
        </w:rPr>
      </w:pPr>
      <w:r>
        <w:rPr>
          <w:rFonts w:ascii="Arial" w:cs="Arial" w:eastAsia="Arial" w:hAnsi="Arial"/>
          <w:sz w:val="16"/>
          <w:szCs w:val="16"/>
          <w:color w:val="auto"/>
        </w:rPr>
        <w:t>The amortized cost and fair value of debt securities at December 31, 2020, by contractual maturity, are shown below. Expected maturities will differ from contractual maturities because borrowers may have the right to call or prepay obligations with or without call or prepayment penalties.</w:t>
      </w:r>
    </w:p>
    <w:p>
      <w:pPr>
        <w:spacing w:after="0" w:line="147"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5"/>
          </w:tcPr>
          <w:p>
            <w:pPr>
              <w:ind w:left="520"/>
              <w:spacing w:after="0"/>
              <w:rPr>
                <w:sz w:val="20"/>
                <w:szCs w:val="20"/>
                <w:color w:val="auto"/>
              </w:rPr>
            </w:pPr>
            <w:r>
              <w:rPr>
                <w:rFonts w:ascii="Arial" w:cs="Arial" w:eastAsia="Arial" w:hAnsi="Arial"/>
                <w:sz w:val="18"/>
                <w:szCs w:val="18"/>
                <w:color w:val="auto"/>
              </w:rPr>
              <w:t>(In Thousands)</w:t>
            </w:r>
          </w:p>
        </w:tc>
      </w:tr>
      <w:tr>
        <w:trPr>
          <w:trHeight w:val="217"/>
        </w:trPr>
        <w:tc>
          <w:tcPr>
            <w:tcW w:w="5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1"/>
              </w:rPr>
              <w:t>Amortized</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4"/>
        </w:trPr>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Cost</w:t>
            </w:r>
          </w:p>
        </w:tc>
        <w:tc>
          <w:tcPr>
            <w:tcW w:w="120" w:type="dxa"/>
            <w:vAlign w:val="bottom"/>
          </w:tcPr>
          <w:p>
            <w:pPr>
              <w:spacing w:after="0"/>
              <w:rPr>
                <w:sz w:val="19"/>
                <w:szCs w:val="19"/>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r>
      <w:tr>
        <w:trPr>
          <w:trHeight w:val="217"/>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One year or less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60" w:type="dxa"/>
            <w:vAlign w:val="bottom"/>
            <w:tcBorders>
              <w:top w:val="single" w:sz="8" w:color="CFF0FC"/>
            </w:tcBorders>
            <w:shd w:val="clear" w:color="auto" w:fill="CFF0FC"/>
          </w:tcPr>
          <w:p>
            <w:pPr>
              <w:spacing w:after="0"/>
              <w:rPr>
                <w:sz w:val="18"/>
                <w:szCs w:val="18"/>
                <w:color w:val="auto"/>
              </w:rPr>
            </w:pPr>
          </w:p>
        </w:tc>
      </w:tr>
      <w:tr>
        <w:trPr>
          <w:trHeight w:val="224"/>
        </w:trPr>
        <w:tc>
          <w:tcPr>
            <w:tcW w:w="548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63,793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65,323</w:t>
            </w:r>
          </w:p>
        </w:tc>
        <w:tc>
          <w:tcPr>
            <w:tcW w:w="60" w:type="dxa"/>
            <w:vAlign w:val="bottom"/>
          </w:tcPr>
          <w:p>
            <w:pPr>
              <w:spacing w:after="0"/>
              <w:rPr>
                <w:sz w:val="19"/>
                <w:szCs w:val="19"/>
                <w:color w:val="auto"/>
              </w:rPr>
            </w:pPr>
          </w:p>
        </w:tc>
      </w:tr>
      <w:tr>
        <w:trPr>
          <w:trHeight w:val="224"/>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After five years through ten years</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123,275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126,630</w:t>
            </w:r>
          </w:p>
        </w:tc>
        <w:tc>
          <w:tcPr>
            <w:tcW w:w="60" w:type="dxa"/>
            <w:vAlign w:val="bottom"/>
            <w:shd w:val="clear" w:color="auto" w:fill="CFF0FC"/>
          </w:tcPr>
          <w:p>
            <w:pPr>
              <w:spacing w:after="0"/>
              <w:rPr>
                <w:sz w:val="19"/>
                <w:szCs w:val="19"/>
                <w:color w:val="auto"/>
              </w:rPr>
            </w:pPr>
          </w:p>
        </w:tc>
      </w:tr>
      <w:tr>
        <w:trPr>
          <w:trHeight w:val="224"/>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After ten years</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60" w:type="dxa"/>
            <w:vAlign w:val="bottom"/>
            <w:tcBorders>
              <w:bottom w:val="single" w:sz="8" w:color="CFF0FC"/>
            </w:tcBorders>
          </w:tcPr>
          <w:p>
            <w:pPr>
              <w:spacing w:after="0"/>
              <w:rPr>
                <w:sz w:val="19"/>
                <w:szCs w:val="19"/>
                <w:color w:val="auto"/>
              </w:rPr>
            </w:pPr>
          </w:p>
        </w:tc>
      </w:tr>
      <w:tr>
        <w:trPr>
          <w:trHeight w:val="217"/>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189,774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194,756</w:t>
            </w:r>
          </w:p>
        </w:tc>
        <w:tc>
          <w:tcPr>
            <w:tcW w:w="60" w:type="dxa"/>
            <w:vAlign w:val="bottom"/>
            <w:shd w:val="clear" w:color="auto" w:fill="CFF0FC"/>
          </w:tcPr>
          <w:p>
            <w:pPr>
              <w:spacing w:after="0"/>
              <w:rPr>
                <w:sz w:val="18"/>
                <w:szCs w:val="18"/>
                <w:color w:val="auto"/>
              </w:rPr>
            </w:pPr>
          </w:p>
        </w:tc>
      </w:tr>
      <w:tr>
        <w:trPr>
          <w:trHeight w:val="224"/>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110,828</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113,056</w:t>
            </w:r>
          </w:p>
        </w:tc>
        <w:tc>
          <w:tcPr>
            <w:tcW w:w="60" w:type="dxa"/>
            <w:vAlign w:val="bottom"/>
            <w:tcBorders>
              <w:bottom w:val="single" w:sz="8" w:color="CFF0FC"/>
            </w:tcBorders>
          </w:tcPr>
          <w:p>
            <w:pPr>
              <w:spacing w:after="0"/>
              <w:rPr>
                <w:sz w:val="19"/>
                <w:szCs w:val="19"/>
                <w:color w:val="auto"/>
              </w:rPr>
            </w:pPr>
          </w:p>
        </w:tc>
      </w:tr>
      <w:tr>
        <w:trPr>
          <w:trHeight w:val="217"/>
        </w:trPr>
        <w:tc>
          <w:tcPr>
            <w:tcW w:w="54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300,602</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307,812</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800"/>
        <w:spacing w:after="0" w:line="262" w:lineRule="auto"/>
        <w:rPr>
          <w:sz w:val="20"/>
          <w:szCs w:val="20"/>
          <w:color w:val="auto"/>
        </w:rPr>
      </w:pPr>
      <w:r>
        <w:rPr>
          <w:rFonts w:ascii="Arial" w:cs="Arial" w:eastAsia="Arial" w:hAnsi="Arial"/>
          <w:sz w:val="18"/>
          <w:szCs w:val="18"/>
          <w:color w:val="auto"/>
        </w:rPr>
        <w:t>Investments with a carrying value and fair value of $83.2 million at December 31, 2020 and $88.8 million at December 31, 2019 were pledged to secure public deposits and securities sold under repurchase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w:t>
      </w:r>
    </w:p>
    <w:p>
      <w:pPr>
        <w:spacing w:after="0" w:line="115"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The Company had $7.7 million in loans held for sale at December 31, 2020 as compared to $4.2 million in loans held for sale at December 31, 2019.</w:t>
      </w:r>
    </w:p>
    <w:p>
      <w:pPr>
        <w:spacing w:after="0" w:line="7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Loans at December 31 are summarized below:</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222"/>
        </w:trPr>
        <w:tc>
          <w:tcPr>
            <w:tcW w:w="4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8"/>
                <w:szCs w:val="18"/>
                <w:color w:val="auto"/>
              </w:rPr>
              <w:t>(In Thousands)</w:t>
            </w:r>
          </w:p>
        </w:tc>
      </w:tr>
      <w:tr>
        <w:trPr>
          <w:trHeight w:val="178"/>
        </w:trPr>
        <w:tc>
          <w:tcPr>
            <w:tcW w:w="5440" w:type="dxa"/>
            <w:vAlign w:val="bottom"/>
            <w:gridSpan w:val="2"/>
          </w:tcPr>
          <w:p>
            <w:pPr>
              <w:spacing w:after="0" w:line="178" w:lineRule="exact"/>
              <w:rPr>
                <w:sz w:val="20"/>
                <w:szCs w:val="20"/>
                <w:color w:val="auto"/>
              </w:rPr>
            </w:pPr>
            <w:r>
              <w:rPr>
                <w:rFonts w:ascii="Arial" w:cs="Arial" w:eastAsia="Arial" w:hAnsi="Arial"/>
                <w:sz w:val="18"/>
                <w:szCs w:val="18"/>
                <w:color w:val="auto"/>
              </w:rPr>
              <w:t>Loans:</w:t>
            </w: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72"/>
              <w:spacing w:after="0" w:line="178" w:lineRule="exact"/>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72"/>
              <w:spacing w:after="0" w:line="178" w:lineRule="exact"/>
              <w:rPr>
                <w:sz w:val="20"/>
                <w:szCs w:val="20"/>
                <w:color w:val="auto"/>
              </w:rPr>
            </w:pPr>
            <w:r>
              <w:rPr>
                <w:rFonts w:ascii="Arial" w:cs="Arial" w:eastAsia="Arial" w:hAnsi="Arial"/>
                <w:sz w:val="18"/>
                <w:szCs w:val="18"/>
                <w:color w:val="auto"/>
              </w:rPr>
              <w:t>2019</w:t>
            </w:r>
          </w:p>
        </w:tc>
        <w:tc>
          <w:tcPr>
            <w:tcW w:w="80" w:type="dxa"/>
            <w:vAlign w:val="bottom"/>
          </w:tcPr>
          <w:p>
            <w:pPr>
              <w:spacing w:after="0"/>
              <w:rPr>
                <w:sz w:val="15"/>
                <w:szCs w:val="15"/>
                <w:color w:val="auto"/>
              </w:rPr>
            </w:pPr>
          </w:p>
        </w:tc>
      </w:tr>
      <w:tr>
        <w:trPr>
          <w:trHeight w:val="20"/>
        </w:trPr>
        <w:tc>
          <w:tcPr>
            <w:tcW w:w="460" w:type="dxa"/>
            <w:vAlign w:val="bottom"/>
            <w:tcBorders>
              <w:top w:val="single" w:sz="8" w:color="auto"/>
              <w:bottom w:val="single" w:sz="8" w:color="CFF0FC"/>
            </w:tcBorders>
          </w:tcPr>
          <w:p>
            <w:pPr>
              <w:spacing w:after="0" w:line="20" w:lineRule="exact"/>
              <w:rPr>
                <w:sz w:val="1"/>
                <w:szCs w:val="1"/>
                <w:color w:val="auto"/>
              </w:rPr>
            </w:pPr>
          </w:p>
        </w:tc>
        <w:tc>
          <w:tcPr>
            <w:tcW w:w="498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217"/>
        </w:trPr>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175,588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165,349</w:t>
            </w:r>
          </w:p>
        </w:tc>
        <w:tc>
          <w:tcPr>
            <w:tcW w:w="80" w:type="dxa"/>
            <w:vAlign w:val="bottom"/>
            <w:shd w:val="clear" w:color="auto" w:fill="CFF0FC"/>
          </w:tcPr>
          <w:p>
            <w:pPr>
              <w:spacing w:after="0"/>
              <w:rPr>
                <w:sz w:val="18"/>
                <w:szCs w:val="18"/>
                <w:color w:val="auto"/>
              </w:rPr>
            </w:pPr>
          </w:p>
        </w:tc>
      </w:tr>
      <w:tr>
        <w:trPr>
          <w:trHeight w:val="224"/>
        </w:trPr>
        <w:tc>
          <w:tcPr>
            <w:tcW w:w="5440" w:type="dxa"/>
            <w:vAlign w:val="bottom"/>
            <w:gridSpan w:val="2"/>
          </w:tcPr>
          <w:p>
            <w:pPr>
              <w:ind w:left="240"/>
              <w:spacing w:after="0"/>
              <w:rPr>
                <w:sz w:val="20"/>
                <w:szCs w:val="20"/>
                <w:color w:val="auto"/>
              </w:rPr>
            </w:pPr>
            <w:r>
              <w:rPr>
                <w:rFonts w:ascii="Arial" w:cs="Arial" w:eastAsia="Arial" w:hAnsi="Arial"/>
                <w:sz w:val="18"/>
                <w:szCs w:val="18"/>
                <w:color w:val="auto"/>
              </w:rPr>
              <w:t>Agricultural Real Estate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189,159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199,105</w:t>
            </w:r>
          </w:p>
        </w:tc>
        <w:tc>
          <w:tcPr>
            <w:tcW w:w="80" w:type="dxa"/>
            <w:vAlign w:val="bottom"/>
          </w:tcPr>
          <w:p>
            <w:pPr>
              <w:spacing w:after="0"/>
              <w:rPr>
                <w:sz w:val="19"/>
                <w:szCs w:val="19"/>
                <w:color w:val="auto"/>
              </w:rPr>
            </w:pPr>
          </w:p>
        </w:tc>
      </w:tr>
      <w:tr>
        <w:trPr>
          <w:trHeight w:val="224"/>
        </w:trPr>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94,358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111,820</w:t>
            </w:r>
          </w:p>
        </w:tc>
        <w:tc>
          <w:tcPr>
            <w:tcW w:w="80" w:type="dxa"/>
            <w:vAlign w:val="bottom"/>
            <w:shd w:val="clear" w:color="auto" w:fill="CFF0FC"/>
          </w:tcPr>
          <w:p>
            <w:pPr>
              <w:spacing w:after="0"/>
              <w:rPr>
                <w:sz w:val="19"/>
                <w:szCs w:val="19"/>
                <w:color w:val="auto"/>
              </w:rPr>
            </w:pPr>
          </w:p>
        </w:tc>
      </w:tr>
      <w:tr>
        <w:trPr>
          <w:trHeight w:val="224"/>
        </w:trPr>
        <w:tc>
          <w:tcPr>
            <w:tcW w:w="5440" w:type="dxa"/>
            <w:vAlign w:val="bottom"/>
            <w:gridSpan w:val="2"/>
          </w:tcPr>
          <w:p>
            <w:pPr>
              <w:ind w:left="240"/>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588,825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551,309</w:t>
            </w:r>
          </w:p>
        </w:tc>
        <w:tc>
          <w:tcPr>
            <w:tcW w:w="80" w:type="dxa"/>
            <w:vAlign w:val="bottom"/>
          </w:tcPr>
          <w:p>
            <w:pPr>
              <w:spacing w:after="0"/>
              <w:rPr>
                <w:sz w:val="19"/>
                <w:szCs w:val="19"/>
                <w:color w:val="auto"/>
              </w:rPr>
            </w:pPr>
          </w:p>
        </w:tc>
      </w:tr>
      <w:tr>
        <w:trPr>
          <w:trHeight w:val="224"/>
        </w:trPr>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135,631</w:t>
            </w:r>
          </w:p>
        </w:tc>
        <w:tc>
          <w:tcPr>
            <w:tcW w:w="80" w:type="dxa"/>
            <w:vAlign w:val="bottom"/>
            <w:shd w:val="clear" w:color="auto" w:fill="CFF0FC"/>
          </w:tcPr>
          <w:p>
            <w:pPr>
              <w:spacing w:after="0"/>
              <w:rPr>
                <w:sz w:val="19"/>
                <w:szCs w:val="19"/>
                <w:color w:val="auto"/>
              </w:rPr>
            </w:pPr>
          </w:p>
        </w:tc>
      </w:tr>
      <w:tr>
        <w:trPr>
          <w:trHeight w:val="224"/>
        </w:trPr>
        <w:tc>
          <w:tcPr>
            <w:tcW w:w="5440" w:type="dxa"/>
            <w:vAlign w:val="bottom"/>
            <w:gridSpan w:val="2"/>
          </w:tcPr>
          <w:p>
            <w:pPr>
              <w:ind w:left="24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49,237</w:t>
            </w:r>
          </w:p>
        </w:tc>
        <w:tc>
          <w:tcPr>
            <w:tcW w:w="80" w:type="dxa"/>
            <w:vAlign w:val="bottom"/>
          </w:tcPr>
          <w:p>
            <w:pPr>
              <w:spacing w:after="0"/>
              <w:rPr>
                <w:sz w:val="19"/>
                <w:szCs w:val="19"/>
                <w:color w:val="auto"/>
              </w:rPr>
            </w:pPr>
          </w:p>
        </w:tc>
      </w:tr>
      <w:tr>
        <w:trPr>
          <w:trHeight w:val="224"/>
        </w:trPr>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15,757</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8,314</w:t>
            </w:r>
          </w:p>
        </w:tc>
        <w:tc>
          <w:tcPr>
            <w:tcW w:w="80" w:type="dxa"/>
            <w:vAlign w:val="bottom"/>
            <w:shd w:val="clear" w:color="auto" w:fill="CFF0FC"/>
          </w:tcPr>
          <w:p>
            <w:pPr>
              <w:spacing w:after="0"/>
              <w:rPr>
                <w:sz w:val="19"/>
                <w:szCs w:val="19"/>
                <w:color w:val="auto"/>
              </w:rPr>
            </w:pPr>
          </w:p>
        </w:tc>
      </w:tr>
      <w:tr>
        <w:trPr>
          <w:trHeight w:val="217"/>
        </w:trPr>
        <w:tc>
          <w:tcPr>
            <w:tcW w:w="4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1,305,473</w:t>
            </w:r>
          </w:p>
        </w:tc>
        <w:tc>
          <w:tcPr>
            <w:tcW w:w="22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1,220,765</w:t>
            </w:r>
          </w:p>
        </w:tc>
        <w:tc>
          <w:tcPr>
            <w:tcW w:w="80" w:type="dxa"/>
            <w:vAlign w:val="bottom"/>
          </w:tcPr>
          <w:p>
            <w:pPr>
              <w:spacing w:after="0"/>
              <w:rPr>
                <w:sz w:val="18"/>
                <w:szCs w:val="18"/>
                <w:color w:val="auto"/>
              </w:rPr>
            </w:pPr>
          </w:p>
        </w:tc>
      </w:tr>
      <w:tr>
        <w:trPr>
          <w:trHeight w:val="224"/>
        </w:trPr>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Net deferred loan fees and costs</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(2,483)</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(1,766)</w:t>
            </w:r>
          </w:p>
        </w:tc>
      </w:tr>
      <w:tr>
        <w:trPr>
          <w:trHeight w:val="217"/>
        </w:trPr>
        <w:tc>
          <w:tcPr>
            <w:tcW w:w="4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1,302,990</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1,218,999</w:t>
            </w:r>
          </w:p>
        </w:tc>
        <w:tc>
          <w:tcPr>
            <w:tcW w:w="80" w:type="dxa"/>
            <w:vAlign w:val="bottom"/>
          </w:tcPr>
          <w:p>
            <w:pPr>
              <w:spacing w:after="0"/>
              <w:rPr>
                <w:sz w:val="18"/>
                <w:szCs w:val="18"/>
                <w:color w:val="auto"/>
              </w:rPr>
            </w:pPr>
          </w:p>
        </w:tc>
      </w:tr>
      <w:tr>
        <w:trPr>
          <w:trHeight w:val="224"/>
        </w:trPr>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Allowance for loan losses</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(13,672)</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(7,228)</w:t>
            </w:r>
          </w:p>
        </w:tc>
      </w:tr>
      <w:tr>
        <w:trPr>
          <w:trHeight w:val="217"/>
        </w:trPr>
        <w:tc>
          <w:tcPr>
            <w:tcW w:w="5440" w:type="dxa"/>
            <w:vAlign w:val="bottom"/>
            <w:gridSpan w:val="2"/>
          </w:tcPr>
          <w:p>
            <w:pPr>
              <w:ind w:left="240"/>
              <w:spacing w:after="0"/>
              <w:rPr>
                <w:sz w:val="20"/>
                <w:szCs w:val="20"/>
                <w:color w:val="auto"/>
              </w:rPr>
            </w:pPr>
            <w:r>
              <w:rPr>
                <w:rFonts w:ascii="Arial" w:cs="Arial" w:eastAsia="Arial" w:hAnsi="Arial"/>
                <w:sz w:val="18"/>
                <w:szCs w:val="18"/>
                <w:color w:val="auto"/>
              </w:rPr>
              <w:t>Loans - Net</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1,289,318</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1,211,771</w:t>
            </w:r>
          </w:p>
        </w:tc>
        <w:tc>
          <w:tcPr>
            <w:tcW w:w="8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175"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54"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41"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the future contracts. The risk related to weather is often mitigated by requiring crop insurance.</w:t>
      </w:r>
    </w:p>
    <w:p>
      <w:pPr>
        <w:spacing w:after="0" w:line="152"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65" w:lineRule="exact"/>
        <w:rPr>
          <w:sz w:val="20"/>
          <w:szCs w:val="20"/>
          <w:color w:val="auto"/>
        </w:rPr>
      </w:pPr>
    </w:p>
    <w:p>
      <w:pPr>
        <w:jc w:val="both"/>
        <w:ind w:left="800"/>
        <w:spacing w:after="0" w:line="282" w:lineRule="auto"/>
        <w:rPr>
          <w:sz w:val="20"/>
          <w:szCs w:val="20"/>
          <w:color w:val="auto"/>
        </w:rPr>
      </w:pPr>
      <w:r>
        <w:rPr>
          <w:rFonts w:ascii="Arial" w:cs="Arial" w:eastAsia="Arial" w:hAnsi="Arial"/>
          <w:sz w:val="16"/>
          <w:szCs w:val="16"/>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 Included in commercial loans for 2020 are $36.2 million of Paycheck Protection Program (PPP) loans, administered by the Small Business Administration (SBA). The PPP provides loans to eligible business through financial institutions like the Bank, with loans being eligible for forgiveness of some or all of the principal amount by the SBA if the borrower meets certain requirements. The SBA guarantees repayment of the loans to the Bank if the borrower’s loan is not forgiven and is then not repaid by the customer. Therefore, there is no allowance for loan losses related to these loans.</w:t>
      </w:r>
    </w:p>
    <w:p>
      <w:pPr>
        <w:spacing w:after="0" w:line="128"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Consumer: Funding for individual and family purposes. Success in repayment is subject to borrower’s income, debt level, character in fulfilling payment obligations, employment, and others.</w:t>
      </w:r>
    </w:p>
    <w:p>
      <w:pPr>
        <w:spacing w:after="0" w:line="141"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Other: Primarily funds public improvements in the Bank’s service area. Repayment ability is based on the continuance of the taxation revenue as the source of repayment.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30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is a maturity schedule by major category of loans excluding fair value adjustments at December 31, 2020:</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5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After One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Within</w:t>
            </w:r>
          </w:p>
        </w:tc>
        <w:tc>
          <w:tcPr>
            <w:tcW w:w="122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Year Within</w:t>
            </w:r>
          </w:p>
        </w:tc>
        <w:tc>
          <w:tcPr>
            <w:tcW w:w="10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After</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5"/>
              </w:rPr>
              <w:t>One Year</w:t>
            </w:r>
          </w:p>
        </w:tc>
        <w:tc>
          <w:tcPr>
            <w:tcW w:w="10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Five Years</w:t>
            </w:r>
          </w:p>
        </w:tc>
        <w:tc>
          <w:tcPr>
            <w:tcW w:w="10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Five Years</w:t>
            </w:r>
          </w:p>
        </w:tc>
        <w:tc>
          <w:tcPr>
            <w:tcW w:w="180" w:type="dxa"/>
            <w:vAlign w:val="bottom"/>
          </w:tcPr>
          <w:p>
            <w:pPr>
              <w:spacing w:after="0"/>
              <w:rPr>
                <w:sz w:val="19"/>
                <w:szCs w:val="19"/>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Total</w:t>
            </w:r>
          </w:p>
        </w:tc>
      </w:tr>
      <w:tr>
        <w:trPr>
          <w:trHeight w:val="217"/>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5,810</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31,538</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138,295</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175,643</w:t>
            </w:r>
          </w:p>
        </w:tc>
        <w:tc>
          <w:tcPr>
            <w:tcW w:w="100" w:type="dxa"/>
            <w:vAlign w:val="bottom"/>
            <w:tcBorders>
              <w:top w:val="single" w:sz="8" w:color="CFF0FC"/>
            </w:tcBorders>
            <w:shd w:val="clear" w:color="auto" w:fill="CFF0FC"/>
          </w:tcPr>
          <w:p>
            <w:pPr>
              <w:spacing w:after="0"/>
              <w:rPr>
                <w:sz w:val="18"/>
                <w:szCs w:val="18"/>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180,123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189,780</w:t>
            </w:r>
          </w:p>
        </w:tc>
        <w:tc>
          <w:tcPr>
            <w:tcW w:w="100" w:type="dxa"/>
            <w:vAlign w:val="bottom"/>
          </w:tcPr>
          <w:p>
            <w:pPr>
              <w:spacing w:after="0"/>
              <w:rPr>
                <w:sz w:val="19"/>
                <w:szCs w:val="19"/>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53,083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27,835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94,361</w:t>
            </w:r>
          </w:p>
        </w:tc>
        <w:tc>
          <w:tcPr>
            <w:tcW w:w="100" w:type="dxa"/>
            <w:vAlign w:val="bottom"/>
            <w:shd w:val="clear" w:color="auto" w:fill="CFF0FC"/>
          </w:tcPr>
          <w:p>
            <w:pPr>
              <w:spacing w:after="0"/>
              <w:rPr>
                <w:sz w:val="19"/>
                <w:szCs w:val="19"/>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21,532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307,834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259,571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588,937</w:t>
            </w:r>
          </w:p>
        </w:tc>
        <w:tc>
          <w:tcPr>
            <w:tcW w:w="100" w:type="dxa"/>
            <w:vAlign w:val="bottom"/>
          </w:tcPr>
          <w:p>
            <w:pPr>
              <w:spacing w:after="0"/>
              <w:rPr>
                <w:sz w:val="19"/>
                <w:szCs w:val="19"/>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61,416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109,373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189,431</w:t>
            </w:r>
          </w:p>
        </w:tc>
        <w:tc>
          <w:tcPr>
            <w:tcW w:w="100" w:type="dxa"/>
            <w:vAlign w:val="bottom"/>
            <w:shd w:val="clear" w:color="auto" w:fill="CFF0FC"/>
          </w:tcPr>
          <w:p>
            <w:pPr>
              <w:spacing w:after="0"/>
              <w:rPr>
                <w:sz w:val="19"/>
                <w:szCs w:val="19"/>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38,099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52,519</w:t>
            </w:r>
          </w:p>
        </w:tc>
        <w:tc>
          <w:tcPr>
            <w:tcW w:w="100" w:type="dxa"/>
            <w:vAlign w:val="bottom"/>
          </w:tcPr>
          <w:p>
            <w:pPr>
              <w:spacing w:after="0"/>
              <w:rPr>
                <w:sz w:val="19"/>
                <w:szCs w:val="19"/>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2,223</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15,754</w:t>
            </w:r>
          </w:p>
        </w:tc>
        <w:tc>
          <w:tcPr>
            <w:tcW w:w="100" w:type="dxa"/>
            <w:vAlign w:val="bottom"/>
            <w:shd w:val="clear" w:color="auto" w:fill="CFF0FC"/>
          </w:tcPr>
          <w:p>
            <w:pPr>
              <w:spacing w:after="0"/>
              <w:rPr>
                <w:sz w:val="19"/>
                <w:szCs w:val="19"/>
                <w:color w:val="auto"/>
              </w:rPr>
            </w:pPr>
          </w:p>
        </w:tc>
      </w:tr>
      <w:tr>
        <w:trPr>
          <w:trHeight w:val="217"/>
        </w:trPr>
        <w:tc>
          <w:tcPr>
            <w:tcW w:w="53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151,196</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518,858</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636,371</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1,306,425</w:t>
            </w:r>
          </w:p>
        </w:tc>
        <w:tc>
          <w:tcPr>
            <w:tcW w:w="10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distribution of fixed rate loans and variable rate loans by major loan category is as follows as of December 31, 2020:</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5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8"/>
                <w:szCs w:val="18"/>
                <w:color w:val="auto"/>
              </w:rPr>
              <w:t>(In Thousands)</w:t>
            </w:r>
          </w:p>
        </w:tc>
        <w:tc>
          <w:tcPr>
            <w:tcW w:w="60" w:type="dxa"/>
            <w:vAlign w:val="bottom"/>
          </w:tcPr>
          <w:p>
            <w:pPr>
              <w:spacing w:after="0"/>
              <w:rPr>
                <w:sz w:val="19"/>
                <w:szCs w:val="19"/>
                <w:color w:val="auto"/>
              </w:rPr>
            </w:pPr>
          </w:p>
        </w:tc>
      </w:tr>
      <w:tr>
        <w:trPr>
          <w:trHeight w:val="217"/>
        </w:trPr>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Fixed</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Variable</w:t>
            </w:r>
          </w:p>
        </w:tc>
      </w:tr>
      <w:tr>
        <w:trPr>
          <w:trHeight w:val="224"/>
        </w:trPr>
        <w:tc>
          <w:tcPr>
            <w:tcW w:w="5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8"/>
                <w:szCs w:val="18"/>
                <w:color w:val="auto"/>
                <w:w w:val="84"/>
              </w:rPr>
              <w:t>Rate</w:t>
            </w:r>
          </w:p>
        </w:tc>
        <w:tc>
          <w:tcPr>
            <w:tcW w:w="160" w:type="dxa"/>
            <w:vAlign w:val="bottom"/>
          </w:tcPr>
          <w:p>
            <w:pPr>
              <w:spacing w:after="0"/>
              <w:rPr>
                <w:sz w:val="19"/>
                <w:szCs w:val="19"/>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Rate</w:t>
            </w:r>
          </w:p>
        </w:tc>
      </w:tr>
      <w:tr>
        <w:trPr>
          <w:trHeight w:val="217"/>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0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128,948</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46,640</w:t>
            </w:r>
          </w:p>
        </w:tc>
        <w:tc>
          <w:tcPr>
            <w:tcW w:w="60" w:type="dxa"/>
            <w:vAlign w:val="bottom"/>
            <w:tcBorders>
              <w:top w:val="single" w:sz="8" w:color="CFF0FC"/>
            </w:tcBorders>
            <w:shd w:val="clear" w:color="auto" w:fill="CFF0FC"/>
          </w:tcPr>
          <w:p>
            <w:pPr>
              <w:spacing w:after="0"/>
              <w:rPr>
                <w:sz w:val="18"/>
                <w:szCs w:val="18"/>
                <w:color w:val="auto"/>
              </w:rPr>
            </w:pPr>
          </w:p>
        </w:tc>
      </w:tr>
      <w:tr>
        <w:trPr>
          <w:trHeight w:val="224"/>
        </w:trPr>
        <w:tc>
          <w:tcPr>
            <w:tcW w:w="54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102,993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86,166</w:t>
            </w:r>
          </w:p>
        </w:tc>
        <w:tc>
          <w:tcPr>
            <w:tcW w:w="60" w:type="dxa"/>
            <w:vAlign w:val="bottom"/>
          </w:tcPr>
          <w:p>
            <w:pPr>
              <w:spacing w:after="0"/>
              <w:rPr>
                <w:sz w:val="19"/>
                <w:szCs w:val="19"/>
                <w:color w:val="auto"/>
              </w:rPr>
            </w:pPr>
          </w:p>
        </w:tc>
      </w:tr>
      <w:tr>
        <w:trPr>
          <w:trHeight w:val="224"/>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81,089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13,269</w:t>
            </w:r>
          </w:p>
        </w:tc>
        <w:tc>
          <w:tcPr>
            <w:tcW w:w="60" w:type="dxa"/>
            <w:vAlign w:val="bottom"/>
            <w:shd w:val="clear" w:color="auto" w:fill="CFF0FC"/>
          </w:tcPr>
          <w:p>
            <w:pPr>
              <w:spacing w:after="0"/>
              <w:rPr>
                <w:sz w:val="19"/>
                <w:szCs w:val="19"/>
                <w:color w:val="auto"/>
              </w:rPr>
            </w:pPr>
          </w:p>
        </w:tc>
      </w:tr>
      <w:tr>
        <w:trPr>
          <w:trHeight w:val="224"/>
        </w:trPr>
        <w:tc>
          <w:tcPr>
            <w:tcW w:w="54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456,997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131,828</w:t>
            </w:r>
          </w:p>
        </w:tc>
        <w:tc>
          <w:tcPr>
            <w:tcW w:w="60" w:type="dxa"/>
            <w:vAlign w:val="bottom"/>
          </w:tcPr>
          <w:p>
            <w:pPr>
              <w:spacing w:after="0"/>
              <w:rPr>
                <w:sz w:val="19"/>
                <w:szCs w:val="19"/>
                <w:color w:val="auto"/>
              </w:rPr>
            </w:pPr>
          </w:p>
        </w:tc>
      </w:tr>
      <w:tr>
        <w:trPr>
          <w:trHeight w:val="224"/>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163,688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25,558</w:t>
            </w:r>
          </w:p>
        </w:tc>
        <w:tc>
          <w:tcPr>
            <w:tcW w:w="60" w:type="dxa"/>
            <w:vAlign w:val="bottom"/>
            <w:shd w:val="clear" w:color="auto" w:fill="CFF0FC"/>
          </w:tcPr>
          <w:p>
            <w:pPr>
              <w:spacing w:after="0"/>
              <w:rPr>
                <w:sz w:val="19"/>
                <w:szCs w:val="19"/>
                <w:color w:val="auto"/>
              </w:rPr>
            </w:pPr>
          </w:p>
        </w:tc>
      </w:tr>
      <w:tr>
        <w:trPr>
          <w:trHeight w:val="224"/>
        </w:trPr>
        <w:tc>
          <w:tcPr>
            <w:tcW w:w="5480" w:type="dxa"/>
            <w:vAlign w:val="bottom"/>
          </w:tcPr>
          <w:p>
            <w:pPr>
              <w:spacing w:after="0"/>
              <w:rPr>
                <w:sz w:val="20"/>
                <w:szCs w:val="20"/>
                <w:color w:val="auto"/>
              </w:rPr>
            </w:pPr>
            <w:r>
              <w:rPr>
                <w:rFonts w:ascii="Arial" w:cs="Arial" w:eastAsia="Arial" w:hAnsi="Arial"/>
                <w:sz w:val="18"/>
                <w:szCs w:val="18"/>
                <w:color w:val="auto"/>
              </w:rPr>
              <w:t>Consumer</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48,558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3,982</w:t>
            </w:r>
          </w:p>
        </w:tc>
        <w:tc>
          <w:tcPr>
            <w:tcW w:w="60" w:type="dxa"/>
            <w:vAlign w:val="bottom"/>
          </w:tcPr>
          <w:p>
            <w:pPr>
              <w:spacing w:after="0"/>
              <w:rPr>
                <w:sz w:val="19"/>
                <w:szCs w:val="19"/>
                <w:color w:val="auto"/>
              </w:rPr>
            </w:pPr>
          </w:p>
        </w:tc>
      </w:tr>
      <w:tr>
        <w:trPr>
          <w:trHeight w:val="224"/>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left="800"/>
        <w:spacing w:after="0" w:line="262" w:lineRule="auto"/>
        <w:rPr>
          <w:sz w:val="20"/>
          <w:szCs w:val="20"/>
          <w:color w:val="auto"/>
        </w:rPr>
      </w:pPr>
      <w:r>
        <w:rPr>
          <w:rFonts w:ascii="Arial" w:cs="Arial" w:eastAsia="Arial" w:hAnsi="Arial"/>
          <w:sz w:val="18"/>
          <w:szCs w:val="18"/>
          <w:color w:val="auto"/>
        </w:rPr>
        <w:t>Other loans are included in the commercial and industrial category for the remainder of the tables in this Note 4, unless specifically noted separately.</w:t>
      </w:r>
    </w:p>
    <w:p>
      <w:pPr>
        <w:spacing w:after="0" w:line="75" w:lineRule="exact"/>
        <w:rPr>
          <w:sz w:val="20"/>
          <w:szCs w:val="20"/>
          <w:color w:val="auto"/>
        </w:rPr>
      </w:pPr>
    </w:p>
    <w:p>
      <w:pPr>
        <w:ind w:left="800"/>
        <w:spacing w:after="0" w:line="262" w:lineRule="auto"/>
        <w:rPr>
          <w:sz w:val="20"/>
          <w:szCs w:val="20"/>
          <w:color w:val="auto"/>
        </w:rPr>
      </w:pPr>
      <w:r>
        <w:rPr>
          <w:rFonts w:ascii="Arial" w:cs="Arial" w:eastAsia="Arial" w:hAnsi="Arial"/>
          <w:sz w:val="18"/>
          <w:szCs w:val="18"/>
          <w:color w:val="auto"/>
        </w:rPr>
        <w:t>The following table represents the contractual aging of the recorded investment in past due loans by portfolio classification of loans as of December 31, 2020 and 2019, net of deferred loan fees and costs: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7"/>
              </w:rPr>
              <w:t>Recorded</w:t>
            </w:r>
          </w:p>
        </w:tc>
        <w:tc>
          <w:tcPr>
            <w:tcW w:w="0" w:type="dxa"/>
            <w:vAlign w:val="bottom"/>
          </w:tcPr>
          <w:p>
            <w:pPr>
              <w:spacing w:after="0"/>
              <w:rPr>
                <w:sz w:val="1"/>
                <w:szCs w:val="1"/>
                <w:color w:val="auto"/>
              </w:rPr>
            </w:pPr>
          </w:p>
        </w:tc>
      </w:tr>
      <w:tr>
        <w:trPr>
          <w:trHeight w:val="211"/>
        </w:trPr>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6"/>
              </w:rPr>
              <w:t>Investment</w:t>
            </w:r>
          </w:p>
        </w:tc>
        <w:tc>
          <w:tcPr>
            <w:tcW w:w="0" w:type="dxa"/>
            <w:vAlign w:val="bottom"/>
          </w:tcPr>
          <w:p>
            <w:pPr>
              <w:spacing w:after="0"/>
              <w:rPr>
                <w:sz w:val="1"/>
                <w:szCs w:val="1"/>
                <w:color w:val="auto"/>
              </w:rPr>
            </w:pPr>
          </w:p>
        </w:tc>
      </w:tr>
      <w:tr>
        <w:trPr>
          <w:trHeight w:val="211"/>
        </w:trPr>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ind w:right="12"/>
              <w:spacing w:after="0"/>
              <w:rPr>
                <w:sz w:val="20"/>
                <w:szCs w:val="20"/>
                <w:color w:val="auto"/>
              </w:rPr>
            </w:pPr>
            <w:r>
              <w:rPr>
                <w:rFonts w:ascii="Arial" w:cs="Arial" w:eastAsia="Arial" w:hAnsi="Arial"/>
                <w:sz w:val="18"/>
                <w:szCs w:val="18"/>
                <w:color w:val="auto"/>
                <w:w w:val="86"/>
              </w:rPr>
              <w:t>30-59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ind w:right="72"/>
              <w:spacing w:after="0"/>
              <w:rPr>
                <w:sz w:val="20"/>
                <w:szCs w:val="20"/>
                <w:color w:val="auto"/>
              </w:rPr>
            </w:pPr>
            <w:r>
              <w:rPr>
                <w:rFonts w:ascii="Arial" w:cs="Arial" w:eastAsia="Arial" w:hAnsi="Arial"/>
                <w:sz w:val="18"/>
                <w:szCs w:val="18"/>
                <w:color w:val="auto"/>
                <w:w w:val="86"/>
              </w:rPr>
              <w:t>60-89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Greater</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8"/>
              </w:rPr>
              <w:t>&gt; 90 Days</w:t>
            </w:r>
          </w:p>
        </w:tc>
        <w:tc>
          <w:tcPr>
            <w:tcW w:w="0" w:type="dxa"/>
            <w:vAlign w:val="bottom"/>
          </w:tcPr>
          <w:p>
            <w:pPr>
              <w:spacing w:after="0"/>
              <w:rPr>
                <w:sz w:val="1"/>
                <w:szCs w:val="1"/>
                <w:color w:val="auto"/>
              </w:rPr>
            </w:pPr>
          </w:p>
        </w:tc>
      </w:tr>
      <w:tr>
        <w:trPr>
          <w:trHeight w:val="211"/>
        </w:trPr>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ind w:right="12"/>
              <w:spacing w:after="0"/>
              <w:rPr>
                <w:sz w:val="20"/>
                <w:szCs w:val="20"/>
                <w:color w:val="auto"/>
              </w:rPr>
            </w:pPr>
            <w:r>
              <w:rPr>
                <w:rFonts w:ascii="Arial" w:cs="Arial" w:eastAsia="Arial" w:hAnsi="Arial"/>
                <w:sz w:val="18"/>
                <w:szCs w:val="18"/>
                <w:color w:val="auto"/>
                <w:w w:val="87"/>
              </w:rPr>
              <w:t>Days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Days</w:t>
            </w:r>
          </w:p>
        </w:tc>
        <w:tc>
          <w:tcPr>
            <w:tcW w:w="8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Than</w:t>
            </w:r>
          </w:p>
        </w:tc>
        <w:tc>
          <w:tcPr>
            <w:tcW w:w="140" w:type="dxa"/>
            <w:vAlign w:val="bottom"/>
          </w:tcPr>
          <w:p>
            <w:pPr>
              <w:spacing w:after="0"/>
              <w:rPr>
                <w:sz w:val="18"/>
                <w:szCs w:val="18"/>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Financing</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December 31, 2020</w:t>
            </w:r>
          </w:p>
        </w:tc>
        <w:tc>
          <w:tcPr>
            <w:tcW w:w="80" w:type="dxa"/>
            <w:vAlign w:val="bottom"/>
          </w:tcPr>
          <w:p>
            <w:pPr>
              <w:spacing w:after="0"/>
              <w:rPr>
                <w:sz w:val="19"/>
                <w:szCs w:val="19"/>
                <w:color w:val="auto"/>
              </w:rPr>
            </w:pPr>
          </w:p>
        </w:tc>
        <w:tc>
          <w:tcPr>
            <w:tcW w:w="740" w:type="dxa"/>
            <w:vAlign w:val="bottom"/>
          </w:tcPr>
          <w:p>
            <w:pPr>
              <w:jc w:val="center"/>
              <w:ind w:right="12"/>
              <w:spacing w:after="0"/>
              <w:rPr>
                <w:sz w:val="20"/>
                <w:szCs w:val="20"/>
                <w:color w:val="auto"/>
              </w:rPr>
            </w:pPr>
            <w:r>
              <w:rPr>
                <w:rFonts w:ascii="Arial" w:cs="Arial" w:eastAsia="Arial" w:hAnsi="Arial"/>
                <w:sz w:val="18"/>
                <w:szCs w:val="18"/>
                <w:color w:val="auto"/>
                <w:w w:val="86"/>
              </w:rPr>
              <w:t>Past Due</w:t>
            </w:r>
          </w:p>
        </w:tc>
        <w:tc>
          <w:tcPr>
            <w:tcW w:w="24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86"/>
              </w:rPr>
              <w:t>Past Due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90 Days</w:t>
            </w:r>
          </w:p>
        </w:tc>
        <w:tc>
          <w:tcPr>
            <w:tcW w:w="22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83"/>
              </w:rPr>
              <w:t>Past Due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93"/>
              </w:rPr>
              <w:t>Current</w:t>
            </w:r>
          </w:p>
        </w:tc>
        <w:tc>
          <w:tcPr>
            <w:tcW w:w="1280" w:type="dxa"/>
            <w:vAlign w:val="bottom"/>
            <w:gridSpan w:val="4"/>
          </w:tcPr>
          <w:p>
            <w:pPr>
              <w:ind w:left="220"/>
              <w:spacing w:after="0"/>
              <w:rPr>
                <w:sz w:val="20"/>
                <w:szCs w:val="20"/>
                <w:color w:val="auto"/>
              </w:rPr>
            </w:pPr>
            <w:r>
              <w:rPr>
                <w:rFonts w:ascii="Arial" w:cs="Arial" w:eastAsia="Arial" w:hAnsi="Arial"/>
                <w:sz w:val="18"/>
                <w:szCs w:val="18"/>
                <w:color w:val="auto"/>
              </w:rPr>
              <w:t>Receivables</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Accruing</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173,824</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175,316</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32"/>
              <w:spacing w:after="0"/>
              <w:rPr>
                <w:sz w:val="20"/>
                <w:szCs w:val="20"/>
                <w:color w:val="auto"/>
              </w:rPr>
            </w:pPr>
            <w:r>
              <w:rPr>
                <w:rFonts w:ascii="Arial" w:cs="Arial" w:eastAsia="Arial" w:hAnsi="Arial"/>
                <w:sz w:val="18"/>
                <w:szCs w:val="18"/>
                <w:color w:val="auto"/>
                <w:w w:val="79"/>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2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188,738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188,826</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94,314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94,490</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2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587,469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587,654</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202,310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204,043</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52,608</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52,661</w:t>
            </w:r>
          </w:p>
        </w:tc>
        <w:tc>
          <w:tcPr>
            <w:tcW w:w="2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7"/>
        </w:trPr>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1,299,263</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1,302,990</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32"/>
              <w:spacing w:after="0"/>
              <w:rPr>
                <w:sz w:val="20"/>
                <w:szCs w:val="20"/>
                <w:color w:val="auto"/>
              </w:rPr>
            </w:pPr>
            <w:r>
              <w:rPr>
                <w:rFonts w:ascii="Arial" w:cs="Arial" w:eastAsia="Arial" w:hAnsi="Arial"/>
                <w:sz w:val="18"/>
                <w:szCs w:val="18"/>
                <w:color w:val="auto"/>
                <w:w w:val="79"/>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252"/>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20" w:type="dxa"/>
            <w:vAlign w:val="bottom"/>
          </w:tcPr>
          <w:p>
            <w:pPr>
              <w:spacing w:after="0"/>
              <w:rPr>
                <w:sz w:val="20"/>
                <w:szCs w:val="20"/>
                <w:color w:val="auto"/>
              </w:rPr>
            </w:pPr>
            <w:r>
              <w:rPr>
                <w:rFonts w:ascii="Arial" w:cs="Arial" w:eastAsia="Arial" w:hAnsi="Arial"/>
                <w:sz w:val="18"/>
                <w:szCs w:val="18"/>
                <w:b w:val="1"/>
                <w:bCs w:val="1"/>
                <w:color w:val="auto"/>
              </w:rPr>
              <w:t>Note 4 – Loans (Continued)</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7"/>
              </w:rPr>
              <w:t>Recorded</w:t>
            </w:r>
          </w:p>
        </w:tc>
        <w:tc>
          <w:tcPr>
            <w:tcW w:w="0" w:type="dxa"/>
            <w:vAlign w:val="bottom"/>
          </w:tcPr>
          <w:p>
            <w:pPr>
              <w:spacing w:after="0"/>
              <w:rPr>
                <w:sz w:val="1"/>
                <w:szCs w:val="1"/>
                <w:color w:val="auto"/>
              </w:rPr>
            </w:pPr>
          </w:p>
        </w:tc>
      </w:tr>
      <w:tr>
        <w:trPr>
          <w:trHeight w:val="211"/>
        </w:trPr>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6"/>
              </w:rPr>
              <w:t>Investment</w:t>
            </w:r>
          </w:p>
        </w:tc>
        <w:tc>
          <w:tcPr>
            <w:tcW w:w="0" w:type="dxa"/>
            <w:vAlign w:val="bottom"/>
          </w:tcPr>
          <w:p>
            <w:pPr>
              <w:spacing w:after="0"/>
              <w:rPr>
                <w:sz w:val="1"/>
                <w:szCs w:val="1"/>
                <w:color w:val="auto"/>
              </w:rPr>
            </w:pPr>
          </w:p>
        </w:tc>
      </w:tr>
      <w:tr>
        <w:trPr>
          <w:trHeight w:val="211"/>
        </w:trPr>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ind w:right="12"/>
              <w:spacing w:after="0"/>
              <w:rPr>
                <w:sz w:val="20"/>
                <w:szCs w:val="20"/>
                <w:color w:val="auto"/>
              </w:rPr>
            </w:pPr>
            <w:r>
              <w:rPr>
                <w:rFonts w:ascii="Arial" w:cs="Arial" w:eastAsia="Arial" w:hAnsi="Arial"/>
                <w:sz w:val="18"/>
                <w:szCs w:val="18"/>
                <w:color w:val="auto"/>
                <w:w w:val="86"/>
              </w:rPr>
              <w:t>30-59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ind w:right="72"/>
              <w:spacing w:after="0"/>
              <w:rPr>
                <w:sz w:val="20"/>
                <w:szCs w:val="20"/>
                <w:color w:val="auto"/>
              </w:rPr>
            </w:pPr>
            <w:r>
              <w:rPr>
                <w:rFonts w:ascii="Arial" w:cs="Arial" w:eastAsia="Arial" w:hAnsi="Arial"/>
                <w:sz w:val="18"/>
                <w:szCs w:val="18"/>
                <w:color w:val="auto"/>
                <w:w w:val="86"/>
              </w:rPr>
              <w:t>60-89</w:t>
            </w:r>
          </w:p>
        </w:tc>
        <w:tc>
          <w:tcPr>
            <w:tcW w:w="2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5"/>
              </w:rPr>
              <w:t>Greater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8"/>
              </w:rPr>
              <w:t>&gt; 90 Days</w:t>
            </w:r>
          </w:p>
        </w:tc>
        <w:tc>
          <w:tcPr>
            <w:tcW w:w="0" w:type="dxa"/>
            <w:vAlign w:val="bottom"/>
          </w:tcPr>
          <w:p>
            <w:pPr>
              <w:spacing w:after="0"/>
              <w:rPr>
                <w:sz w:val="1"/>
                <w:szCs w:val="1"/>
                <w:color w:val="auto"/>
              </w:rPr>
            </w:pPr>
          </w:p>
        </w:tc>
      </w:tr>
      <w:tr>
        <w:trPr>
          <w:trHeight w:val="211"/>
        </w:trPr>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ind w:right="12"/>
              <w:spacing w:after="0"/>
              <w:rPr>
                <w:sz w:val="20"/>
                <w:szCs w:val="20"/>
                <w:color w:val="auto"/>
              </w:rPr>
            </w:pPr>
            <w:r>
              <w:rPr>
                <w:rFonts w:ascii="Arial" w:cs="Arial" w:eastAsia="Arial" w:hAnsi="Arial"/>
                <w:sz w:val="18"/>
                <w:szCs w:val="18"/>
                <w:color w:val="auto"/>
                <w:w w:val="87"/>
              </w:rPr>
              <w:t>Days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Days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Than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Financing</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December 31, 2019</w:t>
            </w:r>
          </w:p>
        </w:tc>
        <w:tc>
          <w:tcPr>
            <w:tcW w:w="80" w:type="dxa"/>
            <w:vAlign w:val="bottom"/>
          </w:tcPr>
          <w:p>
            <w:pPr>
              <w:spacing w:after="0"/>
              <w:rPr>
                <w:sz w:val="19"/>
                <w:szCs w:val="19"/>
                <w:color w:val="auto"/>
              </w:rPr>
            </w:pPr>
          </w:p>
        </w:tc>
        <w:tc>
          <w:tcPr>
            <w:tcW w:w="740" w:type="dxa"/>
            <w:vAlign w:val="bottom"/>
          </w:tcPr>
          <w:p>
            <w:pPr>
              <w:jc w:val="center"/>
              <w:ind w:right="12"/>
              <w:spacing w:after="0"/>
              <w:rPr>
                <w:sz w:val="20"/>
                <w:szCs w:val="20"/>
                <w:color w:val="auto"/>
              </w:rPr>
            </w:pPr>
            <w:r>
              <w:rPr>
                <w:rFonts w:ascii="Arial" w:cs="Arial" w:eastAsia="Arial" w:hAnsi="Arial"/>
                <w:sz w:val="18"/>
                <w:szCs w:val="18"/>
                <w:color w:val="auto"/>
                <w:w w:val="86"/>
              </w:rPr>
              <w:t>Past Due</w:t>
            </w:r>
          </w:p>
        </w:tc>
        <w:tc>
          <w:tcPr>
            <w:tcW w:w="24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86"/>
              </w:rPr>
              <w:t>Past Due</w:t>
            </w:r>
          </w:p>
        </w:tc>
        <w:tc>
          <w:tcPr>
            <w:tcW w:w="2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90 Days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83"/>
              </w:rPr>
              <w:t>Past Due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93"/>
              </w:rPr>
              <w:t>Current</w:t>
            </w:r>
          </w:p>
        </w:tc>
        <w:tc>
          <w:tcPr>
            <w:tcW w:w="1280" w:type="dxa"/>
            <w:vAlign w:val="bottom"/>
            <w:gridSpan w:val="4"/>
          </w:tcPr>
          <w:p>
            <w:pPr>
              <w:ind w:left="220"/>
              <w:spacing w:after="0"/>
              <w:rPr>
                <w:sz w:val="20"/>
                <w:szCs w:val="20"/>
                <w:color w:val="auto"/>
              </w:rPr>
            </w:pPr>
            <w:r>
              <w:rPr>
                <w:rFonts w:ascii="Arial" w:cs="Arial" w:eastAsia="Arial" w:hAnsi="Arial"/>
                <w:sz w:val="18"/>
                <w:szCs w:val="18"/>
                <w:color w:val="auto"/>
              </w:rPr>
              <w:t>Receivables</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Accruing</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37"/>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164,266</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164,691</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32"/>
              <w:spacing w:after="0"/>
              <w:rPr>
                <w:sz w:val="20"/>
                <w:szCs w:val="20"/>
                <w:color w:val="auto"/>
              </w:rPr>
            </w:pPr>
            <w:r>
              <w:rPr>
                <w:rFonts w:ascii="Arial" w:cs="Arial" w:eastAsia="Arial" w:hAnsi="Arial"/>
                <w:sz w:val="18"/>
                <w:szCs w:val="18"/>
                <w:color w:val="auto"/>
                <w:w w:val="79"/>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2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198,752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198,859</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111,864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111,949</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2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550,082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550,082</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143,541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144,009</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49,355</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49,409</w:t>
            </w:r>
          </w:p>
        </w:tc>
        <w:tc>
          <w:tcPr>
            <w:tcW w:w="2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7"/>
        </w:trPr>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37"/>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1,217,860</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1,218,999</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32"/>
              <w:spacing w:after="0"/>
              <w:rPr>
                <w:sz w:val="20"/>
                <w:szCs w:val="20"/>
                <w:color w:val="auto"/>
              </w:rPr>
            </w:pPr>
            <w:r>
              <w:rPr>
                <w:rFonts w:ascii="Arial" w:cs="Arial" w:eastAsia="Arial" w:hAnsi="Arial"/>
                <w:sz w:val="18"/>
                <w:szCs w:val="18"/>
                <w:color w:val="auto"/>
                <w:w w:val="79"/>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00"/>
        <w:spacing w:after="0" w:line="262" w:lineRule="auto"/>
        <w:rPr>
          <w:sz w:val="20"/>
          <w:szCs w:val="20"/>
          <w:color w:val="auto"/>
        </w:rPr>
      </w:pPr>
      <w:r>
        <w:rPr>
          <w:rFonts w:ascii="Arial" w:cs="Arial" w:eastAsia="Arial" w:hAnsi="Arial"/>
          <w:sz w:val="18"/>
          <w:szCs w:val="18"/>
          <w:color w:val="auto"/>
        </w:rPr>
        <w:t>The following table presents the recorded investment in nonaccrual loans by portfolio class of loans as of December 31, 2020 and December 31, 2019:</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5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5"/>
          </w:tcPr>
          <w:p>
            <w:pPr>
              <w:ind w:left="420"/>
              <w:spacing w:after="0"/>
              <w:rPr>
                <w:sz w:val="20"/>
                <w:szCs w:val="20"/>
                <w:color w:val="auto"/>
              </w:rPr>
            </w:pPr>
            <w:r>
              <w:rPr>
                <w:rFonts w:ascii="Arial" w:cs="Arial" w:eastAsia="Arial" w:hAnsi="Arial"/>
                <w:sz w:val="18"/>
                <w:szCs w:val="18"/>
                <w:color w:val="auto"/>
              </w:rPr>
              <w:t>(In Thousands)</w:t>
            </w:r>
          </w:p>
        </w:tc>
      </w:tr>
      <w:tr>
        <w:trPr>
          <w:trHeight w:val="217"/>
        </w:trPr>
        <w:tc>
          <w:tcPr>
            <w:tcW w:w="54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2019</w:t>
            </w:r>
          </w:p>
        </w:tc>
        <w:tc>
          <w:tcPr>
            <w:tcW w:w="60" w:type="dxa"/>
            <w:vAlign w:val="bottom"/>
            <w:tcBorders>
              <w:bottom w:val="single" w:sz="8" w:color="CFF0FC"/>
            </w:tcBorders>
          </w:tcPr>
          <w:p>
            <w:pPr>
              <w:spacing w:after="0"/>
              <w:rPr>
                <w:sz w:val="18"/>
                <w:szCs w:val="18"/>
                <w:color w:val="auto"/>
              </w:rPr>
            </w:pPr>
          </w:p>
        </w:tc>
      </w:tr>
      <w:tr>
        <w:trPr>
          <w:trHeight w:val="21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60" w:type="dxa"/>
            <w:vAlign w:val="bottom"/>
            <w:shd w:val="clear" w:color="auto" w:fill="CFF0FC"/>
          </w:tcPr>
          <w:p>
            <w:pPr>
              <w:spacing w:after="0"/>
              <w:rPr>
                <w:sz w:val="18"/>
                <w:szCs w:val="18"/>
                <w:color w:val="auto"/>
              </w:rPr>
            </w:pPr>
          </w:p>
        </w:tc>
      </w:tr>
      <w:tr>
        <w:trPr>
          <w:trHeight w:val="224"/>
        </w:trPr>
        <w:tc>
          <w:tcPr>
            <w:tcW w:w="54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5,575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r>
      <w:tr>
        <w:trPr>
          <w:trHeight w:val="224"/>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Agriculture</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w:t>
            </w:r>
          </w:p>
        </w:tc>
        <w:tc>
          <w:tcPr>
            <w:tcW w:w="60" w:type="dxa"/>
            <w:vAlign w:val="bottom"/>
            <w:shd w:val="clear" w:color="auto" w:fill="CFF0FC"/>
          </w:tcPr>
          <w:p>
            <w:pPr>
              <w:spacing w:after="0"/>
              <w:rPr>
                <w:sz w:val="19"/>
                <w:szCs w:val="19"/>
                <w:color w:val="auto"/>
              </w:rPr>
            </w:pPr>
          </w:p>
        </w:tc>
      </w:tr>
      <w:tr>
        <w:trPr>
          <w:trHeight w:val="224"/>
        </w:trPr>
        <w:tc>
          <w:tcPr>
            <w:tcW w:w="54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r>
      <w:tr>
        <w:trPr>
          <w:trHeight w:val="224"/>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60" w:type="dxa"/>
            <w:vAlign w:val="bottom"/>
            <w:shd w:val="clear" w:color="auto" w:fill="CFF0FC"/>
          </w:tcPr>
          <w:p>
            <w:pPr>
              <w:spacing w:after="0"/>
              <w:rPr>
                <w:sz w:val="19"/>
                <w:szCs w:val="19"/>
                <w:color w:val="auto"/>
              </w:rPr>
            </w:pPr>
          </w:p>
        </w:tc>
      </w:tr>
      <w:tr>
        <w:trPr>
          <w:trHeight w:val="224"/>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bottom w:val="single" w:sz="8" w:color="CFF0FC"/>
            </w:tcBorders>
          </w:tcPr>
          <w:p>
            <w:pPr>
              <w:spacing w:after="0"/>
              <w:rPr>
                <w:sz w:val="19"/>
                <w:szCs w:val="19"/>
                <w:color w:val="auto"/>
              </w:rPr>
            </w:pPr>
          </w:p>
        </w:tc>
      </w:tr>
      <w:tr>
        <w:trPr>
          <w:trHeight w:val="217"/>
        </w:trPr>
        <w:tc>
          <w:tcPr>
            <w:tcW w:w="54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9,404</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w:t>
      </w:r>
    </w:p>
    <w:p>
      <w:pPr>
        <w:spacing w:after="0" w:line="2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risk ratings are described as follows.</w:t>
      </w:r>
    </w:p>
    <w:p>
      <w:pPr>
        <w:spacing w:after="0" w:line="109" w:lineRule="exact"/>
        <w:rPr>
          <w:sz w:val="20"/>
          <w:szCs w:val="20"/>
          <w:color w:val="auto"/>
        </w:rPr>
      </w:pPr>
    </w:p>
    <w:p>
      <w:pPr>
        <w:ind w:left="1740" w:hanging="536"/>
        <w:spacing w:after="0"/>
        <w:tabs>
          <w:tab w:leader="none" w:pos="1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109" w:lineRule="exact"/>
        <w:rPr>
          <w:rFonts w:ascii="Arial" w:cs="Arial" w:eastAsia="Arial" w:hAnsi="Arial"/>
          <w:sz w:val="18"/>
          <w:szCs w:val="18"/>
          <w:color w:val="auto"/>
        </w:rPr>
      </w:pPr>
    </w:p>
    <w:p>
      <w:pPr>
        <w:jc w:val="both"/>
        <w:ind w:left="1740" w:hanging="536"/>
        <w:spacing w:after="0" w:line="247" w:lineRule="auto"/>
        <w:tabs>
          <w:tab w:leader="none" w:pos="1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One (1) Excellent. Credit to premier customers having the highest credit rating based on an extremely strong financial condition, which compares favorably with industry standards (upper quartile of RMA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rate is summarized by high liquidity, minimum risk, strong ratios, and low handling costs.</w:t>
      </w:r>
    </w:p>
    <w:p>
      <w:pPr>
        <w:spacing w:after="0" w:line="89" w:lineRule="exact"/>
        <w:rPr>
          <w:rFonts w:ascii="Arial" w:cs="Arial" w:eastAsia="Arial" w:hAnsi="Arial"/>
          <w:sz w:val="18"/>
          <w:szCs w:val="18"/>
          <w:color w:val="auto"/>
        </w:rPr>
      </w:pPr>
    </w:p>
    <w:p>
      <w:pPr>
        <w:jc w:val="both"/>
        <w:ind w:left="1740" w:hanging="536"/>
        <w:spacing w:after="0" w:line="291" w:lineRule="auto"/>
        <w:tabs>
          <w:tab w:leader="none" w:pos="1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Two (2) Good. Desirable loans of somewhat less stature than rate 1, but with strong financial statements. Loan supported by financial statements containing strong balance sheets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308" w:lineRule="exact"/>
        <w:rPr>
          <w:sz w:val="20"/>
          <w:szCs w:val="20"/>
          <w:color w:val="auto"/>
        </w:rPr>
      </w:pPr>
    </w:p>
    <w:p>
      <w:pPr>
        <w:jc w:val="both"/>
        <w:ind w:left="1620" w:hanging="495"/>
        <w:spacing w:after="0" w:line="300" w:lineRule="auto"/>
        <w:tabs>
          <w:tab w:leader="none" w:pos="1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Three (3) Satisfactory. Satisfactory loans of average or slightly above average risk – having some deficiency or vulnerability to changing economic conditions, but still fully collectible. Projects should normally demonstrate acceptable debt service coverage. There may be some weakness but with offsetting features of other support readily available. Loans that are meeting the terms of repayment.</w:t>
      </w:r>
    </w:p>
    <w:p>
      <w:pPr>
        <w:spacing w:after="0" w:line="47" w:lineRule="exact"/>
        <w:rPr>
          <w:rFonts w:ascii="Arial" w:cs="Arial" w:eastAsia="Arial" w:hAnsi="Arial"/>
          <w:sz w:val="16"/>
          <w:szCs w:val="16"/>
          <w:color w:val="auto"/>
        </w:rPr>
      </w:pPr>
    </w:p>
    <w:p>
      <w:pPr>
        <w:ind w:left="1640" w:right="20"/>
        <w:spacing w:after="0" w:line="412" w:lineRule="auto"/>
        <w:rPr>
          <w:rFonts w:ascii="Arial" w:cs="Arial" w:eastAsia="Arial" w:hAnsi="Arial"/>
          <w:sz w:val="16"/>
          <w:szCs w:val="16"/>
          <w:color w:val="auto"/>
        </w:rPr>
      </w:pPr>
      <w:r>
        <w:rPr>
          <w:rFonts w:ascii="Arial" w:cs="Arial" w:eastAsia="Arial" w:hAnsi="Arial"/>
          <w:sz w:val="16"/>
          <w:szCs w:val="16"/>
          <w:color w:val="auto"/>
        </w:rPr>
        <w:t>Loans may be rated 3 when there is no recent information on which to base a current risk evaluation and the following conditions apply: At inception, the loan was properly underwritten and did not possess an unwarranted level of credit risk;</w:t>
      </w:r>
    </w:p>
    <w:p>
      <w:pPr>
        <w:ind w:left="2140" w:hanging="501"/>
        <w:spacing w:after="0"/>
        <w:tabs>
          <w:tab w:leader="none" w:pos="21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At inception, the loan was secured with collateral possessing a loan-to-value adequate to protect The Bank from loss;</w:t>
      </w:r>
    </w:p>
    <w:p>
      <w:pPr>
        <w:spacing w:after="0" w:line="132" w:lineRule="exact"/>
        <w:rPr>
          <w:rFonts w:ascii="Arial" w:cs="Arial" w:eastAsia="Arial" w:hAnsi="Arial"/>
          <w:sz w:val="16"/>
          <w:szCs w:val="16"/>
          <w:color w:val="auto"/>
        </w:rPr>
      </w:pPr>
    </w:p>
    <w:p>
      <w:pPr>
        <w:ind w:left="2140" w:hanging="501"/>
        <w:spacing w:after="0"/>
        <w:tabs>
          <w:tab w:leader="none" w:pos="21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loan exhibited two or more years of satisfactory repayment with a reasonable reduction of the principal balance;</w:t>
      </w:r>
    </w:p>
    <w:p>
      <w:pPr>
        <w:spacing w:after="0" w:line="132" w:lineRule="exact"/>
        <w:rPr>
          <w:rFonts w:ascii="Arial" w:cs="Arial" w:eastAsia="Arial" w:hAnsi="Arial"/>
          <w:sz w:val="16"/>
          <w:szCs w:val="16"/>
          <w:color w:val="auto"/>
        </w:rPr>
      </w:pPr>
    </w:p>
    <w:p>
      <w:pPr>
        <w:jc w:val="both"/>
        <w:ind w:left="2140" w:hanging="501"/>
        <w:spacing w:after="0" w:line="300" w:lineRule="auto"/>
        <w:tabs>
          <w:tab w:leader="none" w:pos="21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is observed, a lower risk rating is warranted.</w:t>
      </w:r>
    </w:p>
    <w:p>
      <w:pPr>
        <w:spacing w:after="0" w:line="47" w:lineRule="exact"/>
        <w:rPr>
          <w:rFonts w:ascii="Arial" w:cs="Arial" w:eastAsia="Arial" w:hAnsi="Arial"/>
          <w:sz w:val="16"/>
          <w:szCs w:val="16"/>
          <w:color w:val="auto"/>
        </w:rPr>
      </w:pPr>
    </w:p>
    <w:p>
      <w:pPr>
        <w:jc w:val="both"/>
        <w:ind w:left="1620" w:hanging="495"/>
        <w:spacing w:after="0" w:line="291" w:lineRule="auto"/>
        <w:tabs>
          <w:tab w:leader="none" w:pos="1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Four (4) Satisfactory / Monitored. A “4” (Satisfactory/Monitored) risk rating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56" w:lineRule="exact"/>
        <w:rPr>
          <w:rFonts w:ascii="Arial" w:cs="Arial" w:eastAsia="Arial" w:hAnsi="Arial"/>
          <w:sz w:val="16"/>
          <w:szCs w:val="16"/>
          <w:color w:val="auto"/>
        </w:rPr>
      </w:pPr>
    </w:p>
    <w:p>
      <w:pPr>
        <w:jc w:val="both"/>
        <w:ind w:left="1620" w:hanging="495"/>
        <w:spacing w:after="0" w:line="248"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Five (5) Special Mention. Loans that possess some credit deficiency or potential weakness which deserve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89" w:lineRule="exact"/>
        <w:rPr>
          <w:rFonts w:ascii="Arial" w:cs="Arial" w:eastAsia="Arial" w:hAnsi="Arial"/>
          <w:sz w:val="18"/>
          <w:szCs w:val="18"/>
          <w:color w:val="auto"/>
        </w:rPr>
      </w:pPr>
    </w:p>
    <w:p>
      <w:pPr>
        <w:ind w:left="1620" w:hanging="495"/>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Six (6) Substandard. One or more of the following characteristics may be exhibited in loans classified substandard:</w:t>
      </w:r>
    </w:p>
    <w:p>
      <w:pPr>
        <w:spacing w:after="0" w:line="109" w:lineRule="exact"/>
        <w:rPr>
          <w:rFonts w:ascii="Arial" w:cs="Arial" w:eastAsia="Arial" w:hAnsi="Arial"/>
          <w:sz w:val="18"/>
          <w:szCs w:val="18"/>
          <w:color w:val="auto"/>
        </w:rPr>
      </w:pPr>
    </w:p>
    <w:p>
      <w:pPr>
        <w:jc w:val="both"/>
        <w:ind w:left="2140" w:hanging="501"/>
        <w:spacing w:after="0" w:line="253" w:lineRule="auto"/>
        <w:tabs>
          <w:tab w:leader="none" w:pos="2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83" w:lineRule="exact"/>
        <w:rPr>
          <w:rFonts w:ascii="Arial" w:cs="Arial" w:eastAsia="Arial" w:hAnsi="Arial"/>
          <w:sz w:val="18"/>
          <w:szCs w:val="18"/>
          <w:color w:val="auto"/>
        </w:rPr>
      </w:pPr>
    </w:p>
    <w:p>
      <w:pPr>
        <w:ind w:left="2140" w:hanging="501"/>
        <w:spacing w:after="0"/>
        <w:tabs>
          <w:tab w:leader="none" w:pos="2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109" w:lineRule="exact"/>
        <w:rPr>
          <w:rFonts w:ascii="Arial" w:cs="Arial" w:eastAsia="Arial" w:hAnsi="Arial"/>
          <w:sz w:val="18"/>
          <w:szCs w:val="18"/>
          <w:color w:val="auto"/>
        </w:rPr>
      </w:pPr>
    </w:p>
    <w:p>
      <w:pPr>
        <w:ind w:left="2140" w:hanging="501"/>
        <w:spacing w:after="0" w:line="262" w:lineRule="auto"/>
        <w:tabs>
          <w:tab w:leader="none" w:pos="2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spacing w:after="0" w:line="75" w:lineRule="exact"/>
        <w:rPr>
          <w:rFonts w:ascii="Arial" w:cs="Arial" w:eastAsia="Arial" w:hAnsi="Arial"/>
          <w:sz w:val="18"/>
          <w:szCs w:val="18"/>
          <w:color w:val="auto"/>
        </w:rPr>
      </w:pPr>
    </w:p>
    <w:p>
      <w:pPr>
        <w:ind w:left="2140" w:hanging="501"/>
        <w:spacing w:after="0"/>
        <w:tabs>
          <w:tab w:leader="none" w:pos="21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Loans are characterized by the distinct possibility that The Bank will sustain some loss if deficiencies are not corrected.</w:t>
      </w:r>
    </w:p>
    <w:p>
      <w:pPr>
        <w:spacing w:after="0" w:line="132" w:lineRule="exact"/>
        <w:rPr>
          <w:rFonts w:ascii="Arial" w:cs="Arial" w:eastAsia="Arial" w:hAnsi="Arial"/>
          <w:sz w:val="16"/>
          <w:szCs w:val="16"/>
          <w:color w:val="auto"/>
        </w:rPr>
      </w:pPr>
    </w:p>
    <w:p>
      <w:pPr>
        <w:ind w:left="2140" w:hanging="501"/>
        <w:spacing w:after="0"/>
        <w:tabs>
          <w:tab w:leader="none" w:pos="2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109" w:lineRule="exact"/>
        <w:rPr>
          <w:rFonts w:ascii="Arial" w:cs="Arial" w:eastAsia="Arial" w:hAnsi="Arial"/>
          <w:sz w:val="18"/>
          <w:szCs w:val="18"/>
          <w:color w:val="auto"/>
        </w:rPr>
      </w:pPr>
    </w:p>
    <w:p>
      <w:pPr>
        <w:ind w:left="2140" w:hanging="501"/>
        <w:spacing w:after="0"/>
        <w:tabs>
          <w:tab w:leader="none" w:pos="21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borrower is not generating enough cash flow to repay loan principal; however, continues to make interest payments.</w:t>
      </w:r>
    </w:p>
    <w:p>
      <w:pPr>
        <w:spacing w:after="0" w:line="132" w:lineRule="exact"/>
        <w:rPr>
          <w:rFonts w:ascii="Arial" w:cs="Arial" w:eastAsia="Arial" w:hAnsi="Arial"/>
          <w:sz w:val="16"/>
          <w:szCs w:val="16"/>
          <w:color w:val="auto"/>
        </w:rPr>
      </w:pPr>
    </w:p>
    <w:p>
      <w:pPr>
        <w:ind w:left="2140" w:hanging="501"/>
        <w:spacing w:after="0"/>
        <w:tabs>
          <w:tab w:leader="none" w:pos="2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lender is forced into a subordinate position or unsecured collateral position due to flaws in documentation.</w:t>
      </w:r>
    </w:p>
    <w:p>
      <w:pPr>
        <w:spacing w:after="0" w:line="109" w:lineRule="exact"/>
        <w:rPr>
          <w:rFonts w:ascii="Arial" w:cs="Arial" w:eastAsia="Arial" w:hAnsi="Arial"/>
          <w:sz w:val="18"/>
          <w:szCs w:val="18"/>
          <w:color w:val="auto"/>
        </w:rPr>
      </w:pPr>
    </w:p>
    <w:p>
      <w:pPr>
        <w:ind w:left="2140" w:hanging="501"/>
        <w:spacing w:after="0" w:line="262" w:lineRule="auto"/>
        <w:tabs>
          <w:tab w:leader="none" w:pos="2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spacing w:after="0" w:line="75" w:lineRule="exact"/>
        <w:rPr>
          <w:rFonts w:ascii="Arial" w:cs="Arial" w:eastAsia="Arial" w:hAnsi="Arial"/>
          <w:sz w:val="18"/>
          <w:szCs w:val="18"/>
          <w:color w:val="auto"/>
        </w:rPr>
      </w:pPr>
    </w:p>
    <w:p>
      <w:pPr>
        <w:ind w:left="2140" w:hanging="501"/>
        <w:spacing w:after="0"/>
        <w:tabs>
          <w:tab w:leader="none" w:pos="2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lender is seriously contemplating foreclosure or legal action due to the apparent deterioration in the loan</w:t>
      </w:r>
    </w:p>
    <w:p>
      <w:pPr>
        <w:spacing w:after="0" w:line="109" w:lineRule="exact"/>
        <w:rPr>
          <w:rFonts w:ascii="Arial" w:cs="Arial" w:eastAsia="Arial" w:hAnsi="Arial"/>
          <w:sz w:val="18"/>
          <w:szCs w:val="18"/>
          <w:color w:val="auto"/>
        </w:rPr>
      </w:pPr>
    </w:p>
    <w:p>
      <w:pPr>
        <w:ind w:left="2140" w:hanging="501"/>
        <w:spacing w:after="0"/>
        <w:tabs>
          <w:tab w:leader="none" w:pos="2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There is significant deterioration in the market conditions and the borrower is highly vulnerable to these conditions.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308" w:lineRule="exact"/>
        <w:rPr>
          <w:sz w:val="20"/>
          <w:szCs w:val="20"/>
          <w:color w:val="auto"/>
        </w:rPr>
      </w:pPr>
    </w:p>
    <w:p>
      <w:pPr>
        <w:ind w:left="1620" w:hanging="495"/>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109" w:lineRule="exact"/>
        <w:rPr>
          <w:rFonts w:ascii="Arial" w:cs="Arial" w:eastAsia="Arial" w:hAnsi="Arial"/>
          <w:sz w:val="18"/>
          <w:szCs w:val="18"/>
          <w:color w:val="auto"/>
        </w:rPr>
      </w:pPr>
    </w:p>
    <w:p>
      <w:pPr>
        <w:ind w:left="2140" w:hanging="501"/>
        <w:spacing w:after="0" w:line="262" w:lineRule="auto"/>
        <w:tabs>
          <w:tab w:leader="none" w:pos="2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however, these weaknesses make collection or liquidation in full based on existing conditions improbable.</w:t>
      </w:r>
    </w:p>
    <w:p>
      <w:pPr>
        <w:spacing w:after="0" w:line="75" w:lineRule="exact"/>
        <w:rPr>
          <w:rFonts w:ascii="Arial" w:cs="Arial" w:eastAsia="Arial" w:hAnsi="Arial"/>
          <w:sz w:val="18"/>
          <w:szCs w:val="18"/>
          <w:color w:val="auto"/>
        </w:rPr>
      </w:pPr>
    </w:p>
    <w:p>
      <w:pPr>
        <w:ind w:left="2140" w:hanging="501"/>
        <w:spacing w:after="0"/>
        <w:tabs>
          <w:tab w:leader="none" w:pos="2140" w:val="left"/>
        </w:tabs>
        <w:numPr>
          <w:ilvl w:val="1"/>
          <w:numId w:val="22"/>
        </w:numPr>
        <w:rPr>
          <w:rFonts w:ascii="Arial" w:cs="Arial" w:eastAsia="Arial" w:hAnsi="Arial"/>
          <w:sz w:val="15"/>
          <w:szCs w:val="15"/>
          <w:color w:val="auto"/>
        </w:rPr>
      </w:pPr>
      <w:r>
        <w:rPr>
          <w:rFonts w:ascii="Arial" w:cs="Arial" w:eastAsia="Arial" w:hAnsi="Arial"/>
          <w:sz w:val="15"/>
          <w:szCs w:val="15"/>
          <w:color w:val="auto"/>
        </w:rPr>
        <w:t>The primary source of repayment is gone, and there is considerable doubt as to the quality of the secondary source of repayment.</w:t>
      </w:r>
    </w:p>
    <w:p>
      <w:pPr>
        <w:spacing w:after="0" w:line="143" w:lineRule="exact"/>
        <w:rPr>
          <w:rFonts w:ascii="Arial" w:cs="Arial" w:eastAsia="Arial" w:hAnsi="Arial"/>
          <w:sz w:val="15"/>
          <w:szCs w:val="15"/>
          <w:color w:val="auto"/>
        </w:rPr>
      </w:pPr>
    </w:p>
    <w:p>
      <w:pPr>
        <w:jc w:val="both"/>
        <w:ind w:left="2140" w:hanging="501"/>
        <w:spacing w:after="0" w:line="253" w:lineRule="auto"/>
        <w:tabs>
          <w:tab w:leader="none" w:pos="2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83" w:lineRule="exact"/>
        <w:rPr>
          <w:rFonts w:ascii="Arial" w:cs="Arial" w:eastAsia="Arial" w:hAnsi="Arial"/>
          <w:sz w:val="18"/>
          <w:szCs w:val="18"/>
          <w:color w:val="auto"/>
        </w:rPr>
      </w:pPr>
    </w:p>
    <w:p>
      <w:pPr>
        <w:jc w:val="both"/>
        <w:ind w:left="1620" w:hanging="495"/>
        <w:spacing w:after="0" w:line="300" w:lineRule="auto"/>
        <w:tabs>
          <w:tab w:leader="none" w:pos="1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48"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The following table represents the risk category of loans by portfolio class, net of deferred fees, based on the most recent analysis performed as of the time periods shown of December 31, 2020 and December 31, 2019.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8"/>
                <w:szCs w:val="18"/>
                <w:color w:val="auto"/>
                <w:w w:val="95"/>
              </w:rPr>
              <w:t>(In Thousands)</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5"/>
        </w:trPr>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5"/>
          </w:tcPr>
          <w:p>
            <w:pPr>
              <w:jc w:val="center"/>
              <w:ind w:right="380"/>
              <w:spacing w:after="0" w:line="205" w:lineRule="exact"/>
              <w:rPr>
                <w:sz w:val="20"/>
                <w:szCs w:val="20"/>
                <w:color w:val="auto"/>
              </w:rPr>
            </w:pPr>
            <w:r>
              <w:rPr>
                <w:rFonts w:ascii="Arial" w:cs="Arial" w:eastAsia="Arial" w:hAnsi="Arial"/>
                <w:sz w:val="18"/>
                <w:szCs w:val="18"/>
                <w:color w:val="auto"/>
                <w:w w:val="90"/>
              </w:rPr>
              <w:t>Commercial and</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3"/>
        </w:trPr>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4"/>
          </w:tcPr>
          <w:p>
            <w:pPr>
              <w:jc w:val="right"/>
              <w:ind w:right="32"/>
              <w:spacing w:after="0"/>
              <w:rPr>
                <w:sz w:val="20"/>
                <w:szCs w:val="20"/>
                <w:color w:val="auto"/>
              </w:rPr>
            </w:pPr>
            <w:r>
              <w:rPr>
                <w:rFonts w:ascii="Arial" w:cs="Arial" w:eastAsia="Arial" w:hAnsi="Arial"/>
                <w:sz w:val="18"/>
                <w:szCs w:val="18"/>
                <w:color w:val="auto"/>
                <w:w w:val="88"/>
              </w:rPr>
              <w:t>Agricultural Real Estate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4"/>
          </w:tcPr>
          <w:p>
            <w:pPr>
              <w:jc w:val="right"/>
              <w:ind w:right="452"/>
              <w:spacing w:after="0"/>
              <w:rPr>
                <w:sz w:val="20"/>
                <w:szCs w:val="20"/>
                <w:color w:val="auto"/>
              </w:rPr>
            </w:pPr>
            <w:r>
              <w:rPr>
                <w:rFonts w:ascii="Arial" w:cs="Arial" w:eastAsia="Arial" w:hAnsi="Arial"/>
                <w:sz w:val="18"/>
                <w:szCs w:val="18"/>
                <w:color w:val="auto"/>
              </w:rPr>
              <w:t>Agricultural</w:t>
            </w:r>
          </w:p>
        </w:tc>
        <w:tc>
          <w:tcPr>
            <w:tcW w:w="200" w:type="dxa"/>
            <w:vAlign w:val="bottom"/>
          </w:tcPr>
          <w:p>
            <w:pPr>
              <w:spacing w:after="0"/>
              <w:rPr>
                <w:sz w:val="19"/>
                <w:szCs w:val="19"/>
                <w:color w:val="auto"/>
              </w:rPr>
            </w:pPr>
          </w:p>
        </w:tc>
        <w:tc>
          <w:tcPr>
            <w:tcW w:w="1820" w:type="dxa"/>
            <w:vAlign w:val="bottom"/>
            <w:gridSpan w:val="5"/>
          </w:tcPr>
          <w:p>
            <w:pPr>
              <w:jc w:val="right"/>
              <w:spacing w:after="0"/>
              <w:rPr>
                <w:sz w:val="20"/>
                <w:szCs w:val="20"/>
                <w:color w:val="auto"/>
              </w:rPr>
            </w:pPr>
            <w:r>
              <w:rPr>
                <w:rFonts w:ascii="Arial" w:cs="Arial" w:eastAsia="Arial" w:hAnsi="Arial"/>
                <w:sz w:val="18"/>
                <w:szCs w:val="18"/>
                <w:color w:val="auto"/>
                <w:w w:val="89"/>
              </w:rPr>
              <w:t>Commercial Real Estate</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8"/>
                <w:szCs w:val="18"/>
                <w:color w:val="auto"/>
                <w:w w:val="90"/>
              </w:rPr>
              <w:t>Industrial</w:t>
            </w:r>
          </w:p>
        </w:tc>
        <w:tc>
          <w:tcPr>
            <w:tcW w:w="1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720" w:type="dxa"/>
            <w:vAlign w:val="bottom"/>
            <w:tcBorders>
              <w:bottom w:val="single" w:sz="8" w:color="CFF0FC"/>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2020</w:t>
            </w:r>
          </w:p>
        </w:tc>
        <w:tc>
          <w:tcPr>
            <w:tcW w:w="24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2019</w:t>
            </w:r>
          </w:p>
        </w:tc>
        <w:tc>
          <w:tcPr>
            <w:tcW w:w="20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2020</w:t>
            </w:r>
          </w:p>
        </w:tc>
        <w:tc>
          <w:tcPr>
            <w:tcW w:w="220" w:type="dxa"/>
            <w:vAlign w:val="bottom"/>
            <w:tcBorders>
              <w:top w:val="single" w:sz="8" w:color="auto"/>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2019</w:t>
            </w:r>
          </w:p>
        </w:tc>
        <w:tc>
          <w:tcPr>
            <w:tcW w:w="2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2020</w:t>
            </w:r>
          </w:p>
        </w:tc>
        <w:tc>
          <w:tcPr>
            <w:tcW w:w="20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2019</w:t>
            </w:r>
          </w:p>
        </w:tc>
        <w:tc>
          <w:tcPr>
            <w:tcW w:w="2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4"/>
              </w:rPr>
              <w:t>2020</w:t>
            </w:r>
          </w:p>
        </w:tc>
        <w:tc>
          <w:tcPr>
            <w:tcW w:w="220" w:type="dxa"/>
            <w:vAlign w:val="bottom"/>
            <w:tcBorders>
              <w:top w:val="single" w:sz="8" w:color="auto"/>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2019</w:t>
            </w:r>
          </w:p>
        </w:tc>
        <w:tc>
          <w:tcPr>
            <w:tcW w:w="60" w:type="dxa"/>
            <w:vAlign w:val="bottom"/>
            <w:tcBorders>
              <w:bottom w:val="single" w:sz="8" w:color="CFF0FC"/>
            </w:tcBorders>
          </w:tcPr>
          <w:p>
            <w:pPr>
              <w:spacing w:after="0"/>
              <w:rPr>
                <w:sz w:val="18"/>
                <w:szCs w:val="18"/>
                <w:color w:val="auto"/>
              </w:rPr>
            </w:pPr>
          </w:p>
        </w:tc>
      </w:tr>
      <w:tr>
        <w:trPr>
          <w:trHeight w:val="217"/>
        </w:trPr>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1-2</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14,655</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11,001</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7,860</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38,486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38,306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33,951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23,779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36,913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165,201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131,780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26,515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19,790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4,651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3,168</w:t>
            </w:r>
          </w:p>
        </w:tc>
        <w:tc>
          <w:tcPr>
            <w:tcW w:w="60" w:type="dxa"/>
            <w:vAlign w:val="bottom"/>
          </w:tcPr>
          <w:p>
            <w:pPr>
              <w:spacing w:after="0"/>
              <w:rPr>
                <w:sz w:val="19"/>
                <w:szCs w:val="19"/>
                <w:color w:val="auto"/>
              </w:rPr>
            </w:pPr>
          </w:p>
        </w:tc>
      </w:tr>
      <w:tr>
        <w:trPr>
          <w:trHeight w:val="224"/>
        </w:trPr>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4</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112,465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116,834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63,480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65,414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396,076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401,404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114,108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103,527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5,146</w:t>
            </w:r>
          </w:p>
        </w:tc>
        <w:tc>
          <w:tcPr>
            <w:tcW w:w="60" w:type="dxa"/>
            <w:vAlign w:val="bottom"/>
            <w:shd w:val="clear" w:color="auto" w:fill="CFF0FC"/>
          </w:tcPr>
          <w:p>
            <w:pPr>
              <w:spacing w:after="0"/>
              <w:rPr>
                <w:sz w:val="19"/>
                <w:szCs w:val="19"/>
                <w:color w:val="auto"/>
              </w:rPr>
            </w:pP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7,478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14,836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3,699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3,266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4"/>
        </w:trPr>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6</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4"/>
        </w:trPr>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8</w:t>
            </w:r>
          </w:p>
        </w:tc>
        <w:tc>
          <w:tcPr>
            <w:tcW w:w="3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188,826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198,859</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94,490</w:t>
            </w:r>
          </w:p>
        </w:tc>
        <w:tc>
          <w:tcPr>
            <w:tcW w:w="2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111,949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587,654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550,082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188,286</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135,695</w:t>
            </w:r>
          </w:p>
        </w:tc>
        <w:tc>
          <w:tcPr>
            <w:tcW w:w="2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15,757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8,314</w:t>
            </w:r>
          </w:p>
        </w:tc>
        <w:tc>
          <w:tcPr>
            <w:tcW w:w="60" w:type="dxa"/>
            <w:vAlign w:val="bottom"/>
          </w:tcPr>
          <w:p>
            <w:pPr>
              <w:spacing w:after="0"/>
              <w:rPr>
                <w:sz w:val="18"/>
                <w:szCs w:val="18"/>
                <w:color w:val="auto"/>
              </w:rPr>
            </w:pPr>
          </w:p>
        </w:tc>
      </w:tr>
      <w:tr>
        <w:trPr>
          <w:trHeight w:val="20"/>
        </w:trPr>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For consumer residential real estate, the Company also evaluates credit quality based on the aging status of the loan, which was previously stated, and by payment activity. The following tables present the recorded investment in those classes based on payment activity and assigned risk grading as of December 31, 2020 and December 31, 2019.</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36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center"/>
              <w:ind w:right="132"/>
              <w:spacing w:after="0"/>
              <w:rPr>
                <w:sz w:val="20"/>
                <w:szCs w:val="20"/>
                <w:color w:val="auto"/>
              </w:rPr>
            </w:pPr>
            <w:r>
              <w:rPr>
                <w:rFonts w:ascii="Arial" w:cs="Arial" w:eastAsia="Arial" w:hAnsi="Arial"/>
                <w:sz w:val="18"/>
                <w:szCs w:val="18"/>
                <w:color w:val="auto"/>
                <w:w w:val="87"/>
              </w:rPr>
              <w:t>(In Thousands)</w:t>
            </w:r>
          </w:p>
        </w:tc>
        <w:tc>
          <w:tcPr>
            <w:tcW w:w="60" w:type="dxa"/>
            <w:vAlign w:val="bottom"/>
          </w:tcPr>
          <w:p>
            <w:pPr>
              <w:spacing w:after="0"/>
              <w:rPr>
                <w:sz w:val="19"/>
                <w:szCs w:val="19"/>
                <w:color w:val="auto"/>
              </w:rPr>
            </w:pPr>
          </w:p>
        </w:tc>
      </w:tr>
      <w:tr>
        <w:trPr>
          <w:trHeight w:val="217"/>
        </w:trPr>
        <w:tc>
          <w:tcPr>
            <w:tcW w:w="3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5"/>
          </w:tcPr>
          <w:p>
            <w:pPr>
              <w:jc w:val="center"/>
              <w:ind w:right="260"/>
              <w:spacing w:after="0"/>
              <w:rPr>
                <w:sz w:val="20"/>
                <w:szCs w:val="20"/>
                <w:color w:val="auto"/>
              </w:rPr>
            </w:pPr>
            <w:r>
              <w:rPr>
                <w:rFonts w:ascii="Arial" w:cs="Arial" w:eastAsia="Arial" w:hAnsi="Arial"/>
                <w:sz w:val="18"/>
                <w:szCs w:val="18"/>
                <w:color w:val="auto"/>
                <w:w w:val="86"/>
              </w:rPr>
              <w:t>Consumer Real Estate</w:t>
            </w:r>
          </w:p>
        </w:tc>
      </w:tr>
      <w:tr>
        <w:trPr>
          <w:trHeight w:val="217"/>
        </w:trPr>
        <w:tc>
          <w:tcPr>
            <w:tcW w:w="3620" w:type="dxa"/>
            <w:vAlign w:val="bottom"/>
            <w:tcBorders>
              <w:bottom w:val="single" w:sz="8" w:color="CFF0FC"/>
            </w:tcBorders>
          </w:tcPr>
          <w:p>
            <w:pPr>
              <w:spacing w:after="0"/>
              <w:rPr>
                <w:sz w:val="18"/>
                <w:szCs w:val="18"/>
                <w:color w:val="auto"/>
              </w:rPr>
            </w:pPr>
          </w:p>
        </w:tc>
        <w:tc>
          <w:tcPr>
            <w:tcW w:w="19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rPr>
              <w:t>2019</w:t>
            </w:r>
          </w:p>
        </w:tc>
        <w:tc>
          <w:tcPr>
            <w:tcW w:w="60" w:type="dxa"/>
            <w:vAlign w:val="bottom"/>
            <w:tcBorders>
              <w:bottom w:val="single" w:sz="8" w:color="CFF0FC"/>
            </w:tcBorders>
          </w:tcPr>
          <w:p>
            <w:pPr>
              <w:spacing w:after="0"/>
              <w:rPr>
                <w:sz w:val="18"/>
                <w:szCs w:val="18"/>
                <w:color w:val="auto"/>
              </w:rPr>
            </w:pPr>
          </w:p>
        </w:tc>
      </w:tr>
      <w:tr>
        <w:trPr>
          <w:trHeight w:val="217"/>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Grade</w:t>
            </w:r>
          </w:p>
        </w:tc>
        <w:tc>
          <w:tcPr>
            <w:tcW w:w="1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24"/>
        </w:trPr>
        <w:tc>
          <w:tcPr>
            <w:tcW w:w="3620" w:type="dxa"/>
            <w:vAlign w:val="bottom"/>
          </w:tcPr>
          <w:p>
            <w:pPr>
              <w:ind w:left="240"/>
              <w:spacing w:after="0"/>
              <w:rPr>
                <w:sz w:val="20"/>
                <w:szCs w:val="20"/>
                <w:color w:val="auto"/>
              </w:rPr>
            </w:pPr>
            <w:r>
              <w:rPr>
                <w:rFonts w:ascii="Arial" w:cs="Arial" w:eastAsia="Arial" w:hAnsi="Arial"/>
                <w:sz w:val="18"/>
                <w:szCs w:val="18"/>
                <w:color w:val="auto"/>
              </w:rPr>
              <w:t>Pass</w:t>
            </w: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171,667</w:t>
            </w:r>
          </w:p>
        </w:tc>
        <w:tc>
          <w:tcPr>
            <w:tcW w:w="18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160,930</w:t>
            </w:r>
          </w:p>
        </w:tc>
        <w:tc>
          <w:tcPr>
            <w:tcW w:w="60" w:type="dxa"/>
            <w:vAlign w:val="bottom"/>
          </w:tcPr>
          <w:p>
            <w:pPr>
              <w:spacing w:after="0"/>
              <w:rPr>
                <w:sz w:val="19"/>
                <w:szCs w:val="19"/>
                <w:color w:val="auto"/>
              </w:rPr>
            </w:pPr>
          </w:p>
        </w:tc>
      </w:tr>
      <w:tr>
        <w:trPr>
          <w:trHeight w:val="224"/>
        </w:trPr>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Special mention (5)</w:t>
            </w:r>
          </w:p>
        </w:tc>
        <w:tc>
          <w:tcPr>
            <w:tcW w:w="1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60" w:type="dxa"/>
            <w:vAlign w:val="bottom"/>
            <w:shd w:val="clear" w:color="auto" w:fill="CFF0FC"/>
          </w:tcPr>
          <w:p>
            <w:pPr>
              <w:spacing w:after="0"/>
              <w:rPr>
                <w:sz w:val="19"/>
                <w:szCs w:val="19"/>
                <w:color w:val="auto"/>
              </w:rPr>
            </w:pPr>
          </w:p>
        </w:tc>
      </w:tr>
      <w:tr>
        <w:trPr>
          <w:trHeight w:val="224"/>
        </w:trPr>
        <w:tc>
          <w:tcPr>
            <w:tcW w:w="3620" w:type="dxa"/>
            <w:vAlign w:val="bottom"/>
          </w:tcPr>
          <w:p>
            <w:pPr>
              <w:ind w:left="240"/>
              <w:spacing w:after="0"/>
              <w:rPr>
                <w:sz w:val="20"/>
                <w:szCs w:val="20"/>
                <w:color w:val="auto"/>
              </w:rPr>
            </w:pPr>
            <w:r>
              <w:rPr>
                <w:rFonts w:ascii="Arial" w:cs="Arial" w:eastAsia="Arial" w:hAnsi="Arial"/>
                <w:sz w:val="18"/>
                <w:szCs w:val="18"/>
                <w:color w:val="auto"/>
              </w:rPr>
              <w:t>Substandard (6)</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3,346</w:t>
            </w:r>
          </w:p>
        </w:tc>
        <w:tc>
          <w:tcPr>
            <w:tcW w:w="60" w:type="dxa"/>
            <w:vAlign w:val="bottom"/>
          </w:tcPr>
          <w:p>
            <w:pPr>
              <w:spacing w:after="0"/>
              <w:rPr>
                <w:sz w:val="19"/>
                <w:szCs w:val="19"/>
                <w:color w:val="auto"/>
              </w:rPr>
            </w:pPr>
          </w:p>
        </w:tc>
      </w:tr>
      <w:tr>
        <w:trPr>
          <w:trHeight w:val="224"/>
        </w:trPr>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Doubtful (7)</w:t>
            </w:r>
          </w:p>
        </w:tc>
        <w:tc>
          <w:tcPr>
            <w:tcW w:w="19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17"/>
        </w:trPr>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175,316</w:t>
            </w:r>
          </w:p>
        </w:tc>
        <w:tc>
          <w:tcPr>
            <w:tcW w:w="1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164,691</w:t>
            </w:r>
          </w:p>
        </w:tc>
        <w:tc>
          <w:tcPr>
            <w:tcW w:w="60" w:type="dxa"/>
            <w:vAlign w:val="bottom"/>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5"/>
          </w:tcPr>
          <w:p>
            <w:pPr>
              <w:ind w:left="100"/>
              <w:spacing w:after="0"/>
              <w:rPr>
                <w:sz w:val="20"/>
                <w:szCs w:val="20"/>
                <w:color w:val="auto"/>
              </w:rPr>
            </w:pPr>
            <w:r>
              <w:rPr>
                <w:rFonts w:ascii="Arial" w:cs="Arial" w:eastAsia="Arial" w:hAnsi="Arial"/>
                <w:sz w:val="18"/>
                <w:szCs w:val="18"/>
                <w:color w:val="auto"/>
              </w:rPr>
              <w:t>Consumer - Credit Card</w:t>
            </w:r>
          </w:p>
        </w:tc>
        <w:tc>
          <w:tcPr>
            <w:tcW w:w="220" w:type="dxa"/>
            <w:vAlign w:val="bottom"/>
          </w:tcPr>
          <w:p>
            <w:pPr>
              <w:spacing w:after="0"/>
              <w:rPr>
                <w:sz w:val="18"/>
                <w:szCs w:val="18"/>
                <w:color w:val="auto"/>
              </w:rPr>
            </w:pPr>
          </w:p>
        </w:tc>
        <w:tc>
          <w:tcPr>
            <w:tcW w:w="2180" w:type="dxa"/>
            <w:vAlign w:val="bottom"/>
            <w:gridSpan w:val="5"/>
          </w:tcPr>
          <w:p>
            <w:pPr>
              <w:ind w:left="280"/>
              <w:spacing w:after="0"/>
              <w:rPr>
                <w:sz w:val="20"/>
                <w:szCs w:val="20"/>
                <w:color w:val="auto"/>
              </w:rPr>
            </w:pPr>
            <w:r>
              <w:rPr>
                <w:rFonts w:ascii="Arial" w:cs="Arial" w:eastAsia="Arial" w:hAnsi="Arial"/>
                <w:sz w:val="18"/>
                <w:szCs w:val="18"/>
                <w:color w:val="auto"/>
              </w:rPr>
              <w:t>Consumer - Other</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020" w:type="dxa"/>
            <w:vAlign w:val="bottom"/>
            <w:tcBorders>
              <w:bottom w:val="single" w:sz="8" w:color="CFF0FC"/>
            </w:tcBorders>
          </w:tcPr>
          <w:p>
            <w:pPr>
              <w:spacing w:after="0"/>
              <w:rPr>
                <w:sz w:val="18"/>
                <w:szCs w:val="18"/>
                <w:color w:val="auto"/>
              </w:rPr>
            </w:pPr>
          </w:p>
        </w:tc>
        <w:tc>
          <w:tcPr>
            <w:tcW w:w="21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2380" w:type="dxa"/>
            <w:vAlign w:val="bottom"/>
            <w:gridSpan w:val="2"/>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w:t>
            </w:r>
          </w:p>
        </w:tc>
        <w:tc>
          <w:tcPr>
            <w:tcW w:w="420" w:type="dxa"/>
            <w:vAlign w:val="bottom"/>
            <w:gridSpan w:val="2"/>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48,855</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44,831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00" w:type="dxa"/>
            <w:vAlign w:val="bottom"/>
            <w:gridSpan w:val="2"/>
          </w:tcPr>
          <w:p>
            <w:pPr>
              <w:ind w:left="580"/>
              <w:spacing w:after="0"/>
              <w:rPr>
                <w:sz w:val="20"/>
                <w:szCs w:val="20"/>
                <w:color w:val="auto"/>
              </w:rPr>
            </w:pPr>
            <w:r>
              <w:rPr>
                <w:rFonts w:ascii="Arial" w:cs="Arial" w:eastAsia="Arial" w:hAnsi="Arial"/>
                <w:sz w:val="18"/>
                <w:szCs w:val="18"/>
                <w:color w:val="auto"/>
              </w:rPr>
              <w:t>Nonperforming</w:t>
            </w:r>
          </w:p>
        </w:tc>
        <w:tc>
          <w:tcPr>
            <w:tcW w:w="2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2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 w:type="dxa"/>
            <w:vAlign w:val="bottom"/>
          </w:tcPr>
          <w:p>
            <w:pPr>
              <w:spacing w:after="0"/>
              <w:rPr>
                <w:sz w:val="18"/>
                <w:szCs w:val="18"/>
                <w:color w:val="auto"/>
              </w:rPr>
            </w:pPr>
          </w:p>
        </w:tc>
        <w:tc>
          <w:tcPr>
            <w:tcW w:w="3020" w:type="dxa"/>
            <w:vAlign w:val="bottom"/>
            <w:vMerge w:val="continue"/>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48,991</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45,318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2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8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impaired loans as of and for the years ended December 31, 2020 and 2019 are as follows:</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5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5"/>
          </w:tcPr>
          <w:p>
            <w:pPr>
              <w:ind w:left="42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7"/>
        </w:trPr>
        <w:tc>
          <w:tcPr>
            <w:tcW w:w="54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2019</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Impaired loans without a valuation allowance</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Impaired loans with a valuation allowance</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impaired loans</w:t>
            </w:r>
          </w:p>
        </w:tc>
        <w:tc>
          <w:tcPr>
            <w:tcW w:w="20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14,532</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3,061</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Valuation allowance related to impaired loans</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48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1,657</w:t>
            </w:r>
          </w:p>
        </w:tc>
        <w:tc>
          <w:tcPr>
            <w:tcW w:w="2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w:t>
            </w:r>
          </w:p>
        </w:tc>
        <w:tc>
          <w:tcPr>
            <w:tcW w:w="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480" w:type="dxa"/>
            <w:vAlign w:val="bottom"/>
            <w:tcBorders>
              <w:bottom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Total non-accrual loans</w:t>
            </w:r>
          </w:p>
        </w:tc>
        <w:tc>
          <w:tcPr>
            <w:tcW w:w="20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9,404</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3,400</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Total loans past-due ninety days or more and still accruing</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4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color w:val="auto"/>
                <w:w w:val="94"/>
              </w:rPr>
              <w:t>(In Thousands)</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4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Average investment in impaired loans</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10,234</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Interest income recognized on impaired loans</w:t>
            </w:r>
          </w:p>
        </w:tc>
        <w:tc>
          <w:tcPr>
            <w:tcW w:w="7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vMerge w:val="continue"/>
          </w:tcPr>
          <w:p>
            <w:pPr>
              <w:spacing w:after="0"/>
              <w:rPr>
                <w:sz w:val="21"/>
                <w:szCs w:val="21"/>
                <w:color w:val="auto"/>
              </w:rPr>
            </w:pPr>
          </w:p>
        </w:tc>
        <w:tc>
          <w:tcPr>
            <w:tcW w:w="9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269</w:t>
            </w:r>
          </w:p>
        </w:tc>
        <w:tc>
          <w:tcPr>
            <w:tcW w:w="4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3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64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Interest income recognized on a cash basis on impaired</w:t>
            </w:r>
          </w:p>
        </w:tc>
        <w:tc>
          <w:tcPr>
            <w:tcW w:w="7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loans</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Additional funds of $750 thousand are committed to be advanced in connection with impaired loans.</w:t>
      </w:r>
    </w:p>
    <w:p>
      <w:pPr>
        <w:spacing w:after="0" w:line="109" w:lineRule="exact"/>
        <w:rPr>
          <w:sz w:val="20"/>
          <w:szCs w:val="20"/>
          <w:color w:val="auto"/>
        </w:rPr>
      </w:pPr>
    </w:p>
    <w:p>
      <w:pPr>
        <w:ind w:left="760"/>
        <w:spacing w:after="0" w:line="262" w:lineRule="auto"/>
        <w:rPr>
          <w:sz w:val="20"/>
          <w:szCs w:val="20"/>
          <w:color w:val="auto"/>
        </w:rPr>
      </w:pPr>
      <w:r>
        <w:rPr>
          <w:rFonts w:ascii="Arial" w:cs="Arial" w:eastAsia="Arial" w:hAnsi="Arial"/>
          <w:sz w:val="18"/>
          <w:szCs w:val="18"/>
          <w:color w:val="auto"/>
        </w:rPr>
        <w:t>The Bank had approximately $6.0 million and $956 thousand of its impaired loans classified as troubled debt restructured as of December 31,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203" w:lineRule="exact"/>
        <w:rPr>
          <w:sz w:val="20"/>
          <w:szCs w:val="20"/>
          <w:color w:val="auto"/>
        </w:rPr>
      </w:pPr>
    </w:p>
    <w:p>
      <w:pPr>
        <w:jc w:val="both"/>
        <w:ind w:left="600"/>
        <w:spacing w:after="0" w:line="284" w:lineRule="auto"/>
        <w:rPr>
          <w:sz w:val="20"/>
          <w:szCs w:val="20"/>
          <w:color w:val="auto"/>
        </w:rPr>
      </w:pPr>
      <w:r>
        <w:rPr>
          <w:rFonts w:ascii="Arial" w:cs="Arial" w:eastAsia="Arial" w:hAnsi="Arial"/>
          <w:sz w:val="16"/>
          <w:szCs w:val="16"/>
          <w:color w:val="auto"/>
        </w:rPr>
        <w:t>Modification programs focused on payment pattern changes and/or modified maturity dates with most receiving a combination of the two concessions. The modifications did not result in the contractual forgiveness of principal. In 2020, two of the loans resulted in payment changes from a monthly payment to principal and interest at maturity. Four loans had rate concessions. All interest was paid current at the time of the modifications. One of the 2020 loans was paid off in May 2020. In 2019, four of the loans resulted in payment changes to interest only for an extended period of time and one loan had a lowering of payment to match an extended maturity. Consequently, the financial impact of the modifications was immaterial. The following table represents the years ended December 31, 2020 and 2019.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2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December 31, 2019</w:t>
            </w: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4"/>
        </w:trPr>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5"/>
          </w:tcPr>
          <w:p>
            <w:pPr>
              <w:ind w:left="400"/>
              <w:spacing w:after="0"/>
              <w:rPr>
                <w:sz w:val="20"/>
                <w:szCs w:val="20"/>
                <w:color w:val="auto"/>
              </w:rPr>
            </w:pPr>
            <w:r>
              <w:rPr>
                <w:rFonts w:ascii="Arial" w:cs="Arial" w:eastAsia="Arial" w:hAnsi="Arial"/>
                <w:sz w:val="18"/>
                <w:szCs w:val="18"/>
                <w:color w:val="auto"/>
              </w:rPr>
              <w:t>(In thousands)</w:t>
            </w:r>
          </w:p>
        </w:tc>
        <w:tc>
          <w:tcPr>
            <w:tcW w:w="2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5"/>
          </w:tcPr>
          <w:p>
            <w:pPr>
              <w:ind w:left="380"/>
              <w:spacing w:after="0"/>
              <w:rPr>
                <w:sz w:val="20"/>
                <w:szCs w:val="20"/>
                <w:color w:val="auto"/>
              </w:rPr>
            </w:pPr>
            <w:r>
              <w:rPr>
                <w:rFonts w:ascii="Arial" w:cs="Arial" w:eastAsia="Arial" w:hAnsi="Arial"/>
                <w:sz w:val="18"/>
                <w:szCs w:val="18"/>
                <w:color w:val="auto"/>
              </w:rPr>
              <w:t>(In thousands)</w:t>
            </w:r>
          </w:p>
        </w:tc>
      </w:tr>
      <w:tr>
        <w:trPr>
          <w:trHeight w:val="212"/>
        </w:trPr>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2"/>
              </w:rPr>
              <w:t>Pre-</w:t>
            </w:r>
          </w:p>
        </w:tc>
        <w:tc>
          <w:tcPr>
            <w:tcW w:w="10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Post-</w:t>
            </w: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Pre-</w:t>
            </w: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Post-</w:t>
            </w:r>
          </w:p>
        </w:tc>
      </w:tr>
      <w:tr>
        <w:trPr>
          <w:trHeight w:val="211"/>
        </w:trPr>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Number of</w:t>
            </w:r>
          </w:p>
        </w:tc>
        <w:tc>
          <w:tcPr>
            <w:tcW w:w="1240" w:type="dxa"/>
            <w:vAlign w:val="bottom"/>
            <w:gridSpan w:val="4"/>
          </w:tcPr>
          <w:p>
            <w:pPr>
              <w:jc w:val="center"/>
              <w:spacing w:after="0"/>
              <w:rPr>
                <w:sz w:val="20"/>
                <w:szCs w:val="20"/>
                <w:color w:val="auto"/>
              </w:rPr>
            </w:pPr>
            <w:r>
              <w:rPr>
                <w:rFonts w:ascii="Arial" w:cs="Arial" w:eastAsia="Arial" w:hAnsi="Arial"/>
                <w:sz w:val="18"/>
                <w:szCs w:val="18"/>
                <w:color w:val="auto"/>
                <w:w w:val="95"/>
              </w:rPr>
              <w:t>Modification</w:t>
            </w: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Modification</w:t>
            </w: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Number of</w:t>
            </w: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Modification</w:t>
            </w:r>
          </w:p>
        </w:tc>
        <w:tc>
          <w:tcPr>
            <w:tcW w:w="98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Modification</w:t>
            </w:r>
          </w:p>
        </w:tc>
      </w:tr>
      <w:tr>
        <w:trPr>
          <w:trHeight w:val="211"/>
        </w:trPr>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Contracts</w:t>
            </w:r>
          </w:p>
        </w:tc>
        <w:tc>
          <w:tcPr>
            <w:tcW w:w="16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Outstanding</w:t>
            </w: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Outstanding</w:t>
            </w: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Contracts</w:t>
            </w: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Outstanding</w:t>
            </w:r>
          </w:p>
        </w:tc>
        <w:tc>
          <w:tcPr>
            <w:tcW w:w="98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Outstanding</w:t>
            </w:r>
          </w:p>
        </w:tc>
      </w:tr>
      <w:tr>
        <w:trPr>
          <w:trHeight w:val="211"/>
        </w:trPr>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Modified in the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Recorded</w:t>
            </w: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Modified in the</w:t>
            </w: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Recorded</w:t>
            </w: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Recorded</w:t>
            </w:r>
          </w:p>
        </w:tc>
      </w:tr>
      <w:tr>
        <w:trPr>
          <w:trHeight w:val="223"/>
        </w:trPr>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Troubled Debt Restructurings</w:t>
            </w:r>
          </w:p>
        </w:tc>
        <w:tc>
          <w:tcPr>
            <w:tcW w:w="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Last 12 Months</w:t>
            </w: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Investment</w:t>
            </w: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Investment</w:t>
            </w:r>
          </w:p>
        </w:tc>
        <w:tc>
          <w:tcPr>
            <w:tcW w:w="160" w:type="dxa"/>
            <w:vAlign w:val="bottom"/>
            <w:tcBorders>
              <w:bottom w:val="single" w:sz="8" w:color="CFF0FC"/>
            </w:tcBorders>
          </w:tcPr>
          <w:p>
            <w:pPr>
              <w:spacing w:after="0"/>
              <w:rPr>
                <w:sz w:val="19"/>
                <w:szCs w:val="19"/>
                <w:color w:val="auto"/>
              </w:rPr>
            </w:pPr>
          </w:p>
        </w:tc>
        <w:tc>
          <w:tcPr>
            <w:tcW w:w="2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1"/>
              </w:rPr>
              <w:t>Troubled Debt Restructurings</w:t>
            </w:r>
          </w:p>
        </w:tc>
        <w:tc>
          <w:tcPr>
            <w:tcW w:w="6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Last 12 Months</w:t>
            </w: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Investment</w:t>
            </w: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Investment</w:t>
            </w:r>
          </w:p>
        </w:tc>
        <w:tc>
          <w:tcPr>
            <w:tcW w:w="60" w:type="dxa"/>
            <w:vAlign w:val="bottom"/>
            <w:tcBorders>
              <w:bottom w:val="single" w:sz="8" w:color="CFF0FC"/>
            </w:tcBorders>
          </w:tcPr>
          <w:p>
            <w:pPr>
              <w:spacing w:after="0"/>
              <w:rPr>
                <w:sz w:val="19"/>
                <w:szCs w:val="19"/>
                <w:color w:val="auto"/>
              </w:rPr>
            </w:pPr>
          </w:p>
        </w:tc>
      </w:tr>
      <w:tr>
        <w:trPr>
          <w:trHeight w:val="217"/>
        </w:trPr>
        <w:tc>
          <w:tcPr>
            <w:tcW w:w="2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100" w:type="dxa"/>
            <w:vAlign w:val="bottom"/>
            <w:shd w:val="clear" w:color="auto" w:fill="CFF0FC"/>
          </w:tcPr>
          <w:p>
            <w:pPr>
              <w:jc w:val="center"/>
              <w:ind w:left="32"/>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180" w:type="dxa"/>
            <w:vAlign w:val="bottom"/>
            <w:gridSpan w:val="2"/>
            <w:shd w:val="clear" w:color="auto" w:fill="CFF0FC"/>
          </w:tcPr>
          <w:p>
            <w:pPr>
              <w:jc w:val="center"/>
              <w:ind w:left="112"/>
              <w:spacing w:after="0"/>
              <w:rPr>
                <w:sz w:val="20"/>
                <w:szCs w:val="20"/>
                <w:color w:val="auto"/>
              </w:rPr>
            </w:pPr>
            <w:r>
              <w:rPr>
                <w:rFonts w:ascii="Arial" w:cs="Arial" w:eastAsia="Arial" w:hAnsi="Arial"/>
                <w:sz w:val="18"/>
                <w:szCs w:val="18"/>
                <w:color w:val="auto"/>
                <w:w w:val="99"/>
              </w:rPr>
              <w:t>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FF0FC"/>
          </w:tcPr>
          <w:p>
            <w:pPr>
              <w:spacing w:after="0"/>
              <w:rPr>
                <w:sz w:val="18"/>
                <w:szCs w:val="18"/>
                <w:color w:val="auto"/>
              </w:rPr>
            </w:pPr>
          </w:p>
        </w:tc>
      </w:tr>
      <w:tr>
        <w:trPr>
          <w:trHeight w:val="224"/>
        </w:trPr>
        <w:tc>
          <w:tcPr>
            <w:tcW w:w="2220" w:type="dxa"/>
            <w:vAlign w:val="bottom"/>
            <w:gridSpan w:val="2"/>
          </w:tcPr>
          <w:p>
            <w:pPr>
              <w:spacing w:after="0"/>
              <w:rPr>
                <w:sz w:val="20"/>
                <w:szCs w:val="20"/>
                <w:color w:val="auto"/>
              </w:rPr>
            </w:pPr>
            <w:r>
              <w:rPr>
                <w:rFonts w:ascii="Arial" w:cs="Arial" w:eastAsia="Arial" w:hAnsi="Arial"/>
                <w:sz w:val="18"/>
                <w:szCs w:val="18"/>
                <w:color w:val="auto"/>
              </w:rPr>
              <w:t>Agricultural Real Estate</w:t>
            </w:r>
          </w:p>
        </w:tc>
        <w:tc>
          <w:tcPr>
            <w:tcW w:w="1100" w:type="dxa"/>
            <w:vAlign w:val="bottom"/>
          </w:tcPr>
          <w:p>
            <w:pPr>
              <w:jc w:val="center"/>
              <w:ind w:left="52"/>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5,380</w:t>
            </w:r>
          </w:p>
        </w:tc>
        <w:tc>
          <w:tcPr>
            <w:tcW w:w="16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180" w:type="dxa"/>
            <w:vAlign w:val="bottom"/>
            <w:gridSpan w:val="2"/>
          </w:tcPr>
          <w:p>
            <w:pPr>
              <w:jc w:val="center"/>
              <w:ind w:left="11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4"/>
        </w:trPr>
        <w:tc>
          <w:tcPr>
            <w:tcW w:w="2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Agricultural</w:t>
            </w:r>
          </w:p>
        </w:tc>
        <w:tc>
          <w:tcPr>
            <w:tcW w:w="1100" w:type="dxa"/>
            <w:vAlign w:val="bottom"/>
            <w:shd w:val="clear" w:color="auto" w:fill="CFF0FC"/>
          </w:tcPr>
          <w:p>
            <w:pPr>
              <w:jc w:val="center"/>
              <w:ind w:left="52"/>
              <w:spacing w:after="0"/>
              <w:rPr>
                <w:sz w:val="20"/>
                <w:szCs w:val="20"/>
                <w:color w:val="auto"/>
              </w:rPr>
            </w:pPr>
            <w:r>
              <w:rPr>
                <w:rFonts w:ascii="Arial" w:cs="Arial" w:eastAsia="Arial" w:hAnsi="Arial"/>
                <w:sz w:val="18"/>
                <w:szCs w:val="18"/>
                <w:color w:val="auto"/>
                <w:w w:val="79"/>
              </w:rPr>
              <w:t>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180" w:type="dxa"/>
            <w:vAlign w:val="bottom"/>
            <w:gridSpan w:val="2"/>
            <w:shd w:val="clear" w:color="auto" w:fill="CFF0FC"/>
          </w:tcPr>
          <w:p>
            <w:pPr>
              <w:jc w:val="center"/>
              <w:ind w:left="11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24"/>
        </w:trPr>
        <w:tc>
          <w:tcPr>
            <w:tcW w:w="222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100" w:type="dxa"/>
            <w:vAlign w:val="bottom"/>
          </w:tcPr>
          <w:p>
            <w:pPr>
              <w:jc w:val="center"/>
              <w:ind w:left="52"/>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180" w:type="dxa"/>
            <w:vAlign w:val="bottom"/>
            <w:gridSpan w:val="2"/>
          </w:tcPr>
          <w:p>
            <w:pPr>
              <w:jc w:val="center"/>
              <w:ind w:left="11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4"/>
        </w:trPr>
        <w:tc>
          <w:tcPr>
            <w:tcW w:w="2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100" w:type="dxa"/>
            <w:vAlign w:val="bottom"/>
            <w:shd w:val="clear" w:color="auto" w:fill="CFF0FC"/>
          </w:tcPr>
          <w:p>
            <w:pPr>
              <w:jc w:val="center"/>
              <w:ind w:left="52"/>
              <w:spacing w:after="0"/>
              <w:rPr>
                <w:sz w:val="20"/>
                <w:szCs w:val="20"/>
                <w:color w:val="auto"/>
              </w:rPr>
            </w:pPr>
            <w:r>
              <w:rPr>
                <w:rFonts w:ascii="Arial" w:cs="Arial" w:eastAsia="Arial" w:hAnsi="Arial"/>
                <w:sz w:val="18"/>
                <w:szCs w:val="18"/>
                <w:color w:val="auto"/>
                <w:w w:val="79"/>
              </w:rPr>
              <w:t>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180" w:type="dxa"/>
            <w:vAlign w:val="bottom"/>
            <w:gridSpan w:val="2"/>
            <w:shd w:val="clear" w:color="auto" w:fill="CFF0FC"/>
          </w:tcPr>
          <w:p>
            <w:pPr>
              <w:jc w:val="center"/>
              <w:ind w:left="112"/>
              <w:spacing w:after="0"/>
              <w:rPr>
                <w:sz w:val="20"/>
                <w:szCs w:val="20"/>
                <w:color w:val="auto"/>
              </w:rPr>
            </w:pPr>
            <w:r>
              <w:rPr>
                <w:rFonts w:ascii="Arial" w:cs="Arial" w:eastAsia="Arial" w:hAnsi="Arial"/>
                <w:sz w:val="18"/>
                <w:szCs w:val="18"/>
                <w:color w:val="auto"/>
                <w:w w:val="99"/>
              </w:rPr>
              <w:t>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6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the years ended December 31, 2020 and 2019, there were no TDR’s that subsequently defaulted after modification.</w:t>
      </w:r>
    </w:p>
    <w:p>
      <w:pPr>
        <w:spacing w:after="0" w:line="109" w:lineRule="exact"/>
        <w:rPr>
          <w:sz w:val="20"/>
          <w:szCs w:val="20"/>
          <w:color w:val="auto"/>
        </w:rPr>
      </w:pPr>
    </w:p>
    <w:p>
      <w:pPr>
        <w:jc w:val="both"/>
        <w:ind w:left="600"/>
        <w:spacing w:after="0" w:line="287" w:lineRule="auto"/>
        <w:rPr>
          <w:sz w:val="20"/>
          <w:szCs w:val="20"/>
          <w:color w:val="auto"/>
        </w:rPr>
      </w:pPr>
      <w:r>
        <w:rPr>
          <w:rFonts w:ascii="Arial" w:cs="Arial" w:eastAsia="Arial" w:hAnsi="Arial"/>
          <w:sz w:val="16"/>
          <w:szCs w:val="16"/>
          <w:color w:val="auto"/>
        </w:rPr>
        <w:t>For the Bank’s impaired TDR loans, the Bank may utilize a measurement incorporating the present value of expected future cash flows discounted at the loan's effective rate of interest or the fair value of collateral if the loan is collateral dependent. To determine the fair value of collateral,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59" w:lineRule="exact"/>
        <w:rPr>
          <w:sz w:val="20"/>
          <w:szCs w:val="20"/>
          <w:color w:val="auto"/>
        </w:rPr>
      </w:pPr>
    </w:p>
    <w:p>
      <w:pPr>
        <w:jc w:val="both"/>
        <w:ind w:left="600"/>
        <w:spacing w:after="0" w:line="283" w:lineRule="auto"/>
        <w:rPr>
          <w:sz w:val="20"/>
          <w:szCs w:val="20"/>
          <w:color w:val="auto"/>
        </w:rPr>
      </w:pPr>
      <w:r>
        <w:rPr>
          <w:rFonts w:ascii="Arial" w:cs="Arial" w:eastAsia="Arial" w:hAnsi="Arial"/>
          <w:sz w:val="16"/>
          <w:szCs w:val="16"/>
          <w:color w:val="auto"/>
        </w:rPr>
        <w:t>The Bank uses the following guidelines as stated in policy to determine when to realize a charge-off, whether a partial or full loan balance.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tables present loans individually evaluated for impairment by portfolio class of loans as of December 31, 2020 and 2019:</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line="205" w:lineRule="exact"/>
              <w:rPr>
                <w:sz w:val="20"/>
                <w:szCs w:val="20"/>
                <w:color w:val="auto"/>
              </w:rPr>
            </w:pPr>
            <w:r>
              <w:rPr>
                <w:rFonts w:ascii="Arial" w:cs="Arial" w:eastAsia="Arial" w:hAnsi="Arial"/>
                <w:sz w:val="18"/>
                <w:szCs w:val="18"/>
                <w:color w:val="auto"/>
                <w:w w:val="86"/>
              </w:rPr>
              <w:t>Interest</w:t>
            </w:r>
          </w:p>
        </w:tc>
        <w:tc>
          <w:tcPr>
            <w:tcW w:w="0" w:type="dxa"/>
            <w:vAlign w:val="bottom"/>
          </w:tcPr>
          <w:p>
            <w:pPr>
              <w:spacing w:after="0"/>
              <w:rPr>
                <w:sz w:val="1"/>
                <w:szCs w:val="1"/>
                <w:color w:val="auto"/>
              </w:rPr>
            </w:pPr>
          </w:p>
        </w:tc>
      </w:tr>
      <w:tr>
        <w:trPr>
          <w:trHeight w:val="211"/>
        </w:trPr>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91"/>
              </w:rPr>
              <w:t>Unpaid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w w:val="93"/>
              </w:rPr>
              <w:t>Interest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Income</w:t>
            </w:r>
          </w:p>
        </w:tc>
        <w:tc>
          <w:tcPr>
            <w:tcW w:w="0" w:type="dxa"/>
            <w:vAlign w:val="bottom"/>
          </w:tcPr>
          <w:p>
            <w:pPr>
              <w:spacing w:after="0"/>
              <w:rPr>
                <w:sz w:val="1"/>
                <w:szCs w:val="1"/>
                <w:color w:val="auto"/>
              </w:rPr>
            </w:pPr>
          </w:p>
        </w:tc>
      </w:tr>
      <w:tr>
        <w:trPr>
          <w:trHeight w:val="211"/>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Recorded</w:t>
            </w:r>
          </w:p>
        </w:tc>
        <w:tc>
          <w:tcPr>
            <w:tcW w:w="100" w:type="dxa"/>
            <w:vAlign w:val="bottom"/>
          </w:tcPr>
          <w:p>
            <w:pPr>
              <w:spacing w:after="0"/>
              <w:rPr>
                <w:sz w:val="18"/>
                <w:szCs w:val="18"/>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92"/>
              </w:rPr>
              <w:t>Principal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90"/>
              </w:rPr>
              <w:t>Related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color w:val="auto"/>
                <w:w w:val="84"/>
              </w:rPr>
              <w:t>Recorded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w w:val="94"/>
              </w:rPr>
              <w:t>Income</w:t>
            </w:r>
          </w:p>
        </w:tc>
        <w:tc>
          <w:tcPr>
            <w:tcW w:w="200" w:type="dxa"/>
            <w:vAlign w:val="bottom"/>
          </w:tcPr>
          <w:p>
            <w:pPr>
              <w:spacing w:after="0"/>
              <w:rPr>
                <w:sz w:val="18"/>
                <w:szCs w:val="18"/>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Recognized</w:t>
            </w:r>
          </w:p>
        </w:tc>
        <w:tc>
          <w:tcPr>
            <w:tcW w:w="0" w:type="dxa"/>
            <w:vAlign w:val="bottom"/>
          </w:tcPr>
          <w:p>
            <w:pPr>
              <w:spacing w:after="0"/>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Investment</w:t>
            </w:r>
          </w:p>
        </w:tc>
        <w:tc>
          <w:tcPr>
            <w:tcW w:w="100" w:type="dxa"/>
            <w:vAlign w:val="bottom"/>
          </w:tcPr>
          <w:p>
            <w:pPr>
              <w:spacing w:after="0"/>
              <w:rPr>
                <w:sz w:val="19"/>
                <w:szCs w:val="19"/>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86"/>
              </w:rPr>
              <w:t>Balance</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Allowance</w:t>
            </w:r>
          </w:p>
        </w:tc>
        <w:tc>
          <w:tcPr>
            <w:tcW w:w="20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8"/>
              </w:rPr>
              <w:t>Investment</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8"/>
              </w:rPr>
              <w:t>Recognized</w:t>
            </w:r>
          </w:p>
        </w:tc>
        <w:tc>
          <w:tcPr>
            <w:tcW w:w="200" w:type="dxa"/>
            <w:vAlign w:val="bottom"/>
          </w:tcPr>
          <w:p>
            <w:pPr>
              <w:spacing w:after="0"/>
              <w:rPr>
                <w:sz w:val="19"/>
                <w:szCs w:val="19"/>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color w:val="auto"/>
                <w:w w:val="85"/>
              </w:rPr>
              <w:t>Cash Basis</w:t>
            </w:r>
          </w:p>
        </w:tc>
        <w:tc>
          <w:tcPr>
            <w:tcW w:w="0" w:type="dxa"/>
            <w:vAlign w:val="bottom"/>
          </w:tcPr>
          <w:p>
            <w:pPr>
              <w:spacing w:after="0"/>
              <w:rPr>
                <w:sz w:val="1"/>
                <w:szCs w:val="1"/>
                <w:color w:val="auto"/>
              </w:rPr>
            </w:pPr>
          </w:p>
        </w:tc>
      </w:tr>
      <w:tr>
        <w:trPr>
          <w:trHeight w:val="217"/>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40"/>
              <w:spacing w:after="0"/>
              <w:rPr>
                <w:sz w:val="20"/>
                <w:szCs w:val="20"/>
                <w:color w:val="auto"/>
              </w:rPr>
            </w:pPr>
            <w:r>
              <w:rPr>
                <w:rFonts w:ascii="Arial" w:cs="Arial" w:eastAsia="Arial" w:hAnsi="Arial"/>
                <w:sz w:val="18"/>
                <w:szCs w:val="18"/>
                <w:color w:val="auto"/>
              </w:rPr>
              <w:t>Consumer Real Estate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Agricultural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40"/>
              <w:spacing w:after="0"/>
              <w:rPr>
                <w:sz w:val="20"/>
                <w:szCs w:val="20"/>
                <w:color w:val="auto"/>
              </w:rPr>
            </w:pPr>
            <w:r>
              <w:rPr>
                <w:rFonts w:ascii="Arial" w:cs="Arial" w:eastAsia="Arial" w:hAnsi="Arial"/>
                <w:sz w:val="18"/>
                <w:szCs w:val="18"/>
                <w:color w:val="auto"/>
              </w:rPr>
              <w:t>Agricultural</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40"/>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40"/>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60" w:type="dxa"/>
            <w:vAlign w:val="bottom"/>
          </w:tcPr>
          <w:p>
            <w:pPr>
              <w:ind w:left="240"/>
              <w:spacing w:after="0"/>
              <w:rPr>
                <w:sz w:val="20"/>
                <w:szCs w:val="20"/>
                <w:color w:val="auto"/>
              </w:rPr>
            </w:pPr>
            <w:r>
              <w:rPr>
                <w:rFonts w:ascii="Arial" w:cs="Arial" w:eastAsia="Arial" w:hAnsi="Arial"/>
                <w:sz w:val="18"/>
                <w:szCs w:val="18"/>
                <w:color w:val="auto"/>
              </w:rPr>
              <w:t>Consumer Real Estate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1,001</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Agricultural Real Estate</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6,756</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6,759</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600</w:t>
            </w:r>
          </w:p>
        </w:tc>
        <w:tc>
          <w:tcPr>
            <w:tcW w:w="3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3,904</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24</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114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Agricultural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467</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467</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116</w:t>
            </w:r>
          </w:p>
        </w:tc>
        <w:tc>
          <w:tcPr>
            <w:tcW w:w="3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580</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2,950</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2,950</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20</w:t>
            </w:r>
          </w:p>
        </w:tc>
        <w:tc>
          <w:tcPr>
            <w:tcW w:w="3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2,719</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141</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Commercial and Industrial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3,335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3,335</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890</w:t>
            </w:r>
          </w:p>
        </w:tc>
        <w:tc>
          <w:tcPr>
            <w:tcW w:w="3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2,138</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78</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23</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23</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27</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20"/>
                <w:szCs w:val="20"/>
                <w:color w:val="auto"/>
              </w:rPr>
            </w:pPr>
            <w:r>
              <w:rPr>
                <w:rFonts w:ascii="Arial" w:cs="Arial" w:eastAsia="Arial" w:hAnsi="Arial"/>
                <w:sz w:val="18"/>
                <w:szCs w:val="18"/>
                <w:b w:val="1"/>
                <w:bCs w:val="1"/>
                <w:color w:val="auto"/>
              </w:rPr>
              <w:t>Note 4 – Loans (Continued)</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8"/>
        </w:trPr>
        <w:tc>
          <w:tcPr>
            <w:tcW w:w="4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line="205" w:lineRule="exact"/>
              <w:rPr>
                <w:sz w:val="20"/>
                <w:szCs w:val="20"/>
                <w:color w:val="auto"/>
              </w:rPr>
            </w:pPr>
            <w:r>
              <w:rPr>
                <w:rFonts w:ascii="Arial" w:cs="Arial" w:eastAsia="Arial" w:hAnsi="Arial"/>
                <w:sz w:val="18"/>
                <w:szCs w:val="18"/>
                <w:color w:val="auto"/>
                <w:w w:val="86"/>
              </w:rPr>
              <w:t>Interest</w:t>
            </w:r>
          </w:p>
        </w:tc>
        <w:tc>
          <w:tcPr>
            <w:tcW w:w="0" w:type="dxa"/>
            <w:vAlign w:val="bottom"/>
          </w:tcPr>
          <w:p>
            <w:pPr>
              <w:spacing w:after="0"/>
              <w:rPr>
                <w:sz w:val="1"/>
                <w:szCs w:val="1"/>
                <w:color w:val="auto"/>
              </w:rPr>
            </w:pPr>
          </w:p>
        </w:tc>
      </w:tr>
      <w:tr>
        <w:trPr>
          <w:trHeight w:val="211"/>
        </w:trPr>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91"/>
              </w:rPr>
              <w:t>Unpaid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w w:val="93"/>
              </w:rPr>
              <w:t>Interest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Income</w:t>
            </w:r>
          </w:p>
        </w:tc>
        <w:tc>
          <w:tcPr>
            <w:tcW w:w="0" w:type="dxa"/>
            <w:vAlign w:val="bottom"/>
          </w:tcPr>
          <w:p>
            <w:pPr>
              <w:spacing w:after="0"/>
              <w:rPr>
                <w:sz w:val="1"/>
                <w:szCs w:val="1"/>
                <w:color w:val="auto"/>
              </w:rPr>
            </w:pPr>
          </w:p>
        </w:tc>
      </w:tr>
      <w:tr>
        <w:trPr>
          <w:trHeight w:val="211"/>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w w:val="84"/>
              </w:rPr>
              <w:t>Recorded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92"/>
              </w:rPr>
              <w:t>Principal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90"/>
              </w:rPr>
              <w:t>Related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color w:val="auto"/>
                <w:w w:val="84"/>
              </w:rPr>
              <w:t>Recorded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w w:val="94"/>
              </w:rPr>
              <w:t>Income</w:t>
            </w:r>
          </w:p>
        </w:tc>
        <w:tc>
          <w:tcPr>
            <w:tcW w:w="200" w:type="dxa"/>
            <w:vAlign w:val="bottom"/>
          </w:tcPr>
          <w:p>
            <w:pPr>
              <w:spacing w:after="0"/>
              <w:rPr>
                <w:sz w:val="18"/>
                <w:szCs w:val="18"/>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Recognized</w:t>
            </w:r>
          </w:p>
        </w:tc>
        <w:tc>
          <w:tcPr>
            <w:tcW w:w="0" w:type="dxa"/>
            <w:vAlign w:val="bottom"/>
          </w:tcPr>
          <w:p>
            <w:pPr>
              <w:spacing w:after="0"/>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3"/>
              </w:rPr>
              <w:t>Investment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86"/>
              </w:rPr>
              <w:t>Balance</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Allowance</w:t>
            </w:r>
          </w:p>
        </w:tc>
        <w:tc>
          <w:tcPr>
            <w:tcW w:w="20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8"/>
              </w:rPr>
              <w:t>Investment</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8"/>
              </w:rPr>
              <w:t>Recognized</w:t>
            </w:r>
          </w:p>
        </w:tc>
        <w:tc>
          <w:tcPr>
            <w:tcW w:w="200" w:type="dxa"/>
            <w:vAlign w:val="bottom"/>
          </w:tcPr>
          <w:p>
            <w:pPr>
              <w:spacing w:after="0"/>
              <w:rPr>
                <w:sz w:val="19"/>
                <w:szCs w:val="19"/>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color w:val="auto"/>
                <w:w w:val="85"/>
              </w:rPr>
              <w:t>Cash Basis</w:t>
            </w:r>
          </w:p>
        </w:tc>
        <w:tc>
          <w:tcPr>
            <w:tcW w:w="0" w:type="dxa"/>
            <w:vAlign w:val="bottom"/>
          </w:tcPr>
          <w:p>
            <w:pPr>
              <w:spacing w:after="0"/>
              <w:rPr>
                <w:sz w:val="1"/>
                <w:szCs w:val="1"/>
                <w:color w:val="auto"/>
              </w:rPr>
            </w:pPr>
          </w:p>
        </w:tc>
      </w:tr>
      <w:tr>
        <w:trPr>
          <w:trHeight w:val="217"/>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40"/>
              <w:spacing w:after="0"/>
              <w:rPr>
                <w:sz w:val="20"/>
                <w:szCs w:val="20"/>
                <w:color w:val="auto"/>
              </w:rPr>
            </w:pPr>
            <w:r>
              <w:rPr>
                <w:rFonts w:ascii="Arial" w:cs="Arial" w:eastAsia="Arial" w:hAnsi="Arial"/>
                <w:sz w:val="18"/>
                <w:szCs w:val="18"/>
                <w:color w:val="auto"/>
              </w:rPr>
              <w:t>Consumer Real Estate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Agricultural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40"/>
              <w:spacing w:after="0"/>
              <w:rPr>
                <w:sz w:val="20"/>
                <w:szCs w:val="20"/>
                <w:color w:val="auto"/>
              </w:rPr>
            </w:pPr>
            <w:r>
              <w:rPr>
                <w:rFonts w:ascii="Arial" w:cs="Arial" w:eastAsia="Arial" w:hAnsi="Arial"/>
                <w:sz w:val="18"/>
                <w:szCs w:val="18"/>
                <w:color w:val="auto"/>
              </w:rPr>
              <w:t>Agricultural</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40"/>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40"/>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60" w:type="dxa"/>
            <w:vAlign w:val="bottom"/>
          </w:tcPr>
          <w:p>
            <w:pPr>
              <w:ind w:left="240"/>
              <w:spacing w:after="0"/>
              <w:rPr>
                <w:sz w:val="20"/>
                <w:szCs w:val="20"/>
                <w:color w:val="auto"/>
              </w:rPr>
            </w:pPr>
            <w:r>
              <w:rPr>
                <w:rFonts w:ascii="Arial" w:cs="Arial" w:eastAsia="Arial" w:hAnsi="Arial"/>
                <w:sz w:val="18"/>
                <w:szCs w:val="18"/>
                <w:color w:val="auto"/>
              </w:rPr>
              <w:t>Consumer Real Estate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Agricultural Real Estate</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226</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Agricultural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691</w:t>
            </w:r>
          </w:p>
        </w:tc>
        <w:tc>
          <w:tcPr>
            <w:tcW w:w="3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691</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21</w:t>
            </w:r>
          </w:p>
        </w:tc>
        <w:tc>
          <w:tcPr>
            <w:tcW w:w="3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153</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299</w:t>
            </w:r>
          </w:p>
        </w:tc>
        <w:tc>
          <w:tcPr>
            <w:tcW w:w="3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299</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238</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19</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Commercial and Industrial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1,209</w:t>
            </w:r>
          </w:p>
        </w:tc>
        <w:tc>
          <w:tcPr>
            <w:tcW w:w="3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1,359</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142</w:t>
            </w:r>
          </w:p>
        </w:tc>
        <w:tc>
          <w:tcPr>
            <w:tcW w:w="3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1,192</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66</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33</w:t>
            </w:r>
          </w:p>
        </w:tc>
        <w:tc>
          <w:tcPr>
            <w:tcW w:w="3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33</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w:t>
            </w:r>
          </w:p>
        </w:tc>
        <w:tc>
          <w:tcPr>
            <w:tcW w:w="3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0"/>
        <w:spacing w:after="0" w:line="287" w:lineRule="auto"/>
        <w:rPr>
          <w:sz w:val="20"/>
          <w:szCs w:val="20"/>
          <w:color w:val="auto"/>
        </w:rPr>
      </w:pPr>
      <w:r>
        <w:rPr>
          <w:rFonts w:ascii="Arial" w:cs="Arial" w:eastAsia="Arial" w:hAnsi="Arial"/>
          <w:sz w:val="16"/>
          <w:szCs w:val="16"/>
          <w:color w:val="auto"/>
        </w:rPr>
        <w:t>As of December 31, 2020 the Company had $71 thousand of foreclosed residential real estate property obtained by physical possession and $910 thousand of consumer mortgage loans secured by residential real estate properties for which foreclosure proceedings are in process according to local jurisdictions. This compares to the Company having $50 thousand of foreclosed residential real estate property obtained by physical possession and $383 thousand of consumer mortgage loans secured by residential real estate properties for which foreclosure proceedings are in process according to local jurisdictions as of December 31, 2019.</w:t>
      </w:r>
    </w:p>
    <w:p>
      <w:pPr>
        <w:spacing w:after="0" w:line="59" w:lineRule="exact"/>
        <w:rPr>
          <w:sz w:val="20"/>
          <w:szCs w:val="20"/>
          <w:color w:val="auto"/>
        </w:rPr>
      </w:pPr>
    </w:p>
    <w:p>
      <w:pPr>
        <w:jc w:val="both"/>
        <w:ind w:left="600"/>
        <w:spacing w:after="0" w:line="262" w:lineRule="auto"/>
        <w:rPr>
          <w:sz w:val="20"/>
          <w:szCs w:val="20"/>
          <w:color w:val="auto"/>
        </w:rPr>
      </w:pPr>
      <w:r>
        <w:rPr>
          <w:rFonts w:ascii="Arial" w:cs="Arial" w:eastAsia="Arial" w:hAnsi="Arial"/>
          <w:sz w:val="18"/>
          <w:szCs w:val="18"/>
          <w:color w:val="auto"/>
        </w:rPr>
        <w:t>The ALLL has a direct impact on the provision expense. An increase in the ALLL is funded through recoveries and provision expense. The following tables summarize the activities in the allowance for credit losses.</w:t>
      </w:r>
    </w:p>
    <w:p>
      <w:pPr>
        <w:spacing w:after="0" w:line="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an analysis of the allowance for credit losses for the years ended December 31: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w w:val="92"/>
              </w:rPr>
              <w:t>(In Thousands)</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800" w:type="dxa"/>
            <w:vAlign w:val="bottom"/>
            <w:tcBorders>
              <w:bottom w:val="single" w:sz="8" w:color="CFF0FC"/>
            </w:tcBorders>
          </w:tcPr>
          <w:p>
            <w:pPr>
              <w:spacing w:after="0"/>
              <w:rPr>
                <w:sz w:val="18"/>
                <w:szCs w:val="18"/>
                <w:color w:val="auto"/>
              </w:rPr>
            </w:pPr>
          </w:p>
        </w:tc>
        <w:tc>
          <w:tcPr>
            <w:tcW w:w="16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Allowance for Loan Losses</w:t>
            </w:r>
          </w:p>
        </w:tc>
        <w:tc>
          <w:tcPr>
            <w:tcW w:w="1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Balance at beginning of year</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7,228</w:t>
            </w:r>
          </w:p>
        </w:tc>
        <w:tc>
          <w:tcPr>
            <w:tcW w:w="12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6,775</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6,868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loan loss</w:t>
            </w: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Loans charged off</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(580)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Recoveries</w:t>
            </w:r>
          </w:p>
        </w:tc>
        <w:tc>
          <w:tcPr>
            <w:tcW w:w="16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40" w:type="dxa"/>
            <w:vAlign w:val="bottom"/>
            <w:gridSpan w:val="2"/>
          </w:tcPr>
          <w:p>
            <w:pPr>
              <w:ind w:left="1140"/>
              <w:spacing w:after="0"/>
              <w:rPr>
                <w:sz w:val="20"/>
                <w:szCs w:val="20"/>
                <w:color w:val="auto"/>
              </w:rPr>
            </w:pPr>
            <w:r>
              <w:rPr>
                <w:rFonts w:ascii="Arial" w:cs="Arial" w:eastAsia="Arial" w:hAnsi="Arial"/>
                <w:sz w:val="18"/>
                <w:szCs w:val="18"/>
                <w:color w:val="auto"/>
              </w:rPr>
              <w:t>Balance at ending of year</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13,672</w:t>
            </w:r>
          </w:p>
        </w:tc>
        <w:tc>
          <w:tcPr>
            <w:tcW w:w="120" w:type="dxa"/>
            <w:vAlign w:val="bottom"/>
          </w:tcPr>
          <w:p>
            <w:pPr>
              <w:spacing w:after="0"/>
              <w:rPr>
                <w:sz w:val="22"/>
                <w:szCs w:val="2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7,228</w:t>
            </w:r>
          </w:p>
        </w:tc>
        <w:tc>
          <w:tcPr>
            <w:tcW w:w="140" w:type="dxa"/>
            <w:vAlign w:val="bottom"/>
          </w:tcPr>
          <w:p>
            <w:pPr>
              <w:spacing w:after="0"/>
              <w:rPr>
                <w:sz w:val="22"/>
                <w:szCs w:val="22"/>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6,775</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380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Allowance for Unfunded Loan Commitments</w:t>
            </w:r>
          </w:p>
        </w:tc>
        <w:tc>
          <w:tcPr>
            <w:tcW w:w="16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&amp; Letters of Credit</w:t>
            </w:r>
          </w:p>
        </w:tc>
        <w:tc>
          <w:tcPr>
            <w:tcW w:w="1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4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 Allowance for Credit Losses</w:t>
            </w:r>
          </w:p>
        </w:tc>
        <w:tc>
          <w:tcPr>
            <w:tcW w:w="1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gridSpan w:val="2"/>
            <w:vMerge w:val="continue"/>
          </w:tcPr>
          <w:p>
            <w:pPr>
              <w:spacing w:after="0"/>
              <w:rPr>
                <w:sz w:val="17"/>
                <w:szCs w:val="17"/>
                <w:color w:val="auto"/>
              </w:rPr>
            </w:pPr>
          </w:p>
        </w:tc>
        <w:tc>
          <w:tcPr>
            <w:tcW w:w="18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14,313</w:t>
            </w:r>
          </w:p>
        </w:tc>
        <w:tc>
          <w:tcPr>
            <w:tcW w:w="120" w:type="dxa"/>
            <w:vAlign w:val="bottom"/>
          </w:tcPr>
          <w:p>
            <w:pPr>
              <w:spacing w:after="0"/>
              <w:rPr>
                <w:sz w:val="17"/>
                <w:szCs w:val="17"/>
                <w:color w:val="auto"/>
              </w:rPr>
            </w:pPr>
          </w:p>
        </w:tc>
        <w:tc>
          <w:tcPr>
            <w:tcW w:w="3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7,707</w:t>
            </w:r>
          </w:p>
        </w:tc>
        <w:tc>
          <w:tcPr>
            <w:tcW w:w="140" w:type="dxa"/>
            <w:vAlign w:val="bottom"/>
          </w:tcPr>
          <w:p>
            <w:pPr>
              <w:spacing w:after="0"/>
              <w:rPr>
                <w:sz w:val="17"/>
                <w:szCs w:val="17"/>
                <w:color w:val="auto"/>
              </w:rPr>
            </w:pPr>
          </w:p>
        </w:tc>
        <w:tc>
          <w:tcPr>
            <w:tcW w:w="2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7,049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20" w:type="dxa"/>
            <w:vAlign w:val="bottom"/>
            <w:vMerge w:val="restart"/>
          </w:tcPr>
          <w:p>
            <w:pPr>
              <w:jc w:val="right"/>
              <w:ind w:right="752"/>
              <w:spacing w:after="0"/>
              <w:rPr>
                <w:sz w:val="20"/>
                <w:szCs w:val="20"/>
                <w:color w:val="auto"/>
              </w:rPr>
            </w:pPr>
            <w:r>
              <w:rPr>
                <w:rFonts w:ascii="Arial" w:cs="Arial" w:eastAsia="Arial" w:hAnsi="Arial"/>
                <w:sz w:val="18"/>
                <w:szCs w:val="18"/>
                <w:color w:val="auto"/>
              </w:rPr>
              <w:t>82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1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40" w:type="dxa"/>
            <w:vAlign w:val="bottom"/>
            <w:tcBorders>
              <w:bottom w:val="single" w:sz="8" w:color="9A9A9A"/>
            </w:tcBorders>
          </w:tcPr>
          <w:p>
            <w:pPr>
              <w:spacing w:after="0"/>
              <w:rPr>
                <w:sz w:val="9"/>
                <w:szCs w:val="9"/>
                <w:color w:val="auto"/>
              </w:rPr>
            </w:pPr>
          </w:p>
        </w:tc>
        <w:tc>
          <w:tcPr>
            <w:tcW w:w="380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203" w:lineRule="exact"/>
        <w:rPr>
          <w:sz w:val="20"/>
          <w:szCs w:val="20"/>
          <w:color w:val="auto"/>
        </w:rPr>
      </w:pPr>
    </w:p>
    <w:p>
      <w:pPr>
        <w:ind w:left="760"/>
        <w:spacing w:after="0" w:line="325" w:lineRule="auto"/>
        <w:rPr>
          <w:sz w:val="20"/>
          <w:szCs w:val="20"/>
          <w:color w:val="auto"/>
        </w:rPr>
      </w:pPr>
      <w:r>
        <w:rPr>
          <w:rFonts w:ascii="Arial" w:cs="Arial" w:eastAsia="Arial" w:hAnsi="Arial"/>
          <w:sz w:val="16"/>
          <w:szCs w:val="16"/>
          <w:color w:val="auto"/>
        </w:rPr>
        <w:t>The Company segregates its Allowance for Loan and Lease Losses (ALLL) into two reserves: The ALLL and the Allowance for Unfunded Loan Commitments and Letters of Credit (AULC). When combined, these reserves constitute the total Allowance for Credit Losses (ACL).</w:t>
      </w:r>
    </w:p>
    <w:p>
      <w:pPr>
        <w:spacing w:after="0" w:line="29" w:lineRule="exact"/>
        <w:rPr>
          <w:sz w:val="20"/>
          <w:szCs w:val="20"/>
          <w:color w:val="auto"/>
        </w:rPr>
      </w:pPr>
    </w:p>
    <w:p>
      <w:pPr>
        <w:ind w:left="760"/>
        <w:spacing w:after="0" w:line="262" w:lineRule="auto"/>
        <w:rPr>
          <w:sz w:val="20"/>
          <w:szCs w:val="20"/>
          <w:color w:val="auto"/>
        </w:rPr>
      </w:pPr>
      <w:r>
        <w:rPr>
          <w:rFonts w:ascii="Arial" w:cs="Arial" w:eastAsia="Arial" w:hAnsi="Arial"/>
          <w:sz w:val="18"/>
          <w:szCs w:val="18"/>
          <w:color w:val="auto"/>
        </w:rPr>
        <w:t>The AULC is reported within other liabilities on the balance sheet while the ALLL is netted within the loans on the consolidated balance sheet. The ACL presented above represents the full amount of reserves available to absorb possible credit losses.</w:t>
      </w:r>
    </w:p>
    <w:p>
      <w:pPr>
        <w:spacing w:after="0" w:line="75" w:lineRule="exact"/>
        <w:rPr>
          <w:sz w:val="20"/>
          <w:szCs w:val="20"/>
          <w:color w:val="auto"/>
        </w:rPr>
      </w:pPr>
    </w:p>
    <w:p>
      <w:pPr>
        <w:ind w:left="760"/>
        <w:spacing w:after="0" w:line="262" w:lineRule="auto"/>
        <w:rPr>
          <w:sz w:val="20"/>
          <w:szCs w:val="20"/>
          <w:color w:val="auto"/>
        </w:rPr>
      </w:pPr>
      <w:r>
        <w:rPr>
          <w:rFonts w:ascii="Arial" w:cs="Arial" w:eastAsia="Arial" w:hAnsi="Arial"/>
          <w:sz w:val="18"/>
          <w:szCs w:val="18"/>
          <w:color w:val="auto"/>
        </w:rPr>
        <w:t>The following table breaks down the activity within ALLL for each loan portfolio segment and shows the contribution provided by both the recoveries and the provision along with the reduction of the allowance caused by charge-offs.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Additional analysis related to the allowance for credit losses as of December 31, 2020 and 2019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89"/>
              </w:rPr>
              <w:t>(In Thousands)</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32"/>
              <w:spacing w:after="0" w:line="205" w:lineRule="exact"/>
              <w:rPr>
                <w:sz w:val="20"/>
                <w:szCs w:val="20"/>
                <w:color w:val="auto"/>
              </w:rPr>
            </w:pPr>
            <w:r>
              <w:rPr>
                <w:rFonts w:ascii="Arial" w:cs="Arial" w:eastAsia="Arial" w:hAnsi="Arial"/>
                <w:sz w:val="18"/>
                <w:szCs w:val="18"/>
                <w:color w:val="auto"/>
                <w:w w:val="92"/>
              </w:rPr>
              <w:t>Unfunded</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2"/>
              <w:spacing w:after="0"/>
              <w:rPr>
                <w:sz w:val="20"/>
                <w:szCs w:val="20"/>
                <w:color w:val="auto"/>
              </w:rPr>
            </w:pPr>
            <w:r>
              <w:rPr>
                <w:rFonts w:ascii="Arial" w:cs="Arial" w:eastAsia="Arial" w:hAnsi="Arial"/>
                <w:sz w:val="18"/>
                <w:szCs w:val="18"/>
                <w:color w:val="auto"/>
                <w:w w:val="89"/>
              </w:rPr>
              <w:t>Loan</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ind w:left="60"/>
              <w:spacing w:after="0"/>
              <w:rPr>
                <w:sz w:val="20"/>
                <w:szCs w:val="20"/>
                <w:color w:val="auto"/>
              </w:rPr>
            </w:pPr>
            <w:r>
              <w:rPr>
                <w:rFonts w:ascii="Arial" w:cs="Arial" w:eastAsia="Arial" w:hAnsi="Arial"/>
                <w:sz w:val="18"/>
                <w:szCs w:val="18"/>
                <w:color w:val="auto"/>
                <w:w w:val="90"/>
              </w:rPr>
              <w:t>Commitment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20" w:type="dxa"/>
            <w:vAlign w:val="bottom"/>
            <w:vMerge w:val="restart"/>
          </w:tcPr>
          <w:p>
            <w:pPr>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w w:val="89"/>
              </w:rPr>
              <w:t>Consumer</w:t>
            </w:r>
          </w:p>
        </w:tc>
        <w:tc>
          <w:tcPr>
            <w:tcW w:w="880" w:type="dxa"/>
            <w:vAlign w:val="bottom"/>
            <w:gridSpan w:val="2"/>
          </w:tcPr>
          <w:p>
            <w:pPr>
              <w:spacing w:after="0"/>
              <w:rPr>
                <w:sz w:val="20"/>
                <w:szCs w:val="20"/>
                <w:color w:val="auto"/>
              </w:rPr>
            </w:pPr>
            <w:r>
              <w:rPr>
                <w:rFonts w:ascii="Arial" w:cs="Arial" w:eastAsia="Arial" w:hAnsi="Arial"/>
                <w:sz w:val="18"/>
                <w:szCs w:val="18"/>
                <w:color w:val="auto"/>
                <w:w w:val="95"/>
              </w:rPr>
              <w:t>Agricultural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4"/>
          </w:tcPr>
          <w:p>
            <w:pPr>
              <w:ind w:left="160"/>
              <w:spacing w:after="0"/>
              <w:rPr>
                <w:sz w:val="20"/>
                <w:szCs w:val="20"/>
                <w:color w:val="auto"/>
              </w:rPr>
            </w:pPr>
            <w:r>
              <w:rPr>
                <w:rFonts w:ascii="Arial" w:cs="Arial" w:eastAsia="Arial" w:hAnsi="Arial"/>
                <w:sz w:val="18"/>
                <w:szCs w:val="18"/>
                <w:color w:val="auto"/>
                <w:w w:val="95"/>
              </w:rPr>
              <w:t>Commercial</w:t>
            </w:r>
          </w:p>
        </w:tc>
        <w:tc>
          <w:tcPr>
            <w:tcW w:w="100" w:type="dxa"/>
            <w:vAlign w:val="bottom"/>
          </w:tcPr>
          <w:p>
            <w:pPr>
              <w:spacing w:after="0"/>
              <w:rPr>
                <w:sz w:val="18"/>
                <w:szCs w:val="18"/>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Commercial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1"/>
              </w:rPr>
              <w:t>&amp; Letters of</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vMerge w:val="continue"/>
          </w:tcPr>
          <w:p>
            <w:pPr>
              <w:spacing w:after="0"/>
              <w:rPr>
                <w:sz w:val="19"/>
                <w:szCs w:val="19"/>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auto"/>
              </w:rPr>
              <w:t>Real Estate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5"/>
              </w:rPr>
              <w:t>Real Estate</w:t>
            </w: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w w:val="95"/>
              </w:rPr>
              <w:t>Agricultural</w:t>
            </w:r>
          </w:p>
        </w:tc>
        <w:tc>
          <w:tcPr>
            <w:tcW w:w="160" w:type="dxa"/>
            <w:vAlign w:val="bottom"/>
          </w:tcPr>
          <w:p>
            <w:pPr>
              <w:spacing w:after="0"/>
              <w:rPr>
                <w:sz w:val="19"/>
                <w:szCs w:val="19"/>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w w:val="85"/>
              </w:rPr>
              <w:t>Real Estate</w:t>
            </w:r>
          </w:p>
        </w:tc>
        <w:tc>
          <w:tcPr>
            <w:tcW w:w="10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8"/>
                <w:szCs w:val="18"/>
                <w:color w:val="auto"/>
                <w:w w:val="98"/>
              </w:rPr>
              <w:t>and Industrial</w:t>
            </w:r>
          </w:p>
        </w:tc>
        <w:tc>
          <w:tcPr>
            <w:tcW w:w="900" w:type="dxa"/>
            <w:vAlign w:val="bottom"/>
            <w:gridSpan w:val="4"/>
          </w:tcPr>
          <w:p>
            <w:pPr>
              <w:ind w:left="60"/>
              <w:spacing w:after="0"/>
              <w:rPr>
                <w:sz w:val="20"/>
                <w:szCs w:val="20"/>
                <w:color w:val="auto"/>
              </w:rPr>
            </w:pPr>
            <w:r>
              <w:rPr>
                <w:rFonts w:ascii="Arial" w:cs="Arial" w:eastAsia="Arial" w:hAnsi="Arial"/>
                <w:sz w:val="18"/>
                <w:szCs w:val="18"/>
                <w:color w:val="auto"/>
                <w:w w:val="98"/>
              </w:rPr>
              <w:t>Consumer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center"/>
              <w:ind w:right="32"/>
              <w:spacing w:after="0"/>
              <w:rPr>
                <w:sz w:val="20"/>
                <w:szCs w:val="20"/>
                <w:color w:val="auto"/>
              </w:rPr>
            </w:pPr>
            <w:r>
              <w:rPr>
                <w:rFonts w:ascii="Arial" w:cs="Arial" w:eastAsia="Arial" w:hAnsi="Arial"/>
                <w:sz w:val="18"/>
                <w:szCs w:val="18"/>
                <w:color w:val="auto"/>
                <w:w w:val="91"/>
              </w:rPr>
              <w:t>Credit</w:t>
            </w: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86"/>
              </w:rPr>
              <w:t>Unallocated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9"/>
        </w:trPr>
        <w:tc>
          <w:tcPr>
            <w:tcW w:w="2020" w:type="dxa"/>
            <w:vAlign w:val="bottom"/>
            <w:tcBorders>
              <w:top w:val="single" w:sz="8" w:color="CFF0FC"/>
            </w:tcBorders>
            <w:shd w:val="clear" w:color="auto" w:fill="CFF0FC"/>
          </w:tcPr>
          <w:p>
            <w:pPr>
              <w:spacing w:after="0" w:line="199" w:lineRule="exact"/>
              <w:rPr>
                <w:sz w:val="20"/>
                <w:szCs w:val="20"/>
                <w:color w:val="auto"/>
              </w:rPr>
            </w:pPr>
            <w:r>
              <w:rPr>
                <w:rFonts w:ascii="Arial" w:cs="Arial" w:eastAsia="Arial" w:hAnsi="Arial"/>
                <w:sz w:val="18"/>
                <w:szCs w:val="18"/>
                <w:b w:val="1"/>
                <w:bCs w:val="1"/>
                <w:color w:val="auto"/>
              </w:rPr>
              <w:t>ALLOWANCE FOR</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CREDIT LOSSES:</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20" w:type="dxa"/>
            <w:vAlign w:val="bottom"/>
          </w:tcPr>
          <w:p>
            <w:pPr>
              <w:spacing w:after="0"/>
              <w:rPr>
                <w:sz w:val="20"/>
                <w:szCs w:val="20"/>
                <w:color w:val="auto"/>
              </w:rPr>
            </w:pPr>
            <w:r>
              <w:rPr>
                <w:rFonts w:ascii="Arial" w:cs="Arial" w:eastAsia="Arial" w:hAnsi="Arial"/>
                <w:sz w:val="18"/>
                <w:szCs w:val="18"/>
                <w:color w:val="auto"/>
              </w:rPr>
              <w:t>Beginning balance</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314</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691</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3,634</w:t>
            </w:r>
          </w:p>
        </w:tc>
        <w:tc>
          <w:tcPr>
            <w:tcW w:w="80" w:type="dxa"/>
            <w:vAlign w:val="bottom"/>
          </w:tcPr>
          <w:p>
            <w:pPr>
              <w:spacing w:after="0"/>
              <w:rPr>
                <w:sz w:val="19"/>
                <w:szCs w:val="19"/>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479</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Charge Offs</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(297)</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4"/>
        </w:trPr>
        <w:tc>
          <w:tcPr>
            <w:tcW w:w="2020" w:type="dxa"/>
            <w:vAlign w:val="bottom"/>
          </w:tcPr>
          <w:p>
            <w:pPr>
              <w:ind w:left="240"/>
              <w:spacing w:after="0"/>
              <w:rPr>
                <w:sz w:val="20"/>
                <w:szCs w:val="20"/>
                <w:color w:val="auto"/>
              </w:rPr>
            </w:pPr>
            <w:r>
              <w:rPr>
                <w:rFonts w:ascii="Arial" w:cs="Arial" w:eastAsia="Arial" w:hAnsi="Arial"/>
                <w:sz w:val="18"/>
                <w:szCs w:val="18"/>
                <w:color w:val="auto"/>
              </w:rPr>
              <w:t>Recoveries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20" w:type="dxa"/>
            <w:vAlign w:val="bottom"/>
          </w:tcPr>
          <w:p>
            <w:pPr>
              <w:ind w:left="240"/>
              <w:spacing w:after="0"/>
              <w:rPr>
                <w:sz w:val="20"/>
                <w:szCs w:val="20"/>
                <w:color w:val="auto"/>
              </w:rPr>
            </w:pPr>
            <w:r>
              <w:rPr>
                <w:rFonts w:ascii="Arial" w:cs="Arial" w:eastAsia="Arial" w:hAnsi="Arial"/>
                <w:sz w:val="18"/>
                <w:szCs w:val="18"/>
                <w:color w:val="auto"/>
              </w:rPr>
              <w:t>Other Non-interest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20" w:type="dxa"/>
            <w:vAlign w:val="bottom"/>
          </w:tcPr>
          <w:p>
            <w:pPr>
              <w:ind w:left="240"/>
              <w:spacing w:after="0"/>
              <w:rPr>
                <w:sz w:val="20"/>
                <w:szCs w:val="20"/>
                <w:color w:val="auto"/>
              </w:rPr>
            </w:pPr>
            <w:r>
              <w:rPr>
                <w:rFonts w:ascii="Arial" w:cs="Arial" w:eastAsia="Arial" w:hAnsi="Arial"/>
                <w:sz w:val="18"/>
                <w:szCs w:val="18"/>
                <w:color w:val="auto"/>
              </w:rPr>
              <w:t>expense related to</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7,415</w:t>
            </w:r>
          </w:p>
        </w:tc>
        <w:tc>
          <w:tcPr>
            <w:tcW w:w="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3,346</w:t>
            </w:r>
          </w:p>
        </w:tc>
        <w:tc>
          <w:tcPr>
            <w:tcW w:w="1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 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20" w:type="dxa"/>
            <w:vAlign w:val="bottom"/>
          </w:tcPr>
          <w:p>
            <w:pPr>
              <w:spacing w:after="0"/>
              <w:rPr>
                <w:sz w:val="20"/>
                <w:szCs w:val="20"/>
                <w:color w:val="auto"/>
              </w:rPr>
            </w:pPr>
            <w:r>
              <w:rPr>
                <w:rFonts w:ascii="Arial" w:cs="Arial" w:eastAsia="Arial" w:hAnsi="Arial"/>
                <w:sz w:val="18"/>
                <w:szCs w:val="18"/>
                <w:color w:val="auto"/>
              </w:rPr>
              <w:t>individually evaluated for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2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600</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116</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2"/>
                <w:szCs w:val="22"/>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2"/>
                <w:szCs w:val="22"/>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1,657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2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Ending balance:</w:t>
            </w: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collectively evaluated for</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7,395</w:t>
            </w:r>
          </w:p>
        </w:tc>
        <w:tc>
          <w:tcPr>
            <w:tcW w:w="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 balance: loans</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20" w:type="dxa"/>
            <w:vAlign w:val="bottom"/>
          </w:tcPr>
          <w:p>
            <w:pPr>
              <w:spacing w:after="0"/>
              <w:rPr>
                <w:sz w:val="20"/>
                <w:szCs w:val="20"/>
                <w:color w:val="auto"/>
              </w:rPr>
            </w:pPr>
            <w:r>
              <w:rPr>
                <w:rFonts w:ascii="Arial" w:cs="Arial" w:eastAsia="Arial" w:hAnsi="Arial"/>
                <w:sz w:val="18"/>
                <w:szCs w:val="18"/>
                <w:color w:val="auto"/>
                <w:w w:val="96"/>
              </w:rPr>
              <w:t>acquired with deteriorated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20" w:type="dxa"/>
            <w:vAlign w:val="bottom"/>
          </w:tcPr>
          <w:p>
            <w:pPr>
              <w:ind w:left="140"/>
              <w:spacing w:after="0"/>
              <w:rPr>
                <w:sz w:val="20"/>
                <w:szCs w:val="20"/>
                <w:color w:val="auto"/>
              </w:rPr>
            </w:pPr>
            <w:r>
              <w:rPr>
                <w:rFonts w:ascii="Arial" w:cs="Arial" w:eastAsia="Arial" w:hAnsi="Arial"/>
                <w:sz w:val="18"/>
                <w:szCs w:val="18"/>
                <w:color w:val="auto"/>
              </w:rPr>
              <w:t>credit quality</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2020" w:type="dxa"/>
            <w:vAlign w:val="bottom"/>
            <w:tcBorders>
              <w:top w:val="single" w:sz="8" w:color="CFF0FC"/>
            </w:tcBorders>
            <w:shd w:val="clear" w:color="auto" w:fill="CFF0FC"/>
          </w:tcPr>
          <w:p>
            <w:pPr>
              <w:spacing w:after="0" w:line="186" w:lineRule="exact"/>
              <w:rPr>
                <w:sz w:val="20"/>
                <w:szCs w:val="20"/>
                <w:color w:val="auto"/>
              </w:rPr>
            </w:pPr>
            <w:r>
              <w:rPr>
                <w:rFonts w:ascii="Arial" w:cs="Arial" w:eastAsia="Arial" w:hAnsi="Arial"/>
                <w:sz w:val="18"/>
                <w:szCs w:val="18"/>
                <w:b w:val="1"/>
                <w:bCs w:val="1"/>
                <w:color w:val="auto"/>
              </w:rPr>
              <w:t>FINANCING</w:t>
            </w: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RECEIVABLES:</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20" w:type="dxa"/>
            <w:vAlign w:val="bottom"/>
          </w:tcPr>
          <w:p>
            <w:pPr>
              <w:spacing w:after="0"/>
              <w:rPr>
                <w:sz w:val="20"/>
                <w:szCs w:val="20"/>
                <w:color w:val="auto"/>
              </w:rPr>
            </w:pPr>
            <w:r>
              <w:rPr>
                <w:rFonts w:ascii="Arial" w:cs="Arial" w:eastAsia="Arial" w:hAnsi="Arial"/>
                <w:sz w:val="18"/>
                <w:szCs w:val="18"/>
                <w:color w:val="auto"/>
              </w:rPr>
              <w:t>Ending balance</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175,316</w:t>
            </w:r>
          </w:p>
        </w:tc>
        <w:tc>
          <w:tcPr>
            <w:tcW w:w="16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188,826</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94,490</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587,654</w:t>
            </w:r>
          </w:p>
        </w:tc>
        <w:tc>
          <w:tcPr>
            <w:tcW w:w="80" w:type="dxa"/>
            <w:vAlign w:val="bottom"/>
          </w:tcPr>
          <w:p>
            <w:pPr>
              <w:spacing w:after="0"/>
              <w:rPr>
                <w:sz w:val="22"/>
                <w:szCs w:val="22"/>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204,043</w:t>
            </w:r>
          </w:p>
        </w:tc>
        <w:tc>
          <w:tcPr>
            <w:tcW w:w="100" w:type="dxa"/>
            <w:vAlign w:val="bottom"/>
          </w:tcPr>
          <w:p>
            <w:pPr>
              <w:spacing w:after="0"/>
              <w:rPr>
                <w:sz w:val="22"/>
                <w:szCs w:val="22"/>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52,661</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1,302,990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2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Ending balance:</w:t>
            </w: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individually evaluated for</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6,756</w:t>
            </w: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w:t>
            </w:r>
          </w:p>
        </w:tc>
        <w:tc>
          <w:tcPr>
            <w:tcW w:w="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3,335</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 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20" w:type="dxa"/>
            <w:vAlign w:val="bottom"/>
          </w:tcPr>
          <w:p>
            <w:pPr>
              <w:spacing w:after="0"/>
              <w:rPr>
                <w:sz w:val="20"/>
                <w:szCs w:val="20"/>
                <w:color w:val="auto"/>
              </w:rPr>
            </w:pPr>
            <w:r>
              <w:rPr>
                <w:rFonts w:ascii="Arial" w:cs="Arial" w:eastAsia="Arial" w:hAnsi="Arial"/>
                <w:sz w:val="18"/>
                <w:szCs w:val="18"/>
                <w:color w:val="auto"/>
              </w:rPr>
              <w:t>collectively evaluated for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2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174,273</w:t>
            </w:r>
          </w:p>
        </w:tc>
        <w:tc>
          <w:tcPr>
            <w:tcW w:w="16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182,070</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94,023</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584,704</w:t>
            </w:r>
          </w:p>
        </w:tc>
        <w:tc>
          <w:tcPr>
            <w:tcW w:w="80" w:type="dxa"/>
            <w:vAlign w:val="bottom"/>
          </w:tcPr>
          <w:p>
            <w:pPr>
              <w:spacing w:after="0"/>
              <w:rPr>
                <w:sz w:val="22"/>
                <w:szCs w:val="22"/>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200,602</w:t>
            </w:r>
          </w:p>
        </w:tc>
        <w:tc>
          <w:tcPr>
            <w:tcW w:w="100" w:type="dxa"/>
            <w:vAlign w:val="bottom"/>
          </w:tcPr>
          <w:p>
            <w:pPr>
              <w:spacing w:after="0"/>
              <w:rPr>
                <w:sz w:val="22"/>
                <w:szCs w:val="22"/>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52,638</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1,288,310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2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Ending balance: loans</w:t>
            </w: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acquired with</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2"/>
              </w:rPr>
              <w:t>deteriorated credit quality</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20" w:type="dxa"/>
            <w:vAlign w:val="bottom"/>
            <w:gridSpan w:val="5"/>
          </w:tcPr>
          <w:p>
            <w:pPr>
              <w:spacing w:after="0"/>
              <w:rPr>
                <w:sz w:val="20"/>
                <w:szCs w:val="20"/>
                <w:color w:val="auto"/>
              </w:rPr>
            </w:pPr>
            <w:r>
              <w:rPr>
                <w:rFonts w:ascii="Arial" w:cs="Arial" w:eastAsia="Arial" w:hAnsi="Arial"/>
                <w:sz w:val="18"/>
                <w:szCs w:val="18"/>
                <w:b w:val="1"/>
                <w:bCs w:val="1"/>
                <w:color w:val="auto"/>
              </w:rPr>
              <w:t>Note 4 – Loans (Continued)</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8"/>
        </w:trPr>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99"/>
              </w:rPr>
              <w:t>(In Thousands)</w:t>
            </w: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32"/>
              <w:spacing w:after="0" w:line="205" w:lineRule="exact"/>
              <w:rPr>
                <w:sz w:val="20"/>
                <w:szCs w:val="20"/>
                <w:color w:val="auto"/>
              </w:rPr>
            </w:pPr>
            <w:r>
              <w:rPr>
                <w:rFonts w:ascii="Arial" w:cs="Arial" w:eastAsia="Arial" w:hAnsi="Arial"/>
                <w:sz w:val="18"/>
                <w:szCs w:val="18"/>
                <w:color w:val="auto"/>
                <w:w w:val="89"/>
              </w:rPr>
              <w:t>Unfunded</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89"/>
              </w:rPr>
              <w:t>Loan</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w w:val="88"/>
              </w:rPr>
              <w:t>Commitment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80" w:type="dxa"/>
            <w:vAlign w:val="bottom"/>
            <w:vMerge w:val="restart"/>
          </w:tcPr>
          <w:p>
            <w:pPr>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Consumer</w:t>
            </w:r>
          </w:p>
        </w:tc>
        <w:tc>
          <w:tcPr>
            <w:tcW w:w="1020" w:type="dxa"/>
            <w:vAlign w:val="bottom"/>
            <w:gridSpan w:val="3"/>
          </w:tcPr>
          <w:p>
            <w:pPr>
              <w:spacing w:after="0"/>
              <w:rPr>
                <w:sz w:val="20"/>
                <w:szCs w:val="20"/>
                <w:color w:val="auto"/>
              </w:rPr>
            </w:pPr>
            <w:r>
              <w:rPr>
                <w:rFonts w:ascii="Arial" w:cs="Arial" w:eastAsia="Arial" w:hAnsi="Arial"/>
                <w:sz w:val="18"/>
                <w:szCs w:val="18"/>
                <w:color w:val="auto"/>
              </w:rPr>
              <w:t>Agricultural</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Arial" w:cs="Arial" w:eastAsia="Arial" w:hAnsi="Arial"/>
                <w:sz w:val="18"/>
                <w:szCs w:val="18"/>
                <w:color w:val="auto"/>
                <w:w w:val="89"/>
              </w:rPr>
              <w:t>Commercial</w:t>
            </w:r>
          </w:p>
        </w:tc>
        <w:tc>
          <w:tcPr>
            <w:tcW w:w="16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3"/>
              </w:rPr>
              <w:t>&amp; Letters of</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80" w:type="dxa"/>
            <w:vAlign w:val="bottom"/>
            <w:vMerge w:val="continue"/>
          </w:tcPr>
          <w:p>
            <w:pPr>
              <w:spacing w:after="0"/>
              <w:rPr>
                <w:sz w:val="19"/>
                <w:szCs w:val="19"/>
                <w:color w:val="auto"/>
              </w:rPr>
            </w:pPr>
          </w:p>
        </w:tc>
        <w:tc>
          <w:tcPr>
            <w:tcW w:w="1240" w:type="dxa"/>
            <w:vAlign w:val="bottom"/>
            <w:gridSpan w:val="4"/>
          </w:tcPr>
          <w:p>
            <w:pPr>
              <w:ind w:left="100"/>
              <w:spacing w:after="0"/>
              <w:rPr>
                <w:sz w:val="20"/>
                <w:szCs w:val="20"/>
                <w:color w:val="auto"/>
              </w:rPr>
            </w:pPr>
            <w:r>
              <w:rPr>
                <w:rFonts w:ascii="Arial" w:cs="Arial" w:eastAsia="Arial" w:hAnsi="Arial"/>
                <w:sz w:val="18"/>
                <w:szCs w:val="18"/>
                <w:color w:val="auto"/>
              </w:rPr>
              <w:t>Real Estate</w:t>
            </w: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Real Estate</w:t>
            </w:r>
          </w:p>
        </w:tc>
        <w:tc>
          <w:tcPr>
            <w:tcW w:w="980" w:type="dxa"/>
            <w:vAlign w:val="bottom"/>
            <w:gridSpan w:val="3"/>
          </w:tcPr>
          <w:p>
            <w:pPr>
              <w:spacing w:after="0"/>
              <w:rPr>
                <w:sz w:val="20"/>
                <w:szCs w:val="20"/>
                <w:color w:val="auto"/>
              </w:rPr>
            </w:pPr>
            <w:r>
              <w:rPr>
                <w:rFonts w:ascii="Arial" w:cs="Arial" w:eastAsia="Arial" w:hAnsi="Arial"/>
                <w:sz w:val="18"/>
                <w:szCs w:val="18"/>
                <w:color w:val="auto"/>
              </w:rPr>
              <w:t>Agricultural</w:t>
            </w:r>
          </w:p>
        </w:tc>
        <w:tc>
          <w:tcPr>
            <w:tcW w:w="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8"/>
              </w:rPr>
              <w:t>Real Estate</w:t>
            </w:r>
          </w:p>
        </w:tc>
        <w:tc>
          <w:tcPr>
            <w:tcW w:w="1300" w:type="dxa"/>
            <w:vAlign w:val="bottom"/>
            <w:gridSpan w:val="4"/>
          </w:tcPr>
          <w:p>
            <w:pPr>
              <w:ind w:left="160"/>
              <w:spacing w:after="0"/>
              <w:rPr>
                <w:sz w:val="20"/>
                <w:szCs w:val="20"/>
                <w:color w:val="auto"/>
              </w:rPr>
            </w:pPr>
            <w:r>
              <w:rPr>
                <w:rFonts w:ascii="Arial" w:cs="Arial" w:eastAsia="Arial" w:hAnsi="Arial"/>
                <w:sz w:val="18"/>
                <w:szCs w:val="18"/>
                <w:color w:val="auto"/>
              </w:rPr>
              <w:t>and Industrial</w:t>
            </w:r>
          </w:p>
        </w:tc>
        <w:tc>
          <w:tcPr>
            <w:tcW w:w="90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9"/>
                <w:szCs w:val="19"/>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1"/>
              </w:rPr>
              <w:t>Credit</w:t>
            </w:r>
          </w:p>
        </w:tc>
        <w:tc>
          <w:tcPr>
            <w:tcW w:w="1300" w:type="dxa"/>
            <w:vAlign w:val="bottom"/>
            <w:gridSpan w:val="4"/>
          </w:tcPr>
          <w:p>
            <w:pPr>
              <w:ind w:left="320"/>
              <w:spacing w:after="0"/>
              <w:rPr>
                <w:sz w:val="20"/>
                <w:szCs w:val="20"/>
                <w:color w:val="auto"/>
              </w:rPr>
            </w:pPr>
            <w:r>
              <w:rPr>
                <w:rFonts w:ascii="Arial" w:cs="Arial" w:eastAsia="Arial" w:hAnsi="Arial"/>
                <w:sz w:val="18"/>
                <w:szCs w:val="18"/>
                <w:color w:val="auto"/>
              </w:rPr>
              <w:t>Unallocated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9"/>
        </w:trPr>
        <w:tc>
          <w:tcPr>
            <w:tcW w:w="1680" w:type="dxa"/>
            <w:vAlign w:val="bottom"/>
            <w:tcBorders>
              <w:top w:val="single" w:sz="8" w:color="CFF0FC"/>
            </w:tcBorders>
            <w:shd w:val="clear" w:color="auto" w:fill="CFF0FC"/>
          </w:tcPr>
          <w:p>
            <w:pPr>
              <w:spacing w:after="0" w:line="199" w:lineRule="exact"/>
              <w:rPr>
                <w:sz w:val="20"/>
                <w:szCs w:val="20"/>
                <w:color w:val="auto"/>
              </w:rPr>
            </w:pPr>
            <w:r>
              <w:rPr>
                <w:rFonts w:ascii="Arial" w:cs="Arial" w:eastAsia="Arial" w:hAnsi="Arial"/>
                <w:sz w:val="18"/>
                <w:szCs w:val="18"/>
                <w:b w:val="1"/>
                <w:bCs w:val="1"/>
                <w:color w:val="auto"/>
              </w:rPr>
              <w:t>ALLOWANCE FOR</w:t>
            </w: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CREDIT LOSSES:</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680" w:type="dxa"/>
            <w:vAlign w:val="bottom"/>
          </w:tcPr>
          <w:p>
            <w:pPr>
              <w:spacing w:after="0"/>
              <w:rPr>
                <w:sz w:val="20"/>
                <w:szCs w:val="20"/>
                <w:color w:val="auto"/>
              </w:rPr>
            </w:pPr>
            <w:r>
              <w:rPr>
                <w:rFonts w:ascii="Arial" w:cs="Arial" w:eastAsia="Arial" w:hAnsi="Arial"/>
                <w:sz w:val="18"/>
                <w:szCs w:val="18"/>
                <w:color w:val="auto"/>
              </w:rPr>
              <w:t>Beginning balance</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247</w:t>
            </w:r>
          </w:p>
        </w:tc>
        <w:tc>
          <w:tcPr>
            <w:tcW w:w="3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3,217</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1,305</w:t>
            </w:r>
          </w:p>
        </w:tc>
        <w:tc>
          <w:tcPr>
            <w:tcW w:w="1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484</w:t>
            </w:r>
          </w:p>
        </w:tc>
        <w:tc>
          <w:tcPr>
            <w:tcW w:w="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274</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Charge Offs</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24"/>
        </w:trPr>
        <w:tc>
          <w:tcPr>
            <w:tcW w:w="1680" w:type="dxa"/>
            <w:vAlign w:val="bottom"/>
          </w:tcPr>
          <w:p>
            <w:pPr>
              <w:ind w:left="240"/>
              <w:spacing w:after="0"/>
              <w:rPr>
                <w:sz w:val="20"/>
                <w:szCs w:val="20"/>
                <w:color w:val="auto"/>
              </w:rPr>
            </w:pPr>
            <w:r>
              <w:rPr>
                <w:rFonts w:ascii="Arial" w:cs="Arial" w:eastAsia="Arial" w:hAnsi="Arial"/>
                <w:sz w:val="18"/>
                <w:szCs w:val="18"/>
                <w:color w:val="auto"/>
              </w:rPr>
              <w:t>Recoveries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(Credit)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(504)</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680" w:type="dxa"/>
            <w:vAlign w:val="bottom"/>
          </w:tcPr>
          <w:p>
            <w:pPr>
              <w:ind w:left="240"/>
              <w:spacing w:after="0"/>
              <w:rPr>
                <w:sz w:val="20"/>
                <w:szCs w:val="20"/>
                <w:color w:val="auto"/>
              </w:rPr>
            </w:pPr>
            <w:r>
              <w:rPr>
                <w:rFonts w:ascii="Arial" w:cs="Arial" w:eastAsia="Arial" w:hAnsi="Arial"/>
                <w:sz w:val="18"/>
                <w:szCs w:val="18"/>
                <w:color w:val="auto"/>
                <w:w w:val="95"/>
              </w:rPr>
              <w:t>Other Non-interest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80" w:type="dxa"/>
            <w:vAlign w:val="bottom"/>
          </w:tcPr>
          <w:p>
            <w:pPr>
              <w:ind w:left="240"/>
              <w:spacing w:after="0"/>
              <w:rPr>
                <w:sz w:val="20"/>
                <w:szCs w:val="20"/>
                <w:color w:val="auto"/>
              </w:rPr>
            </w:pPr>
            <w:r>
              <w:rPr>
                <w:rFonts w:ascii="Arial" w:cs="Arial" w:eastAsia="Arial" w:hAnsi="Arial"/>
                <w:sz w:val="18"/>
                <w:szCs w:val="18"/>
                <w:color w:val="auto"/>
                <w:w w:val="95"/>
              </w:rPr>
              <w:t>expense related to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3,634</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64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680" w:type="dxa"/>
            <w:vAlign w:val="bottom"/>
          </w:tcPr>
          <w:p>
            <w:pPr>
              <w:spacing w:after="0"/>
              <w:rPr>
                <w:sz w:val="20"/>
                <w:szCs w:val="20"/>
                <w:color w:val="auto"/>
              </w:rPr>
            </w:pPr>
            <w:r>
              <w:rPr>
                <w:rFonts w:ascii="Arial" w:cs="Arial" w:eastAsia="Arial" w:hAnsi="Arial"/>
                <w:sz w:val="18"/>
                <w:szCs w:val="18"/>
                <w:color w:val="auto"/>
                <w:w w:val="97"/>
              </w:rPr>
              <w:t>individually evaluated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80" w:type="dxa"/>
            <w:vAlign w:val="bottom"/>
          </w:tcPr>
          <w:p>
            <w:pPr>
              <w:spacing w:after="0"/>
              <w:rPr>
                <w:sz w:val="20"/>
                <w:szCs w:val="20"/>
                <w:color w:val="auto"/>
              </w:rPr>
            </w:pPr>
            <w:r>
              <w:rPr>
                <w:rFonts w:ascii="Arial" w:cs="Arial" w:eastAsia="Arial" w:hAnsi="Arial"/>
                <w:sz w:val="18"/>
                <w:szCs w:val="18"/>
                <w:color w:val="auto"/>
              </w:rPr>
              <w:t>for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68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68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34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w w:val="97"/>
              </w:rPr>
              <w:t>collectively evaluated</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for</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3,634</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64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3"/>
              </w:rPr>
              <w:t>Ending balance: loans</w:t>
            </w: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680" w:type="dxa"/>
            <w:vAlign w:val="bottom"/>
          </w:tcPr>
          <w:p>
            <w:pPr>
              <w:spacing w:after="0"/>
              <w:rPr>
                <w:sz w:val="20"/>
                <w:szCs w:val="20"/>
                <w:color w:val="auto"/>
              </w:rPr>
            </w:pPr>
            <w:r>
              <w:rPr>
                <w:rFonts w:ascii="Arial" w:cs="Arial" w:eastAsia="Arial" w:hAnsi="Arial"/>
                <w:sz w:val="18"/>
                <w:szCs w:val="18"/>
                <w:color w:val="auto"/>
              </w:rPr>
              <w:t>acquired with</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80" w:type="dxa"/>
            <w:vAlign w:val="bottom"/>
          </w:tcPr>
          <w:p>
            <w:pPr>
              <w:spacing w:after="0"/>
              <w:rPr>
                <w:sz w:val="20"/>
                <w:szCs w:val="20"/>
                <w:color w:val="auto"/>
              </w:rPr>
            </w:pPr>
            <w:r>
              <w:rPr>
                <w:rFonts w:ascii="Arial" w:cs="Arial" w:eastAsia="Arial" w:hAnsi="Arial"/>
                <w:sz w:val="18"/>
                <w:szCs w:val="18"/>
                <w:color w:val="auto"/>
              </w:rPr>
              <w:t>deteriorated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680" w:type="dxa"/>
            <w:vAlign w:val="bottom"/>
          </w:tcPr>
          <w:p>
            <w:pPr>
              <w:ind w:left="140"/>
              <w:spacing w:after="0"/>
              <w:rPr>
                <w:sz w:val="20"/>
                <w:szCs w:val="20"/>
                <w:color w:val="auto"/>
              </w:rPr>
            </w:pPr>
            <w:r>
              <w:rPr>
                <w:rFonts w:ascii="Arial" w:cs="Arial" w:eastAsia="Arial" w:hAnsi="Arial"/>
                <w:sz w:val="18"/>
                <w:szCs w:val="18"/>
                <w:color w:val="auto"/>
              </w:rPr>
              <w:t>credit quality</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1680" w:type="dxa"/>
            <w:vAlign w:val="bottom"/>
            <w:tcBorders>
              <w:top w:val="single" w:sz="8" w:color="CFF0FC"/>
            </w:tcBorders>
            <w:shd w:val="clear" w:color="auto" w:fill="CFF0FC"/>
          </w:tcPr>
          <w:p>
            <w:pPr>
              <w:spacing w:after="0" w:line="186" w:lineRule="exact"/>
              <w:rPr>
                <w:sz w:val="20"/>
                <w:szCs w:val="20"/>
                <w:color w:val="auto"/>
              </w:rPr>
            </w:pPr>
            <w:r>
              <w:rPr>
                <w:rFonts w:ascii="Arial" w:cs="Arial" w:eastAsia="Arial" w:hAnsi="Arial"/>
                <w:sz w:val="18"/>
                <w:szCs w:val="18"/>
                <w:b w:val="1"/>
                <w:bCs w:val="1"/>
                <w:color w:val="auto"/>
              </w:rPr>
              <w:t>FINANCING</w:t>
            </w: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34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RECEIVABLES:</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680" w:type="dxa"/>
            <w:vAlign w:val="bottom"/>
          </w:tcPr>
          <w:p>
            <w:pPr>
              <w:spacing w:after="0"/>
              <w:rPr>
                <w:sz w:val="20"/>
                <w:szCs w:val="20"/>
                <w:color w:val="auto"/>
              </w:rPr>
            </w:pPr>
            <w:r>
              <w:rPr>
                <w:rFonts w:ascii="Arial" w:cs="Arial" w:eastAsia="Arial" w:hAnsi="Arial"/>
                <w:sz w:val="18"/>
                <w:szCs w:val="18"/>
                <w:color w:val="auto"/>
              </w:rPr>
              <w:t>Ending balance</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164,691</w:t>
            </w:r>
          </w:p>
        </w:tc>
        <w:tc>
          <w:tcPr>
            <w:tcW w:w="3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198,859</w:t>
            </w:r>
          </w:p>
        </w:tc>
        <w:tc>
          <w:tcPr>
            <w:tcW w:w="16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111,949</w:t>
            </w:r>
          </w:p>
        </w:tc>
        <w:tc>
          <w:tcPr>
            <w:tcW w:w="100" w:type="dxa"/>
            <w:vAlign w:val="bottom"/>
          </w:tcPr>
          <w:p>
            <w:pPr>
              <w:spacing w:after="0"/>
              <w:rPr>
                <w:sz w:val="22"/>
                <w:szCs w:val="22"/>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550,082</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144,009</w:t>
            </w:r>
          </w:p>
        </w:tc>
        <w:tc>
          <w:tcPr>
            <w:tcW w:w="18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49,409</w:t>
            </w:r>
          </w:p>
        </w:tc>
        <w:tc>
          <w:tcPr>
            <w:tcW w:w="1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1,218,999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68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34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w w:val="97"/>
              </w:rPr>
              <w:t>individually evaluated</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for</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680" w:type="dxa"/>
            <w:vAlign w:val="bottom"/>
          </w:tcPr>
          <w:p>
            <w:pPr>
              <w:spacing w:after="0"/>
              <w:rPr>
                <w:sz w:val="20"/>
                <w:szCs w:val="20"/>
                <w:color w:val="auto"/>
              </w:rPr>
            </w:pPr>
            <w:r>
              <w:rPr>
                <w:rFonts w:ascii="Arial" w:cs="Arial" w:eastAsia="Arial" w:hAnsi="Arial"/>
                <w:sz w:val="18"/>
                <w:szCs w:val="18"/>
                <w:color w:val="auto"/>
                <w:w w:val="97"/>
              </w:rPr>
              <w:t>collectively evaluated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80" w:type="dxa"/>
            <w:vAlign w:val="bottom"/>
          </w:tcPr>
          <w:p>
            <w:pPr>
              <w:spacing w:after="0"/>
              <w:rPr>
                <w:sz w:val="20"/>
                <w:szCs w:val="20"/>
                <w:color w:val="auto"/>
              </w:rPr>
            </w:pPr>
            <w:r>
              <w:rPr>
                <w:rFonts w:ascii="Arial" w:cs="Arial" w:eastAsia="Arial" w:hAnsi="Arial"/>
                <w:sz w:val="18"/>
                <w:szCs w:val="18"/>
                <w:color w:val="auto"/>
              </w:rPr>
              <w:t>for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68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163,816</w:t>
            </w:r>
          </w:p>
        </w:tc>
        <w:tc>
          <w:tcPr>
            <w:tcW w:w="3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198,859</w:t>
            </w:r>
          </w:p>
        </w:tc>
        <w:tc>
          <w:tcPr>
            <w:tcW w:w="16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111,258</w:t>
            </w:r>
          </w:p>
        </w:tc>
        <w:tc>
          <w:tcPr>
            <w:tcW w:w="100" w:type="dxa"/>
            <w:vAlign w:val="bottom"/>
          </w:tcPr>
          <w:p>
            <w:pPr>
              <w:spacing w:after="0"/>
              <w:rPr>
                <w:sz w:val="22"/>
                <w:szCs w:val="22"/>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549,783</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142,694</w:t>
            </w:r>
          </w:p>
        </w:tc>
        <w:tc>
          <w:tcPr>
            <w:tcW w:w="18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49,376</w:t>
            </w:r>
          </w:p>
        </w:tc>
        <w:tc>
          <w:tcPr>
            <w:tcW w:w="1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1,215,786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68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w w:val="93"/>
              </w:rPr>
              <w:t>Ending balance: loans</w:t>
            </w: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34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acquired with</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deteriorated credit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quality</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Premises and Equipment</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major categories of banking premises and equipment and accumulated depreciation at December 31 are summarized below:</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5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8"/>
                <w:szCs w:val="18"/>
                <w:color w:val="auto"/>
              </w:rPr>
              <w:t>(In Thousands)</w:t>
            </w:r>
          </w:p>
        </w:tc>
      </w:tr>
      <w:tr>
        <w:trPr>
          <w:trHeight w:val="217"/>
        </w:trPr>
        <w:tc>
          <w:tcPr>
            <w:tcW w:w="536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FF0FC"/>
            </w:tcBorders>
          </w:tcPr>
          <w:p>
            <w:pPr>
              <w:spacing w:after="0"/>
              <w:rPr>
                <w:sz w:val="18"/>
                <w:szCs w:val="18"/>
                <w:color w:val="auto"/>
              </w:rPr>
            </w:pPr>
          </w:p>
        </w:tc>
      </w:tr>
      <w:tr>
        <w:trPr>
          <w:trHeight w:val="21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6,951</w:t>
            </w:r>
          </w:p>
        </w:tc>
        <w:tc>
          <w:tcPr>
            <w:tcW w:w="80" w:type="dxa"/>
            <w:vAlign w:val="bottom"/>
            <w:shd w:val="clear" w:color="auto" w:fill="CFF0FC"/>
          </w:tcPr>
          <w:p>
            <w:pPr>
              <w:spacing w:after="0"/>
              <w:rPr>
                <w:sz w:val="18"/>
                <w:szCs w:val="18"/>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Buildings (useful life 15-39 years)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30,124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28,845</w:t>
            </w:r>
          </w:p>
        </w:tc>
        <w:tc>
          <w:tcPr>
            <w:tcW w:w="80" w:type="dxa"/>
            <w:vAlign w:val="bottom"/>
          </w:tcPr>
          <w:p>
            <w:pPr>
              <w:spacing w:after="0"/>
              <w:rPr>
                <w:sz w:val="19"/>
                <w:szCs w:val="19"/>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Furnishings (useful life 3-15 years)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20,947</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22,045</w:t>
            </w:r>
          </w:p>
        </w:tc>
        <w:tc>
          <w:tcPr>
            <w:tcW w:w="80" w:type="dxa"/>
            <w:vAlign w:val="bottom"/>
            <w:shd w:val="clear" w:color="auto" w:fill="CFF0FC"/>
          </w:tcPr>
          <w:p>
            <w:pPr>
              <w:spacing w:after="0"/>
              <w:rPr>
                <w:sz w:val="19"/>
                <w:szCs w:val="19"/>
                <w:color w:val="auto"/>
              </w:rPr>
            </w:pPr>
          </w:p>
        </w:tc>
      </w:tr>
      <w:tr>
        <w:trPr>
          <w:trHeight w:val="217"/>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58,022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57,841</w:t>
            </w:r>
          </w:p>
        </w:tc>
        <w:tc>
          <w:tcPr>
            <w:tcW w:w="80" w:type="dxa"/>
            <w:vAlign w:val="bottom"/>
          </w:tcPr>
          <w:p>
            <w:pPr>
              <w:spacing w:after="0"/>
              <w:rPr>
                <w:sz w:val="18"/>
                <w:szCs w:val="18"/>
                <w:color w:val="auto"/>
              </w:rPr>
            </w:pPr>
          </w:p>
        </w:tc>
      </w:tr>
      <w:tr>
        <w:trPr>
          <w:trHeight w:val="224"/>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(30,959)</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(31,558)</w:t>
            </w:r>
          </w:p>
        </w:tc>
      </w:tr>
      <w:tr>
        <w:trPr>
          <w:trHeight w:val="217"/>
        </w:trPr>
        <w:tc>
          <w:tcPr>
            <w:tcW w:w="536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27,063</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26,283</w:t>
            </w:r>
          </w:p>
        </w:tc>
        <w:tc>
          <w:tcPr>
            <w:tcW w:w="8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Depreciation expense for the years ended December 31, 2020, 2019, and 2018 amounted to $2.5, $2.3, and $1.7 million, respectively.</w:t>
      </w:r>
    </w:p>
    <w:p>
      <w:pPr>
        <w:spacing w:after="0" w:line="132"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Construction in progress was zero as of December 31, 2020. At the end of 2019, construction in progress was $68 thousand for a new Fort Wayne Indiana branch to be opened in 2021.</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Servicing</w:t>
      </w:r>
    </w:p>
    <w:p>
      <w:pPr>
        <w:spacing w:after="0" w:line="115"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Loans serviced for others are not included in the accompanying consolidated balance sheets. The unpaid principal balances of loans serviced for others were $377.5 and $303.9 million at December 31, 2020 and 2019, respectively.</w:t>
      </w:r>
    </w:p>
    <w:p>
      <w:pPr>
        <w:spacing w:after="0" w:line="75" w:lineRule="exact"/>
        <w:rPr>
          <w:sz w:val="20"/>
          <w:szCs w:val="20"/>
          <w:color w:val="auto"/>
        </w:rPr>
      </w:pPr>
    </w:p>
    <w:p>
      <w:pPr>
        <w:jc w:val="both"/>
        <w:ind w:left="760"/>
        <w:spacing w:after="0" w:line="325" w:lineRule="auto"/>
        <w:rPr>
          <w:sz w:val="20"/>
          <w:szCs w:val="20"/>
          <w:color w:val="auto"/>
        </w:rPr>
      </w:pPr>
      <w:r>
        <w:rPr>
          <w:rFonts w:ascii="Arial" w:cs="Arial" w:eastAsia="Arial" w:hAnsi="Arial"/>
          <w:sz w:val="16"/>
          <w:szCs w:val="16"/>
          <w:color w:val="auto"/>
        </w:rPr>
        <w:t>The balance of capitalized servicing rights included in other assets at December 31, 2020 and 2019, was $3.3 and $2.6 million, respectively. The capitalized addition of servicing rights is included in net gain on sale of loans on the consolidated statement of income.</w:t>
      </w:r>
    </w:p>
    <w:p>
      <w:pPr>
        <w:spacing w:after="0" w:line="29" w:lineRule="exact"/>
        <w:rPr>
          <w:sz w:val="20"/>
          <w:szCs w:val="20"/>
          <w:color w:val="auto"/>
        </w:rPr>
      </w:pPr>
    </w:p>
    <w:p>
      <w:pPr>
        <w:jc w:val="both"/>
        <w:ind w:left="760"/>
        <w:spacing w:after="0" w:line="248" w:lineRule="auto"/>
        <w:rPr>
          <w:sz w:val="20"/>
          <w:szCs w:val="20"/>
          <w:color w:val="auto"/>
        </w:rPr>
      </w:pPr>
      <w:r>
        <w:rPr>
          <w:rFonts w:ascii="Arial" w:cs="Arial" w:eastAsia="Arial" w:hAnsi="Arial"/>
          <w:sz w:val="18"/>
          <w:szCs w:val="18"/>
          <w:color w:val="auto"/>
        </w:rPr>
        <w:t>The fair market value of the capitalized servicing rights as of December 31, 2020 and 2019 was $3.5 million and $2.9 million, respectively. The valuations were completed by stratifying the loans into like groups based on loan type and term. Impairment was measured by estimating the fair value of each stratum, taking into consideration an estimated level of prepayment based upon current market conditions. An average constant prepayment rate of 24.1% and 14.1% were utilized for 2020 and 2019, respectively. All stratums showed positive values compared to carrying value using a discount yield of 2.38% for 2020 and 5.42% for 2019.</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summarizes mortgage servicing rights capitalized and amortized during each year: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2800" w:type="dxa"/>
            <w:vAlign w:val="bottom"/>
            <w:tcBorders>
              <w:bottom w:val="single" w:sz="8" w:color="CFF0FC"/>
            </w:tcBorders>
          </w:tcPr>
          <w:p>
            <w:pPr>
              <w:spacing w:after="0"/>
              <w:rPr>
                <w:sz w:val="18"/>
                <w:szCs w:val="18"/>
                <w:color w:val="auto"/>
              </w:rPr>
            </w:pPr>
          </w:p>
        </w:tc>
        <w:tc>
          <w:tcPr>
            <w:tcW w:w="23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84"/>
              </w:rPr>
              <w:t>2019</w:t>
            </w:r>
          </w:p>
        </w:tc>
        <w:tc>
          <w:tcPr>
            <w:tcW w:w="80" w:type="dxa"/>
            <w:vAlign w:val="bottom"/>
            <w:tcBorders>
              <w:bottom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Beginning of Year</w:t>
            </w:r>
          </w:p>
        </w:tc>
        <w:tc>
          <w:tcPr>
            <w:tcW w:w="2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00" w:type="dxa"/>
            <w:vAlign w:val="bottom"/>
          </w:tcPr>
          <w:p>
            <w:pPr>
              <w:spacing w:after="0"/>
              <w:rPr>
                <w:sz w:val="19"/>
                <w:szCs w:val="19"/>
                <w:color w:val="auto"/>
              </w:rPr>
            </w:pPr>
          </w:p>
        </w:tc>
        <w:tc>
          <w:tcPr>
            <w:tcW w:w="2800" w:type="dxa"/>
            <w:vAlign w:val="bottom"/>
          </w:tcPr>
          <w:p>
            <w:pPr>
              <w:ind w:left="240"/>
              <w:spacing w:after="0"/>
              <w:rPr>
                <w:sz w:val="20"/>
                <w:szCs w:val="20"/>
                <w:color w:val="auto"/>
              </w:rPr>
            </w:pPr>
            <w:r>
              <w:rPr>
                <w:rFonts w:ascii="Arial" w:cs="Arial" w:eastAsia="Arial" w:hAnsi="Arial"/>
                <w:sz w:val="18"/>
                <w:szCs w:val="18"/>
                <w:color w:val="auto"/>
              </w:rPr>
              <w:t>Capitalized Additions</w:t>
            </w:r>
          </w:p>
        </w:tc>
        <w:tc>
          <w:tcPr>
            <w:tcW w:w="2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00" w:type="dxa"/>
            <w:vAlign w:val="bottom"/>
          </w:tcPr>
          <w:p>
            <w:pPr>
              <w:spacing w:after="0"/>
              <w:rPr>
                <w:sz w:val="19"/>
                <w:szCs w:val="19"/>
                <w:color w:val="auto"/>
              </w:rPr>
            </w:pPr>
          </w:p>
        </w:tc>
        <w:tc>
          <w:tcPr>
            <w:tcW w:w="2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2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(487)</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00" w:type="dxa"/>
            <w:vAlign w:val="bottom"/>
          </w:tcPr>
          <w:p>
            <w:pPr>
              <w:spacing w:after="0"/>
              <w:rPr>
                <w:sz w:val="19"/>
                <w:szCs w:val="19"/>
                <w:color w:val="auto"/>
              </w:rPr>
            </w:pPr>
          </w:p>
        </w:tc>
        <w:tc>
          <w:tcPr>
            <w:tcW w:w="2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Valuation Allowance</w:t>
            </w:r>
          </w:p>
        </w:tc>
        <w:tc>
          <w:tcPr>
            <w:tcW w:w="23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End of Year</w:t>
            </w:r>
          </w:p>
        </w:tc>
        <w:tc>
          <w:tcPr>
            <w:tcW w:w="2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800" w:type="dxa"/>
            <w:vAlign w:val="bottom"/>
            <w:tcBorders>
              <w:top w:val="single" w:sz="8" w:color="CFF0FC"/>
            </w:tcBorders>
          </w:tcPr>
          <w:p>
            <w:pPr>
              <w:spacing w:after="0" w:line="20" w:lineRule="exact"/>
              <w:rPr>
                <w:sz w:val="1"/>
                <w:szCs w:val="1"/>
                <w:color w:val="auto"/>
              </w:rPr>
            </w:pPr>
          </w:p>
        </w:tc>
        <w:tc>
          <w:tcPr>
            <w:tcW w:w="2360" w:type="dxa"/>
            <w:vAlign w:val="bottom"/>
            <w:tcBorders>
              <w:top w:val="single" w:sz="8" w:color="CFF0FC"/>
              <w:bottom w:val="single" w:sz="8" w:color="CFF0FC"/>
            </w:tcBorders>
            <w:vMerge w:val="restart"/>
          </w:tcPr>
          <w:p>
            <w:pPr>
              <w:jc w:val="right"/>
              <w:ind w:right="1052"/>
              <w:spacing w:after="0"/>
              <w:rPr>
                <w:sz w:val="20"/>
                <w:szCs w:val="20"/>
                <w:color w:val="auto"/>
              </w:rPr>
            </w:pPr>
            <w:r>
              <w:rPr>
                <w:rFonts w:ascii="Arial" w:cs="Arial" w:eastAsia="Arial" w:hAnsi="Arial"/>
                <w:sz w:val="18"/>
                <w:szCs w:val="18"/>
                <w:color w:val="auto"/>
              </w:rPr>
              <w:t>86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17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7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Deposits</w:t>
      </w:r>
    </w:p>
    <w:p>
      <w:pPr>
        <w:spacing w:after="0" w:line="76" w:lineRule="exact"/>
        <w:rPr>
          <w:sz w:val="20"/>
          <w:szCs w:val="20"/>
          <w:color w:val="auto"/>
        </w:rPr>
      </w:pPr>
    </w:p>
    <w:tbl>
      <w:tblPr>
        <w:tblLayout w:type="fixed"/>
        <w:tblInd w:w="760" w:type="dxa"/>
        <w:tblCellMar>
          <w:top w:w="0" w:type="dxa"/>
          <w:left w:w="0" w:type="dxa"/>
          <w:bottom w:w="0" w:type="dxa"/>
          <w:right w:w="0" w:type="dxa"/>
        </w:tblCellMar>
      </w:tblPr>
      <w:tr>
        <w:trPr>
          <w:trHeight w:val="222"/>
        </w:trPr>
        <w:tc>
          <w:tcPr>
            <w:tcW w:w="6320" w:type="dxa"/>
            <w:vAlign w:val="bottom"/>
            <w:gridSpan w:val="3"/>
          </w:tcPr>
          <w:p>
            <w:pPr>
              <w:spacing w:after="0"/>
              <w:rPr>
                <w:sz w:val="20"/>
                <w:szCs w:val="20"/>
                <w:color w:val="auto"/>
              </w:rPr>
            </w:pPr>
            <w:r>
              <w:rPr>
                <w:rFonts w:ascii="Arial" w:cs="Arial" w:eastAsia="Arial" w:hAnsi="Arial"/>
                <w:sz w:val="18"/>
                <w:szCs w:val="18"/>
                <w:color w:val="auto"/>
              </w:rPr>
              <w:t>Time deposits as of December 31 consist of the following:</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7"/>
          </w:tcPr>
          <w:p>
            <w:pPr>
              <w:ind w:left="44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7"/>
        </w:trPr>
        <w:tc>
          <w:tcPr>
            <w:tcW w:w="940" w:type="dxa"/>
            <w:vAlign w:val="bottom"/>
          </w:tcPr>
          <w:p>
            <w:pPr>
              <w:spacing w:after="0"/>
              <w:rPr>
                <w:sz w:val="18"/>
                <w:szCs w:val="18"/>
                <w:color w:val="auto"/>
              </w:rPr>
            </w:pPr>
          </w:p>
        </w:tc>
        <w:tc>
          <w:tcPr>
            <w:tcW w:w="560" w:type="dxa"/>
            <w:vAlign w:val="bottom"/>
            <w:tcBorders>
              <w:bottom w:val="single" w:sz="8" w:color="CFF0FC"/>
            </w:tcBorders>
          </w:tcPr>
          <w:p>
            <w:pPr>
              <w:spacing w:after="0"/>
              <w:rPr>
                <w:sz w:val="18"/>
                <w:szCs w:val="18"/>
                <w:color w:val="auto"/>
              </w:rPr>
            </w:pPr>
          </w:p>
        </w:tc>
        <w:tc>
          <w:tcPr>
            <w:tcW w:w="48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ind w:right="292"/>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40" w:type="dxa"/>
            <w:vAlign w:val="bottom"/>
          </w:tcPr>
          <w:p>
            <w:pPr>
              <w:spacing w:after="0"/>
              <w:rPr>
                <w:sz w:val="18"/>
                <w:szCs w:val="18"/>
                <w:color w:val="auto"/>
              </w:rPr>
            </w:pPr>
          </w:p>
        </w:tc>
        <w:tc>
          <w:tcPr>
            <w:tcW w:w="5380" w:type="dxa"/>
            <w:vAlign w:val="bottom"/>
            <w:gridSpan w:val="2"/>
            <w:shd w:val="clear" w:color="auto" w:fill="CFF0FC"/>
          </w:tcPr>
          <w:p>
            <w:pPr>
              <w:jc w:val="right"/>
              <w:ind w:right="3172"/>
              <w:spacing w:after="0"/>
              <w:rPr>
                <w:sz w:val="20"/>
                <w:szCs w:val="20"/>
                <w:color w:val="auto"/>
              </w:rPr>
            </w:pPr>
            <w:r>
              <w:rPr>
                <w:rFonts w:ascii="Arial" w:cs="Arial" w:eastAsia="Arial" w:hAnsi="Arial"/>
                <w:sz w:val="18"/>
                <w:szCs w:val="18"/>
                <w:color w:val="auto"/>
                <w:w w:val="86"/>
              </w:rPr>
              <w:t>Time deposits under $250,000</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215,515</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237,520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20" w:type="dxa"/>
            <w:vAlign w:val="bottom"/>
            <w:gridSpan w:val="3"/>
          </w:tcPr>
          <w:p>
            <w:pPr>
              <w:jc w:val="right"/>
              <w:ind w:right="2832"/>
              <w:spacing w:after="0"/>
              <w:rPr>
                <w:sz w:val="20"/>
                <w:szCs w:val="20"/>
                <w:color w:val="auto"/>
              </w:rPr>
            </w:pPr>
            <w:r>
              <w:rPr>
                <w:rFonts w:ascii="Arial" w:cs="Arial" w:eastAsia="Arial" w:hAnsi="Arial"/>
                <w:sz w:val="18"/>
                <w:szCs w:val="18"/>
                <w:color w:val="auto"/>
              </w:rPr>
              <w:t>Time deposits of $250,000 or more</w:t>
            </w: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32,038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39,043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4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8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247,553</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276,563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4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20" w:type="dxa"/>
            <w:vAlign w:val="bottom"/>
            <w:gridSpan w:val="3"/>
            <w:vMerge w:val="restart"/>
          </w:tcPr>
          <w:p>
            <w:pPr>
              <w:spacing w:after="0"/>
              <w:rPr>
                <w:sz w:val="20"/>
                <w:szCs w:val="20"/>
                <w:color w:val="auto"/>
              </w:rPr>
            </w:pPr>
            <w:r>
              <w:rPr>
                <w:rFonts w:ascii="Arial" w:cs="Arial" w:eastAsia="Arial" w:hAnsi="Arial"/>
                <w:sz w:val="18"/>
                <w:szCs w:val="18"/>
                <w:color w:val="auto"/>
                <w:w w:val="98"/>
              </w:rPr>
              <w:t>At December 31, 2020 the scheduled maturities for time deposits are as follows:</w:t>
            </w: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63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2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460" w:type="dxa"/>
            <w:vAlign w:val="bottom"/>
            <w:tcBorders>
              <w:bottom w:val="single" w:sz="8" w:color="CFF0FC"/>
            </w:tcBorders>
          </w:tcPr>
          <w:p>
            <w:pPr>
              <w:spacing w:after="0"/>
              <w:rPr>
                <w:sz w:val="24"/>
                <w:szCs w:val="24"/>
                <w:color w:val="auto"/>
              </w:rPr>
            </w:pPr>
          </w:p>
        </w:tc>
        <w:tc>
          <w:tcPr>
            <w:tcW w:w="122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8"/>
                <w:szCs w:val="18"/>
                <w:color w:val="auto"/>
                <w:w w:val="90"/>
              </w:rPr>
              <w:t>(In Thousands)</w:t>
            </w:r>
          </w:p>
        </w:tc>
        <w:tc>
          <w:tcPr>
            <w:tcW w:w="5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20" w:type="dxa"/>
            <w:vAlign w:val="bottom"/>
            <w:shd w:val="clear" w:color="auto" w:fill="CFF0FC"/>
          </w:tcPr>
          <w:p>
            <w:pPr>
              <w:jc w:val="right"/>
              <w:ind w:right="4132"/>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32"/>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131,867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20" w:type="dxa"/>
            <w:vAlign w:val="bottom"/>
            <w:gridSpan w:val="3"/>
          </w:tcPr>
          <w:p>
            <w:pPr>
              <w:jc w:val="right"/>
              <w:ind w:right="4132"/>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72,542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500" w:type="dxa"/>
            <w:vAlign w:val="bottom"/>
            <w:gridSpan w:val="2"/>
          </w:tcPr>
          <w:p>
            <w:pPr>
              <w:spacing w:after="0"/>
              <w:rPr>
                <w:sz w:val="19"/>
                <w:szCs w:val="19"/>
                <w:color w:val="auto"/>
              </w:rPr>
            </w:pPr>
          </w:p>
        </w:tc>
        <w:tc>
          <w:tcPr>
            <w:tcW w:w="4820" w:type="dxa"/>
            <w:vAlign w:val="bottom"/>
            <w:shd w:val="clear" w:color="auto" w:fill="CFF0FC"/>
          </w:tcPr>
          <w:p>
            <w:pPr>
              <w:jc w:val="right"/>
              <w:ind w:right="4132"/>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20,430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20" w:type="dxa"/>
            <w:vAlign w:val="bottom"/>
            <w:gridSpan w:val="3"/>
          </w:tcPr>
          <w:p>
            <w:pPr>
              <w:jc w:val="right"/>
              <w:ind w:right="4132"/>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8,292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500" w:type="dxa"/>
            <w:vAlign w:val="bottom"/>
            <w:gridSpan w:val="2"/>
          </w:tcPr>
          <w:p>
            <w:pPr>
              <w:spacing w:after="0"/>
              <w:rPr>
                <w:sz w:val="19"/>
                <w:szCs w:val="19"/>
                <w:color w:val="auto"/>
              </w:rPr>
            </w:pPr>
          </w:p>
        </w:tc>
        <w:tc>
          <w:tcPr>
            <w:tcW w:w="4820" w:type="dxa"/>
            <w:vAlign w:val="bottom"/>
            <w:shd w:val="clear" w:color="auto" w:fill="CFF0FC"/>
          </w:tcPr>
          <w:p>
            <w:pPr>
              <w:jc w:val="right"/>
              <w:ind w:right="4132"/>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13,942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20" w:type="dxa"/>
            <w:vAlign w:val="bottom"/>
            <w:tcBorders>
              <w:bottom w:val="single" w:sz="8" w:color="CFF0FC"/>
            </w:tcBorders>
          </w:tcPr>
          <w:p>
            <w:pPr>
              <w:jc w:val="right"/>
              <w:ind w:right="4012"/>
              <w:spacing w:after="0"/>
              <w:rPr>
                <w:sz w:val="20"/>
                <w:szCs w:val="20"/>
                <w:color w:val="auto"/>
              </w:rPr>
            </w:pPr>
            <w:r>
              <w:rPr>
                <w:rFonts w:ascii="Arial" w:cs="Arial" w:eastAsia="Arial" w:hAnsi="Arial"/>
                <w:sz w:val="18"/>
                <w:szCs w:val="18"/>
                <w:color w:val="auto"/>
                <w:w w:val="84"/>
              </w:rPr>
              <w:t>Thereafter</w:t>
            </w:r>
          </w:p>
        </w:tc>
        <w:tc>
          <w:tcPr>
            <w:tcW w:w="22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32"/>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247,553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Federal Funds Purchased and Securities Sold Under Agreement to Repurchase</w:t>
      </w:r>
    </w:p>
    <w:p>
      <w:pPr>
        <w:spacing w:after="0" w:line="115" w:lineRule="exact"/>
        <w:rPr>
          <w:sz w:val="20"/>
          <w:szCs w:val="20"/>
          <w:color w:val="auto"/>
        </w:rPr>
      </w:pPr>
    </w:p>
    <w:p>
      <w:pPr>
        <w:jc w:val="both"/>
        <w:ind w:left="760"/>
        <w:spacing w:after="0" w:line="250" w:lineRule="auto"/>
        <w:rPr>
          <w:sz w:val="20"/>
          <w:szCs w:val="20"/>
          <w:color w:val="auto"/>
        </w:rPr>
      </w:pPr>
      <w:r>
        <w:rPr>
          <w:rFonts w:ascii="Arial" w:cs="Arial" w:eastAsia="Arial" w:hAnsi="Arial"/>
          <w:sz w:val="18"/>
          <w:szCs w:val="18"/>
          <w:color w:val="auto"/>
        </w:rPr>
        <w:t>The Bank’s policy requires qualifying securities to be used as collateral for the underlying repurchase agreements. As of December 31, 2020 and 2019, securities with a market value of $34.0 million and $40.2 million, respectively, were pledged to secure the repurchase agreements. The table below presents the daily securities sold under agreement to repurchase and the term repurchase agreements. It does not include the Bank’s federal funds purchased.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120" w:type="dxa"/>
            <w:vAlign w:val="bottom"/>
            <w:gridSpan w:val="8"/>
          </w:tcPr>
          <w:p>
            <w:pPr>
              <w:ind w:left="520"/>
              <w:spacing w:after="0"/>
              <w:rPr>
                <w:sz w:val="20"/>
                <w:szCs w:val="20"/>
                <w:color w:val="auto"/>
              </w:rPr>
            </w:pPr>
            <w:r>
              <w:rPr>
                <w:rFonts w:ascii="Arial" w:cs="Arial" w:eastAsia="Arial" w:hAnsi="Arial"/>
                <w:sz w:val="18"/>
                <w:szCs w:val="18"/>
                <w:color w:val="auto"/>
              </w:rPr>
              <w:t>Daily Securities Sold Under Agreement to Repurchase</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48"/>
        </w:trPr>
        <w:tc>
          <w:tcPr>
            <w:tcW w:w="2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Amount</w:t>
            </w: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Weighted</w:t>
            </w: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Maximum Amount</w:t>
            </w:r>
          </w:p>
        </w:tc>
        <w:tc>
          <w:tcPr>
            <w:tcW w:w="140" w:type="dxa"/>
            <w:vAlign w:val="bottom"/>
          </w:tcPr>
          <w:p>
            <w:pPr>
              <w:spacing w:after="0"/>
              <w:rPr>
                <w:sz w:val="24"/>
                <w:szCs w:val="2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Approximate</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Approximate</w:t>
            </w:r>
          </w:p>
        </w:tc>
      </w:tr>
      <w:tr>
        <w:trPr>
          <w:trHeight w:val="224"/>
        </w:trPr>
        <w:tc>
          <w:tcPr>
            <w:tcW w:w="2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Outstanding</w:t>
            </w: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Average</w:t>
            </w:r>
          </w:p>
        </w:tc>
        <w:tc>
          <w:tcPr>
            <w:tcW w:w="20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Borrowings</w:t>
            </w:r>
          </w:p>
        </w:tc>
        <w:tc>
          <w:tcPr>
            <w:tcW w:w="140" w:type="dxa"/>
            <w:vAlign w:val="bottom"/>
          </w:tcPr>
          <w:p>
            <w:pPr>
              <w:spacing w:after="0"/>
              <w:rPr>
                <w:sz w:val="19"/>
                <w:szCs w:val="19"/>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Average</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Weighted Average</w:t>
            </w:r>
          </w:p>
        </w:tc>
      </w:tr>
      <w:tr>
        <w:trPr>
          <w:trHeight w:val="224"/>
        </w:trPr>
        <w:tc>
          <w:tcPr>
            <w:tcW w:w="2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at End</w:t>
            </w: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Rate End</w:t>
            </w:r>
          </w:p>
        </w:tc>
        <w:tc>
          <w:tcPr>
            <w:tcW w:w="20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Outstanding</w:t>
            </w:r>
          </w:p>
        </w:tc>
        <w:tc>
          <w:tcPr>
            <w:tcW w:w="140" w:type="dxa"/>
            <w:vAlign w:val="bottom"/>
          </w:tcPr>
          <w:p>
            <w:pPr>
              <w:spacing w:after="0"/>
              <w:rPr>
                <w:sz w:val="19"/>
                <w:szCs w:val="19"/>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Outstanding in</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Interest Rate</w:t>
            </w:r>
          </w:p>
        </w:tc>
      </w:tr>
      <w:tr>
        <w:trPr>
          <w:trHeight w:val="224"/>
        </w:trPr>
        <w:tc>
          <w:tcPr>
            <w:tcW w:w="216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9"/>
              </w:rPr>
              <w:t>of Period (000's)</w:t>
            </w:r>
          </w:p>
        </w:tc>
        <w:tc>
          <w:tcPr>
            <w:tcW w:w="2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of Period</w:t>
            </w:r>
          </w:p>
        </w:tc>
        <w:tc>
          <w:tcPr>
            <w:tcW w:w="30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Month End (000's)</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7"/>
              </w:rPr>
              <w:t>Period (000's)</w:t>
            </w:r>
          </w:p>
        </w:tc>
        <w:tc>
          <w:tcPr>
            <w:tcW w:w="24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For the Period</w:t>
            </w:r>
          </w:p>
        </w:tc>
        <w:tc>
          <w:tcPr>
            <w:tcW w:w="160" w:type="dxa"/>
            <w:vAlign w:val="bottom"/>
            <w:tcBorders>
              <w:bottom w:val="single" w:sz="8" w:color="CFF0FC"/>
            </w:tcBorders>
          </w:tcPr>
          <w:p>
            <w:pPr>
              <w:spacing w:after="0"/>
              <w:rPr>
                <w:sz w:val="19"/>
                <w:szCs w:val="19"/>
                <w:color w:val="auto"/>
              </w:rPr>
            </w:pPr>
          </w:p>
        </w:tc>
      </w:tr>
      <w:tr>
        <w:trPr>
          <w:trHeight w:val="217"/>
        </w:trPr>
        <w:tc>
          <w:tcPr>
            <w:tcW w:w="2160" w:type="dxa"/>
            <w:vAlign w:val="bottom"/>
            <w:shd w:val="clear" w:color="auto" w:fill="CFF0FC"/>
          </w:tcPr>
          <w:p>
            <w:pPr>
              <w:jc w:val="right"/>
              <w:ind w:right="552"/>
              <w:spacing w:after="0"/>
              <w:rPr>
                <w:sz w:val="20"/>
                <w:szCs w:val="20"/>
                <w:color w:val="auto"/>
              </w:rPr>
            </w:pPr>
            <w:r>
              <w:rPr>
                <w:rFonts w:ascii="Arial" w:cs="Arial" w:eastAsia="Arial" w:hAnsi="Arial"/>
                <w:sz w:val="18"/>
                <w:szCs w:val="18"/>
                <w:color w:val="auto"/>
              </w:rPr>
              <w:t>2020</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1,765</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23"/>
        </w:trPr>
        <w:tc>
          <w:tcPr>
            <w:tcW w:w="2160" w:type="dxa"/>
            <w:vAlign w:val="bottom"/>
          </w:tcPr>
          <w:p>
            <w:pPr>
              <w:jc w:val="right"/>
              <w:ind w:right="552"/>
              <w:spacing w:after="0"/>
              <w:rPr>
                <w:sz w:val="20"/>
                <w:szCs w:val="20"/>
                <w:color w:val="auto"/>
              </w:rPr>
            </w:pPr>
            <w:r>
              <w:rPr>
                <w:rFonts w:ascii="Arial" w:cs="Arial" w:eastAsia="Arial" w:hAnsi="Arial"/>
                <w:sz w:val="18"/>
                <w:szCs w:val="18"/>
                <w:color w:val="auto"/>
              </w:rPr>
              <w:t>2019</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1,814</w:t>
            </w:r>
          </w:p>
        </w:tc>
        <w:tc>
          <w:tcPr>
            <w:tcW w:w="240" w:type="dxa"/>
            <w:vAlign w:val="bottom"/>
          </w:tcPr>
          <w:p>
            <w:pPr>
              <w:spacing w:after="0"/>
              <w:rPr>
                <w:sz w:val="19"/>
                <w:szCs w:val="19"/>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1,864</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1,302</w:t>
            </w:r>
          </w:p>
        </w:tc>
        <w:tc>
          <w:tcPr>
            <w:tcW w:w="24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0.65%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120" w:type="dxa"/>
            <w:vAlign w:val="bottom"/>
            <w:gridSpan w:val="8"/>
          </w:tcPr>
          <w:p>
            <w:pPr>
              <w:ind w:left="700"/>
              <w:spacing w:after="0"/>
              <w:rPr>
                <w:sz w:val="20"/>
                <w:szCs w:val="20"/>
                <w:color w:val="auto"/>
              </w:rPr>
            </w:pPr>
            <w:r>
              <w:rPr>
                <w:rFonts w:ascii="Arial" w:cs="Arial" w:eastAsia="Arial" w:hAnsi="Arial"/>
                <w:sz w:val="18"/>
                <w:szCs w:val="18"/>
                <w:color w:val="auto"/>
              </w:rPr>
              <w:t>Term CD's Sold Under Agreement to Repurchase</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48"/>
        </w:trPr>
        <w:tc>
          <w:tcPr>
            <w:tcW w:w="2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Amount</w:t>
            </w: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Weighted</w:t>
            </w: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Maximum Amount</w:t>
            </w:r>
          </w:p>
        </w:tc>
        <w:tc>
          <w:tcPr>
            <w:tcW w:w="140" w:type="dxa"/>
            <w:vAlign w:val="bottom"/>
          </w:tcPr>
          <w:p>
            <w:pPr>
              <w:spacing w:after="0"/>
              <w:rPr>
                <w:sz w:val="24"/>
                <w:szCs w:val="2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Approximate</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Approximate</w:t>
            </w:r>
          </w:p>
        </w:tc>
      </w:tr>
      <w:tr>
        <w:trPr>
          <w:trHeight w:val="224"/>
        </w:trPr>
        <w:tc>
          <w:tcPr>
            <w:tcW w:w="2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Outstanding</w:t>
            </w: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Average</w:t>
            </w:r>
          </w:p>
        </w:tc>
        <w:tc>
          <w:tcPr>
            <w:tcW w:w="20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Borrowings</w:t>
            </w:r>
          </w:p>
        </w:tc>
        <w:tc>
          <w:tcPr>
            <w:tcW w:w="140" w:type="dxa"/>
            <w:vAlign w:val="bottom"/>
          </w:tcPr>
          <w:p>
            <w:pPr>
              <w:spacing w:after="0"/>
              <w:rPr>
                <w:sz w:val="19"/>
                <w:szCs w:val="19"/>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Average</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Weighted Average</w:t>
            </w:r>
          </w:p>
        </w:tc>
      </w:tr>
      <w:tr>
        <w:trPr>
          <w:trHeight w:val="224"/>
        </w:trPr>
        <w:tc>
          <w:tcPr>
            <w:tcW w:w="2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at End</w:t>
            </w: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Rate End</w:t>
            </w:r>
          </w:p>
        </w:tc>
        <w:tc>
          <w:tcPr>
            <w:tcW w:w="20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Outstanding</w:t>
            </w:r>
          </w:p>
        </w:tc>
        <w:tc>
          <w:tcPr>
            <w:tcW w:w="140" w:type="dxa"/>
            <w:vAlign w:val="bottom"/>
          </w:tcPr>
          <w:p>
            <w:pPr>
              <w:spacing w:after="0"/>
              <w:rPr>
                <w:sz w:val="19"/>
                <w:szCs w:val="19"/>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Outstanding in</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Interest Rate</w:t>
            </w:r>
          </w:p>
        </w:tc>
      </w:tr>
      <w:tr>
        <w:trPr>
          <w:trHeight w:val="224"/>
        </w:trPr>
        <w:tc>
          <w:tcPr>
            <w:tcW w:w="216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9"/>
              </w:rPr>
              <w:t>of Period (000's)</w:t>
            </w:r>
          </w:p>
        </w:tc>
        <w:tc>
          <w:tcPr>
            <w:tcW w:w="2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of Period</w:t>
            </w:r>
          </w:p>
        </w:tc>
        <w:tc>
          <w:tcPr>
            <w:tcW w:w="30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Month End (000's)</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7"/>
              </w:rPr>
              <w:t>Period (000's)</w:t>
            </w:r>
          </w:p>
        </w:tc>
        <w:tc>
          <w:tcPr>
            <w:tcW w:w="24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For the Period</w:t>
            </w:r>
          </w:p>
        </w:tc>
        <w:tc>
          <w:tcPr>
            <w:tcW w:w="160" w:type="dxa"/>
            <w:vAlign w:val="bottom"/>
            <w:tcBorders>
              <w:bottom w:val="single" w:sz="8" w:color="CFF0FC"/>
            </w:tcBorders>
          </w:tcPr>
          <w:p>
            <w:pPr>
              <w:spacing w:after="0"/>
              <w:rPr>
                <w:sz w:val="19"/>
                <w:szCs w:val="19"/>
                <w:color w:val="auto"/>
              </w:rPr>
            </w:pPr>
          </w:p>
        </w:tc>
      </w:tr>
      <w:tr>
        <w:trPr>
          <w:trHeight w:val="217"/>
        </w:trPr>
        <w:tc>
          <w:tcPr>
            <w:tcW w:w="2160" w:type="dxa"/>
            <w:vAlign w:val="bottom"/>
            <w:shd w:val="clear" w:color="auto" w:fill="CFF0FC"/>
          </w:tcPr>
          <w:p>
            <w:pPr>
              <w:jc w:val="right"/>
              <w:ind w:right="552"/>
              <w:spacing w:after="0"/>
              <w:rPr>
                <w:sz w:val="20"/>
                <w:szCs w:val="20"/>
                <w:color w:val="auto"/>
              </w:rPr>
            </w:pPr>
            <w:r>
              <w:rPr>
                <w:rFonts w:ascii="Arial" w:cs="Arial" w:eastAsia="Arial" w:hAnsi="Arial"/>
                <w:sz w:val="18"/>
                <w:szCs w:val="18"/>
                <w:color w:val="auto"/>
              </w:rPr>
              <w:t>2020</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28,340</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29,261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28,379</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2.52%</w:t>
            </w:r>
          </w:p>
        </w:tc>
      </w:tr>
      <w:tr>
        <w:trPr>
          <w:trHeight w:val="223"/>
        </w:trPr>
        <w:tc>
          <w:tcPr>
            <w:tcW w:w="2160" w:type="dxa"/>
            <w:vAlign w:val="bottom"/>
          </w:tcPr>
          <w:p>
            <w:pPr>
              <w:jc w:val="right"/>
              <w:ind w:right="552"/>
              <w:spacing w:after="0"/>
              <w:rPr>
                <w:sz w:val="20"/>
                <w:szCs w:val="20"/>
                <w:color w:val="auto"/>
              </w:rPr>
            </w:pPr>
            <w:r>
              <w:rPr>
                <w:rFonts w:ascii="Arial" w:cs="Arial" w:eastAsia="Arial" w:hAnsi="Arial"/>
                <w:sz w:val="18"/>
                <w:szCs w:val="18"/>
                <w:color w:val="auto"/>
              </w:rPr>
              <w:t>2019</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28,416</w:t>
            </w:r>
          </w:p>
        </w:tc>
        <w:tc>
          <w:tcPr>
            <w:tcW w:w="240" w:type="dxa"/>
            <w:vAlign w:val="bottom"/>
          </w:tcPr>
          <w:p>
            <w:pPr>
              <w:spacing w:after="0"/>
              <w:rPr>
                <w:sz w:val="19"/>
                <w:szCs w:val="19"/>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28,416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26,421</w:t>
            </w:r>
          </w:p>
        </w:tc>
        <w:tc>
          <w:tcPr>
            <w:tcW w:w="24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r>
      <w:tr>
        <w:trPr>
          <w:trHeight w:val="843"/>
        </w:trPr>
        <w:tc>
          <w:tcPr>
            <w:tcW w:w="2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2"/>
        </w:trPr>
        <w:tc>
          <w:tcPr>
            <w:tcW w:w="2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Federal Funds Purchased and Securities Sold Under Agreement to Repurchase (Continued)</w:t>
      </w:r>
    </w:p>
    <w:p>
      <w:pPr>
        <w:spacing w:after="0" w:line="221" w:lineRule="exact"/>
        <w:rPr>
          <w:sz w:val="20"/>
          <w:szCs w:val="20"/>
          <w:color w:val="auto"/>
        </w:rPr>
      </w:pPr>
    </w:p>
    <w:p>
      <w:pPr>
        <w:jc w:val="both"/>
        <w:ind w:left="800"/>
        <w:spacing w:after="0" w:line="300" w:lineRule="auto"/>
        <w:rPr>
          <w:sz w:val="20"/>
          <w:szCs w:val="20"/>
          <w:color w:val="auto"/>
        </w:rPr>
      </w:pPr>
      <w:r>
        <w:rPr>
          <w:rFonts w:ascii="Arial" w:cs="Arial" w:eastAsia="Arial" w:hAnsi="Arial"/>
          <w:sz w:val="16"/>
          <w:szCs w:val="16"/>
          <w:color w:val="auto"/>
        </w:rPr>
        <w:t>The Company had no federal funds purchased as of December 31, 2020 and $17.8 million of Federal Funds Purchased as of December 31, 2019. The $30.2 million in Securities Sold Under Agreements to Repurchase were comprised of U.S. Treasuries and government agency securities. The table below shows the remaining contractual maturity in the repurchase agreements and the collateral pledged as of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7"/>
              </w:rPr>
              <w:t>December 31, 2020</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3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color w:val="auto"/>
                <w:w w:val="89"/>
              </w:rPr>
              <w:t>Remaining Contractual Maturity of the Agreements</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3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2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96"/>
              </w:rPr>
              <w:t>Overnight &amp;</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jc w:val="center"/>
              <w:ind w:right="160"/>
              <w:spacing w:after="0" w:line="205" w:lineRule="exact"/>
              <w:rPr>
                <w:sz w:val="20"/>
                <w:szCs w:val="20"/>
                <w:color w:val="auto"/>
              </w:rPr>
            </w:pPr>
            <w:r>
              <w:rPr>
                <w:rFonts w:ascii="Arial" w:cs="Arial" w:eastAsia="Arial" w:hAnsi="Arial"/>
                <w:sz w:val="18"/>
                <w:szCs w:val="18"/>
                <w:color w:val="auto"/>
                <w:w w:val="85"/>
              </w:rPr>
              <w:t>Greater Than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85"/>
              </w:rPr>
              <w:t>Continuous</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86"/>
              </w:rPr>
              <w:t>Up to 30 days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30-90 days</w:t>
            </w:r>
          </w:p>
        </w:tc>
        <w:tc>
          <w:tcPr>
            <w:tcW w:w="16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90 days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Total</w:t>
            </w:r>
          </w:p>
        </w:tc>
      </w:tr>
      <w:tr>
        <w:trPr>
          <w:trHeight w:val="217"/>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Repurchase agreements</w:t>
            </w:r>
          </w:p>
        </w:tc>
        <w:tc>
          <w:tcPr>
            <w:tcW w:w="13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4"/>
        </w:trPr>
        <w:tc>
          <w:tcPr>
            <w:tcW w:w="3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US Treasury &amp; agency securities</w:t>
            </w:r>
          </w:p>
        </w:tc>
        <w:tc>
          <w:tcPr>
            <w:tcW w:w="1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2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24,440</w:t>
            </w: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30,239</w:t>
            </w:r>
          </w:p>
        </w:tc>
        <w:tc>
          <w:tcPr>
            <w:tcW w:w="100" w:type="dxa"/>
            <w:vAlign w:val="bottom"/>
            <w:tcBorders>
              <w:bottom w:val="single" w:sz="8" w:color="CFF0FC"/>
            </w:tcBorders>
          </w:tcPr>
          <w:p>
            <w:pPr>
              <w:spacing w:after="0"/>
              <w:rPr>
                <w:sz w:val="19"/>
                <w:szCs w:val="19"/>
                <w:color w:val="auto"/>
              </w:rPr>
            </w:pPr>
          </w:p>
        </w:tc>
      </w:tr>
      <w:tr>
        <w:trPr>
          <w:trHeight w:val="217"/>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w:t>
            </w:r>
          </w:p>
        </w:tc>
        <w:tc>
          <w:tcPr>
            <w:tcW w:w="720" w:type="dxa"/>
            <w:vAlign w:val="bottom"/>
            <w:gridSpan w:val="2"/>
            <w:shd w:val="clear" w:color="auto" w:fill="CFF0FC"/>
          </w:tcPr>
          <w:p>
            <w:pPr>
              <w:jc w:val="right"/>
              <w:ind w:right="3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24,440</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30,239</w:t>
            </w:r>
          </w:p>
        </w:tc>
        <w:tc>
          <w:tcPr>
            <w:tcW w:w="100" w:type="dxa"/>
            <w:vAlign w:val="bottom"/>
            <w:shd w:val="clear" w:color="auto" w:fill="CFF0FC"/>
          </w:tcPr>
          <w:p>
            <w:pPr>
              <w:spacing w:after="0"/>
              <w:rPr>
                <w:sz w:val="18"/>
                <w:szCs w:val="18"/>
                <w:color w:val="auto"/>
              </w:rPr>
            </w:pP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Federal Home Loan Bank Advances</w:t>
      </w:r>
    </w:p>
    <w:p>
      <w:pPr>
        <w:spacing w:after="0" w:line="115" w:lineRule="exact"/>
        <w:rPr>
          <w:sz w:val="20"/>
          <w:szCs w:val="20"/>
          <w:color w:val="auto"/>
        </w:rPr>
      </w:pPr>
    </w:p>
    <w:p>
      <w:pPr>
        <w:jc w:val="both"/>
        <w:ind w:left="800"/>
        <w:spacing w:after="0" w:line="248" w:lineRule="auto"/>
        <w:rPr>
          <w:sz w:val="20"/>
          <w:szCs w:val="20"/>
          <w:color w:val="auto"/>
        </w:rPr>
      </w:pPr>
      <w:r>
        <w:rPr>
          <w:rFonts w:ascii="Arial" w:cs="Arial" w:eastAsia="Arial" w:hAnsi="Arial"/>
          <w:sz w:val="18"/>
          <w:szCs w:val="18"/>
          <w:color w:val="auto"/>
        </w:rPr>
        <w:t>Long term debt consists of various loans from the Federal Home Loan Bank. Repayment structures vary, ranging from monthly installments, annual payments or upon maturity. Interest payments are due monthly. Total borrowings were $18.0 million excluding $164 thousand for fair value related to the acquisition for December 31, 2020 compared to $25.5 million excluding $0.7 thousand for fair value for December 31, 2019. The advances were secured by a pledge of $38.0 and $42.1 million of mortgage loans as of December 31, 2020 and 2019, respectively under a blanket collateral agreement.</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advances are subject to pre-payment penalties and the provisions and conditions of the credit policy of the Federal Home Loan Bank.</w:t>
      </w:r>
    </w:p>
    <w:p>
      <w:pPr>
        <w:spacing w:after="0" w:line="238" w:lineRule="exact"/>
        <w:rPr>
          <w:sz w:val="20"/>
          <w:szCs w:val="20"/>
          <w:color w:val="auto"/>
        </w:rPr>
      </w:pPr>
    </w:p>
    <w:p>
      <w:pPr>
        <w:jc w:val="both"/>
        <w:ind w:left="800"/>
        <w:spacing w:after="0" w:line="291" w:lineRule="auto"/>
        <w:rPr>
          <w:sz w:val="20"/>
          <w:szCs w:val="20"/>
          <w:color w:val="auto"/>
        </w:rPr>
      </w:pPr>
      <w:r>
        <w:rPr>
          <w:rFonts w:ascii="Arial" w:cs="Arial" w:eastAsia="Arial" w:hAnsi="Arial"/>
          <w:sz w:val="16"/>
          <w:szCs w:val="16"/>
          <w:color w:val="auto"/>
        </w:rPr>
        <w:t>The Bank had access to $148.1 million unsecured borrowings through correspondent banks as of both December 31, 2020 and December 31, 2019. The Bank had unpledged securities, which could be sold or used as collateral, of $206.7 million and $116.3 million at the end of the same time periods, respectively. An additional $7.4 million at December 31, 2020, and $1.6 million at December 31, 2019, were available from the Federal Home Loan Bank based on current pledging. The table below shows the maturities of the borrowings exclusive of the fair value.</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4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0" w:type="dxa"/>
            <w:vAlign w:val="bottom"/>
            <w:gridSpan w:val="2"/>
          </w:tcPr>
          <w:p>
            <w:pPr>
              <w:ind w:left="520"/>
              <w:spacing w:after="0"/>
              <w:rPr>
                <w:sz w:val="20"/>
                <w:szCs w:val="20"/>
                <w:color w:val="auto"/>
              </w:rPr>
            </w:pPr>
            <w:r>
              <w:rPr>
                <w:rFonts w:ascii="Arial" w:cs="Arial" w:eastAsia="Arial" w:hAnsi="Arial"/>
                <w:sz w:val="18"/>
                <w:szCs w:val="18"/>
                <w:color w:val="auto"/>
              </w:rPr>
              <w:t>(In Thousands)</w:t>
            </w:r>
          </w:p>
        </w:tc>
      </w:tr>
      <w:tr>
        <w:trPr>
          <w:trHeight w:val="217"/>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620" w:type="dxa"/>
            <w:vAlign w:val="bottom"/>
            <w:tcBorders>
              <w:top w:val="single" w:sz="8" w:color="auto"/>
            </w:tcBorders>
            <w:shd w:val="clear" w:color="auto" w:fill="CFF0FC"/>
          </w:tcPr>
          <w:p>
            <w:pPr>
              <w:jc w:val="right"/>
              <w:ind w:right="432"/>
              <w:spacing w:after="0"/>
              <w:rPr>
                <w:sz w:val="20"/>
                <w:szCs w:val="20"/>
                <w:color w:val="auto"/>
              </w:rPr>
            </w:pPr>
            <w:r>
              <w:rPr>
                <w:rFonts w:ascii="Arial" w:cs="Arial" w:eastAsia="Arial" w:hAnsi="Arial"/>
                <w:sz w:val="18"/>
                <w:szCs w:val="18"/>
                <w:color w:val="auto"/>
                <w:w w:val="79"/>
              </w:rPr>
              <w:t>$</w:t>
            </w:r>
          </w:p>
        </w:tc>
        <w:tc>
          <w:tcPr>
            <w:tcW w:w="2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8"/>
                <w:szCs w:val="18"/>
                <w:color w:val="auto"/>
              </w:rPr>
            </w:pPr>
          </w:p>
        </w:tc>
      </w:tr>
      <w:tr>
        <w:trPr>
          <w:trHeight w:val="224"/>
        </w:trPr>
        <w:tc>
          <w:tcPr>
            <w:tcW w:w="4440" w:type="dxa"/>
            <w:vAlign w:val="bottom"/>
          </w:tcPr>
          <w:p>
            <w:pPr>
              <w:spacing w:after="0"/>
              <w:rPr>
                <w:sz w:val="20"/>
                <w:szCs w:val="20"/>
                <w:color w:val="auto"/>
              </w:rPr>
            </w:pPr>
            <w:r>
              <w:rPr>
                <w:rFonts w:ascii="Arial" w:cs="Arial" w:eastAsia="Arial" w:hAnsi="Arial"/>
                <w:sz w:val="18"/>
                <w:szCs w:val="18"/>
                <w:color w:val="auto"/>
              </w:rPr>
              <w:t>2022</w:t>
            </w:r>
          </w:p>
        </w:tc>
        <w:tc>
          <w:tcPr>
            <w:tcW w:w="62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1,546</w:t>
            </w:r>
          </w:p>
        </w:tc>
        <w:tc>
          <w:tcPr>
            <w:tcW w:w="60" w:type="dxa"/>
            <w:vAlign w:val="bottom"/>
          </w:tcPr>
          <w:p>
            <w:pPr>
              <w:spacing w:after="0"/>
              <w:rPr>
                <w:sz w:val="19"/>
                <w:szCs w:val="19"/>
                <w:color w:val="auto"/>
              </w:rPr>
            </w:pPr>
          </w:p>
        </w:tc>
      </w:tr>
      <w:tr>
        <w:trPr>
          <w:trHeight w:val="224"/>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620" w:type="dxa"/>
            <w:vAlign w:val="bottom"/>
            <w:shd w:val="clear" w:color="auto" w:fill="CFF0FC"/>
          </w:tcPr>
          <w:p>
            <w:pPr>
              <w:spacing w:after="0"/>
              <w:rPr>
                <w:sz w:val="19"/>
                <w:szCs w:val="19"/>
                <w:color w:val="auto"/>
              </w:rPr>
            </w:pPr>
          </w:p>
        </w:tc>
        <w:tc>
          <w:tcPr>
            <w:tcW w:w="2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FF0FC"/>
          </w:tcPr>
          <w:p>
            <w:pPr>
              <w:spacing w:after="0"/>
              <w:rPr>
                <w:sz w:val="19"/>
                <w:szCs w:val="19"/>
                <w:color w:val="auto"/>
              </w:rPr>
            </w:pPr>
          </w:p>
        </w:tc>
      </w:tr>
      <w:tr>
        <w:trPr>
          <w:trHeight w:val="224"/>
        </w:trPr>
        <w:tc>
          <w:tcPr>
            <w:tcW w:w="4440" w:type="dxa"/>
            <w:vAlign w:val="bottom"/>
          </w:tcPr>
          <w:p>
            <w:pPr>
              <w:spacing w:after="0"/>
              <w:rPr>
                <w:sz w:val="20"/>
                <w:szCs w:val="20"/>
                <w:color w:val="auto"/>
              </w:rPr>
            </w:pPr>
            <w:r>
              <w:rPr>
                <w:rFonts w:ascii="Arial" w:cs="Arial" w:eastAsia="Arial" w:hAnsi="Arial"/>
                <w:sz w:val="18"/>
                <w:szCs w:val="18"/>
                <w:color w:val="auto"/>
              </w:rPr>
              <w:t>2024</w:t>
            </w:r>
          </w:p>
        </w:tc>
        <w:tc>
          <w:tcPr>
            <w:tcW w:w="62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11,500</w:t>
            </w:r>
          </w:p>
        </w:tc>
        <w:tc>
          <w:tcPr>
            <w:tcW w:w="60" w:type="dxa"/>
            <w:vAlign w:val="bottom"/>
          </w:tcPr>
          <w:p>
            <w:pPr>
              <w:spacing w:after="0"/>
              <w:rPr>
                <w:sz w:val="19"/>
                <w:szCs w:val="19"/>
                <w:color w:val="auto"/>
              </w:rPr>
            </w:pPr>
          </w:p>
        </w:tc>
      </w:tr>
      <w:tr>
        <w:trPr>
          <w:trHeight w:val="224"/>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620" w:type="dxa"/>
            <w:vAlign w:val="bottom"/>
            <w:shd w:val="clear" w:color="auto" w:fill="CFF0FC"/>
          </w:tcPr>
          <w:p>
            <w:pPr>
              <w:spacing w:after="0"/>
              <w:rPr>
                <w:sz w:val="19"/>
                <w:szCs w:val="19"/>
                <w:color w:val="auto"/>
              </w:rPr>
            </w:pPr>
          </w:p>
        </w:tc>
        <w:tc>
          <w:tcPr>
            <w:tcW w:w="2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FF0FC"/>
          </w:tcPr>
          <w:p>
            <w:pPr>
              <w:spacing w:after="0"/>
              <w:rPr>
                <w:sz w:val="19"/>
                <w:szCs w:val="19"/>
                <w:color w:val="auto"/>
              </w:rPr>
            </w:pPr>
          </w:p>
        </w:tc>
      </w:tr>
      <w:tr>
        <w:trPr>
          <w:trHeight w:val="224"/>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w:t>
            </w:r>
          </w:p>
        </w:tc>
        <w:tc>
          <w:tcPr>
            <w:tcW w:w="60" w:type="dxa"/>
            <w:vAlign w:val="bottom"/>
            <w:tcBorders>
              <w:bottom w:val="single" w:sz="8" w:color="CFF0FC"/>
            </w:tcBorders>
          </w:tcPr>
          <w:p>
            <w:pPr>
              <w:spacing w:after="0"/>
              <w:rPr>
                <w:sz w:val="19"/>
                <w:szCs w:val="19"/>
                <w:color w:val="auto"/>
              </w:rPr>
            </w:pPr>
          </w:p>
        </w:tc>
      </w:tr>
      <w:tr>
        <w:trPr>
          <w:trHeight w:val="217"/>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FF0FC"/>
          </w:tcPr>
          <w:p>
            <w:pPr>
              <w:jc w:val="right"/>
              <w:ind w:right="432"/>
              <w:spacing w:after="0"/>
              <w:rPr>
                <w:sz w:val="20"/>
                <w:szCs w:val="20"/>
                <w:color w:val="auto"/>
              </w:rPr>
            </w:pPr>
            <w:r>
              <w:rPr>
                <w:rFonts w:ascii="Arial" w:cs="Arial" w:eastAsia="Arial" w:hAnsi="Arial"/>
                <w:sz w:val="18"/>
                <w:szCs w:val="18"/>
                <w:color w:val="auto"/>
                <w:w w:val="79"/>
              </w:rPr>
              <w:t>$</w:t>
            </w:r>
          </w:p>
        </w:tc>
        <w:tc>
          <w:tcPr>
            <w:tcW w:w="2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18,026</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1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components of income tax expense (benefit) for the years ended December 31 are as follows:</w:t>
      </w:r>
    </w:p>
    <w:p>
      <w:pPr>
        <w:spacing w:after="0" w:line="228" w:lineRule="exact"/>
        <w:rPr>
          <w:sz w:val="20"/>
          <w:szCs w:val="20"/>
          <w:color w:val="auto"/>
        </w:rPr>
      </w:pPr>
    </w:p>
    <w:tbl>
      <w:tblPr>
        <w:tblLayout w:type="fixed"/>
        <w:tblInd w:w="800" w:type="dxa"/>
        <w:tblCellMar>
          <w:top w:w="0" w:type="dxa"/>
          <w:left w:w="0" w:type="dxa"/>
          <w:bottom w:w="0" w:type="dxa"/>
          <w:right w:w="0" w:type="dxa"/>
        </w:tblCellMar>
      </w:tblP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w w:val="95"/>
              </w:rPr>
              <w:t>(In Thousands)</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1160" w:type="dxa"/>
            <w:vAlign w:val="bottom"/>
            <w:gridSpan w:val="5"/>
          </w:tcPr>
          <w:p>
            <w:pPr>
              <w:jc w:val="right"/>
              <w:ind w:right="38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4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Current:</w:t>
            </w:r>
          </w:p>
        </w:tc>
        <w:tc>
          <w:tcPr>
            <w:tcW w:w="4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right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right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4820" w:type="dxa"/>
            <w:vAlign w:val="bottom"/>
            <w:gridSpan w:val="2"/>
          </w:tcPr>
          <w:p>
            <w:pPr>
              <w:ind w:left="240"/>
              <w:spacing w:after="0"/>
              <w:rPr>
                <w:sz w:val="20"/>
                <w:szCs w:val="20"/>
                <w:color w:val="auto"/>
              </w:rPr>
            </w:pPr>
            <w:r>
              <w:rPr>
                <w:rFonts w:ascii="Arial" w:cs="Arial" w:eastAsia="Arial" w:hAnsi="Arial"/>
                <w:sz w:val="18"/>
                <w:szCs w:val="18"/>
                <w:color w:val="auto"/>
              </w:rPr>
              <w:t>Federal</w:t>
            </w:r>
          </w:p>
        </w:tc>
        <w:tc>
          <w:tcPr>
            <w:tcW w:w="70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6,289</w:t>
            </w:r>
          </w:p>
        </w:tc>
        <w:tc>
          <w:tcPr>
            <w:tcW w:w="100" w:type="dxa"/>
            <w:vAlign w:val="bottom"/>
          </w:tcPr>
          <w:p>
            <w:pPr>
              <w:spacing w:after="0"/>
              <w:rPr>
                <w:sz w:val="19"/>
                <w:szCs w:val="19"/>
                <w:color w:val="auto"/>
              </w:rPr>
            </w:pPr>
          </w:p>
        </w:tc>
        <w:tc>
          <w:tcPr>
            <w:tcW w:w="56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4,005</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2,755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4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4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4820" w:type="dxa"/>
            <w:vAlign w:val="bottom"/>
            <w:gridSpan w:val="2"/>
          </w:tcPr>
          <w:p>
            <w:pPr>
              <w:ind w:left="240"/>
              <w:spacing w:after="0"/>
              <w:rPr>
                <w:sz w:val="20"/>
                <w:szCs w:val="20"/>
                <w:color w:val="auto"/>
              </w:rPr>
            </w:pPr>
            <w:r>
              <w:rPr>
                <w:rFonts w:ascii="Arial" w:cs="Arial" w:eastAsia="Arial" w:hAnsi="Arial"/>
                <w:sz w:val="18"/>
                <w:szCs w:val="18"/>
                <w:color w:val="auto"/>
              </w:rPr>
              <w:t>Total current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6,802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4,068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4820" w:type="dxa"/>
            <w:vAlign w:val="bottom"/>
            <w:gridSpan w:val="2"/>
          </w:tcPr>
          <w:p>
            <w:pPr>
              <w:ind w:left="240"/>
              <w:spacing w:after="0"/>
              <w:rPr>
                <w:sz w:val="20"/>
                <w:szCs w:val="20"/>
                <w:color w:val="auto"/>
              </w:rPr>
            </w:pPr>
            <w:r>
              <w:rPr>
                <w:rFonts w:ascii="Arial" w:cs="Arial" w:eastAsia="Arial" w:hAnsi="Arial"/>
                <w:sz w:val="18"/>
                <w:szCs w:val="18"/>
                <w:color w:val="auto"/>
              </w:rPr>
              <w:t>Federal</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4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(95)</w:t>
            </w:r>
          </w:p>
        </w:tc>
        <w:tc>
          <w:tcPr>
            <w:tcW w:w="10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20" w:type="dxa"/>
            <w:vAlign w:val="bottom"/>
            <w:gridSpan w:val="2"/>
            <w:vMerge w:val="restart"/>
          </w:tcPr>
          <w:p>
            <w:pPr>
              <w:ind w:left="240"/>
              <w:spacing w:after="0"/>
              <w:rPr>
                <w:sz w:val="20"/>
                <w:szCs w:val="20"/>
                <w:color w:val="auto"/>
              </w:rPr>
            </w:pPr>
            <w:r>
              <w:rPr>
                <w:rFonts w:ascii="Arial" w:cs="Arial" w:eastAsia="Arial" w:hAnsi="Arial"/>
                <w:sz w:val="18"/>
                <w:szCs w:val="18"/>
                <w:color w:val="auto"/>
              </w:rPr>
              <w:t>Total deferred</w:t>
            </w: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 w:type="dxa"/>
            <w:vAlign w:val="bottom"/>
          </w:tcPr>
          <w:p>
            <w:pPr>
              <w:spacing w:after="0"/>
              <w:rPr>
                <w:sz w:val="18"/>
                <w:szCs w:val="18"/>
                <w:color w:val="auto"/>
              </w:rPr>
            </w:pPr>
          </w:p>
        </w:tc>
        <w:tc>
          <w:tcPr>
            <w:tcW w:w="48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2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 Income Tax</w:t>
            </w:r>
          </w:p>
        </w:tc>
        <w:tc>
          <w:tcPr>
            <w:tcW w:w="4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 w:type="dxa"/>
            <w:vAlign w:val="bottom"/>
          </w:tcPr>
          <w:p>
            <w:pPr>
              <w:spacing w:after="0"/>
              <w:rPr>
                <w:sz w:val="18"/>
                <w:szCs w:val="18"/>
                <w:color w:val="auto"/>
              </w:rPr>
            </w:pPr>
          </w:p>
        </w:tc>
        <w:tc>
          <w:tcPr>
            <w:tcW w:w="4820" w:type="dxa"/>
            <w:vAlign w:val="bottom"/>
            <w:gridSpan w:val="2"/>
            <w:vMerge w:val="continue"/>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5,111</w:t>
            </w:r>
          </w:p>
        </w:tc>
        <w:tc>
          <w:tcPr>
            <w:tcW w:w="1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9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4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4,360</w:t>
            </w:r>
          </w:p>
        </w:tc>
        <w:tc>
          <w:tcPr>
            <w:tcW w:w="1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3,301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4740" w:type="dxa"/>
            <w:vAlign w:val="bottom"/>
            <w:tcBorders>
              <w:top w:val="single" w:sz="8" w:color="CFF0FC"/>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6820" w:type="dxa"/>
            <w:vAlign w:val="bottom"/>
            <w:gridSpan w:val="8"/>
          </w:tcPr>
          <w:p>
            <w:pPr>
              <w:spacing w:after="0"/>
              <w:rPr>
                <w:sz w:val="20"/>
                <w:szCs w:val="20"/>
                <w:color w:val="auto"/>
              </w:rPr>
            </w:pPr>
            <w:r>
              <w:rPr>
                <w:rFonts w:ascii="Arial" w:cs="Arial" w:eastAsia="Arial" w:hAnsi="Arial"/>
                <w:sz w:val="18"/>
                <w:szCs w:val="18"/>
                <w:color w:val="auto"/>
                <w:w w:val="90"/>
              </w:rPr>
              <w:t>The following is a reconciliation of the statutory federal income tax rate to the effective tax rate:</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w w:val="97"/>
              </w:rPr>
              <w:t>(In Thousands)</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60" w:type="dxa"/>
            <w:vAlign w:val="bottom"/>
            <w:tcBorders>
              <w:bottom w:val="single" w:sz="8" w:color="CFF0FC"/>
            </w:tcBorders>
          </w:tcPr>
          <w:p>
            <w:pPr>
              <w:spacing w:after="0"/>
              <w:rPr>
                <w:sz w:val="18"/>
                <w:szCs w:val="18"/>
                <w:color w:val="auto"/>
              </w:rPr>
            </w:pPr>
          </w:p>
        </w:tc>
        <w:tc>
          <w:tcPr>
            <w:tcW w:w="4260" w:type="dxa"/>
            <w:vAlign w:val="bottom"/>
            <w:tcBorders>
              <w:bottom w:val="single" w:sz="8" w:color="CFF0FC"/>
            </w:tcBorders>
          </w:tcPr>
          <w:p>
            <w:pPr>
              <w:spacing w:after="0"/>
              <w:rPr>
                <w:sz w:val="18"/>
                <w:szCs w:val="18"/>
                <w:color w:val="auto"/>
              </w:rPr>
            </w:pPr>
          </w:p>
        </w:tc>
        <w:tc>
          <w:tcPr>
            <w:tcW w:w="4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 income tax at statutory rates</w:t>
            </w:r>
          </w:p>
        </w:tc>
        <w:tc>
          <w:tcPr>
            <w:tcW w:w="700" w:type="dxa"/>
            <w:vAlign w:val="bottom"/>
            <w:gridSpan w:val="2"/>
            <w:shd w:val="clear" w:color="auto" w:fill="CFF0FC"/>
          </w:tcPr>
          <w:p>
            <w:pPr>
              <w:jc w:val="right"/>
              <w:ind w:right="63"/>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5,294</w:t>
            </w:r>
          </w:p>
        </w:tc>
        <w:tc>
          <w:tcPr>
            <w:tcW w:w="1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4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3"/>
              </w:rPr>
              <w:t>4,780</w:t>
            </w:r>
          </w:p>
        </w:tc>
        <w:tc>
          <w:tcPr>
            <w:tcW w:w="1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3,832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gridSpan w:val="3"/>
          </w:tcPr>
          <w:p>
            <w:pPr>
              <w:ind w:left="340"/>
              <w:spacing w:after="0"/>
              <w:rPr>
                <w:sz w:val="20"/>
                <w:szCs w:val="20"/>
                <w:color w:val="auto"/>
              </w:rPr>
            </w:pPr>
            <w:r>
              <w:rPr>
                <w:rFonts w:ascii="Arial" w:cs="Arial" w:eastAsia="Arial" w:hAnsi="Arial"/>
                <w:sz w:val="18"/>
                <w:szCs w:val="18"/>
                <w:color w:val="auto"/>
              </w:rPr>
              <w:t>(Decrease) increase resulting from:</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4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State income tax, net of federal benefit</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4820" w:type="dxa"/>
            <w:vAlign w:val="bottom"/>
            <w:gridSpan w:val="2"/>
          </w:tcPr>
          <w:p>
            <w:pPr>
              <w:ind w:left="240"/>
              <w:spacing w:after="0"/>
              <w:rPr>
                <w:sz w:val="20"/>
                <w:szCs w:val="20"/>
                <w:color w:val="auto"/>
              </w:rPr>
            </w:pPr>
            <w:r>
              <w:rPr>
                <w:rFonts w:ascii="Arial" w:cs="Arial" w:eastAsia="Arial" w:hAnsi="Arial"/>
                <w:sz w:val="18"/>
                <w:szCs w:val="18"/>
                <w:color w:val="auto"/>
              </w:rPr>
              <w:t>Tax exempt interest</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4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Section 831 deduction</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(266)</w:t>
            </w:r>
          </w:p>
        </w:tc>
        <w:tc>
          <w:tcPr>
            <w:tcW w:w="10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(268)</w:t>
            </w: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482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2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 Income Tax</w:t>
            </w:r>
          </w:p>
        </w:tc>
        <w:tc>
          <w:tcPr>
            <w:tcW w:w="4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 w:type="dxa"/>
            <w:vAlign w:val="bottom"/>
          </w:tcPr>
          <w:p>
            <w:pPr>
              <w:spacing w:after="0"/>
              <w:rPr>
                <w:sz w:val="18"/>
                <w:szCs w:val="18"/>
                <w:color w:val="auto"/>
              </w:rPr>
            </w:pPr>
          </w:p>
        </w:tc>
        <w:tc>
          <w:tcPr>
            <w:tcW w:w="4820" w:type="dxa"/>
            <w:vAlign w:val="bottom"/>
            <w:gridSpan w:val="2"/>
            <w:vMerge w:val="continue"/>
            <w:shd w:val="clear" w:color="auto" w:fill="CFF0FC"/>
          </w:tcPr>
          <w:p>
            <w:pPr>
              <w:spacing w:after="0"/>
              <w:rPr>
                <w:sz w:val="18"/>
                <w:szCs w:val="18"/>
                <w:color w:val="auto"/>
              </w:rPr>
            </w:pPr>
          </w:p>
        </w:tc>
        <w:tc>
          <w:tcPr>
            <w:tcW w:w="700" w:type="dxa"/>
            <w:vAlign w:val="bottom"/>
            <w:gridSpan w:val="2"/>
            <w:shd w:val="clear" w:color="auto" w:fill="CFF0FC"/>
          </w:tcPr>
          <w:p>
            <w:pPr>
              <w:jc w:val="right"/>
              <w:ind w:right="63"/>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5,111</w:t>
            </w:r>
          </w:p>
        </w:tc>
        <w:tc>
          <w:tcPr>
            <w:tcW w:w="1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4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3"/>
              </w:rPr>
              <w:t>4,360</w:t>
            </w:r>
          </w:p>
        </w:tc>
        <w:tc>
          <w:tcPr>
            <w:tcW w:w="1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3,301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4740" w:type="dxa"/>
            <w:vAlign w:val="bottom"/>
            <w:tcBorders>
              <w:top w:val="single" w:sz="8" w:color="CFF0FC"/>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5860" w:type="dxa"/>
            <w:vAlign w:val="bottom"/>
            <w:gridSpan w:val="5"/>
          </w:tcPr>
          <w:p>
            <w:pPr>
              <w:spacing w:after="0"/>
              <w:rPr>
                <w:sz w:val="20"/>
                <w:szCs w:val="20"/>
                <w:color w:val="auto"/>
              </w:rPr>
            </w:pPr>
            <w:r>
              <w:rPr>
                <w:rFonts w:ascii="Arial" w:cs="Arial" w:eastAsia="Arial" w:hAnsi="Arial"/>
                <w:sz w:val="18"/>
                <w:szCs w:val="18"/>
                <w:color w:val="auto"/>
                <w:w w:val="90"/>
              </w:rPr>
              <w:t>Deferred tax assets and liabilities at December 31 are comprised of the following:</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w w:val="87"/>
              </w:rPr>
              <w:t>(In Thousands)</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5"/>
          </w:tcPr>
          <w:p>
            <w:pPr>
              <w:jc w:val="right"/>
              <w:ind w:right="312"/>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1180" w:type="dxa"/>
            <w:vAlign w:val="bottom"/>
            <w:gridSpan w:val="6"/>
          </w:tcPr>
          <w:p>
            <w:pPr>
              <w:jc w:val="right"/>
              <w:ind w:right="292"/>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4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right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right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Allowance for loan losses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19"/>
                <w:szCs w:val="19"/>
                <w:color w:val="auto"/>
              </w:rPr>
            </w:pP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1,719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compensation</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w w:val="99"/>
              </w:rPr>
              <w:t>Net unrealized loss on available-for-sale securities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60" w:type="dxa"/>
            <w:vAlign w:val="bottom"/>
            <w:tcBorders>
              <w:bottom w:val="single" w:sz="8" w:color="auto"/>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right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Total deferred tax assets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3,807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2,515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Accreted discounts on bonds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FHLB stock dividends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amortization</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1,144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1,218</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Mortgage servicing rights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Net unrealized gain on available-for-sale securities</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1,514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Prepaids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60" w:type="dxa"/>
            <w:vAlign w:val="bottom"/>
            <w:tcBorders>
              <w:bottom w:val="single" w:sz="8" w:color="auto"/>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right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deferred tax liabilities</w:t>
            </w:r>
          </w:p>
        </w:tc>
        <w:tc>
          <w:tcPr>
            <w:tcW w:w="4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40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5,276</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3,869</w:t>
            </w:r>
          </w:p>
        </w:tc>
        <w:tc>
          <w:tcPr>
            <w:tcW w:w="80" w:type="dxa"/>
            <w:vAlign w:val="bottom"/>
            <w:tcBorders>
              <w:bottom w:val="single" w:sz="8" w:color="CFF0FC"/>
            </w:tcBorders>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Deferred Tax Asset (Liability)</w:t>
            </w: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tcBorders>
              <w:right w:val="single" w:sz="8" w:color="CFF0FC"/>
            </w:tcBorders>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6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(1,469)</w:t>
            </w:r>
          </w:p>
        </w:tc>
        <w:tc>
          <w:tcPr>
            <w:tcW w:w="48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6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(1,354)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3549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 Plans</w:t>
      </w:r>
    </w:p>
    <w:p>
      <w:pPr>
        <w:spacing w:after="0" w:line="115" w:lineRule="exact"/>
        <w:rPr>
          <w:sz w:val="20"/>
          <w:szCs w:val="20"/>
          <w:color w:val="auto"/>
        </w:rPr>
      </w:pPr>
    </w:p>
    <w:p>
      <w:pPr>
        <w:jc w:val="both"/>
        <w:ind w:left="800"/>
        <w:spacing w:after="0" w:line="284" w:lineRule="auto"/>
        <w:rPr>
          <w:sz w:val="20"/>
          <w:szCs w:val="20"/>
          <w:color w:val="auto"/>
        </w:rPr>
      </w:pPr>
      <w:r>
        <w:rPr>
          <w:rFonts w:ascii="Arial" w:cs="Arial" w:eastAsia="Arial" w:hAnsi="Arial"/>
          <w:sz w:val="16"/>
          <w:szCs w:val="16"/>
          <w:color w:val="auto"/>
        </w:rPr>
        <w:t>The Bank has established a 401(k) profit sharing plan, which allows eligible employees to save at a minimum one percent of eligible compensation on a pre-tax basis, subject to certain Internal Revenue Service limitations. The Bank will match 50% of employee 401(k) contributions up to four percent of total eligible compensation. In addition, the Bank may make a discretionary contribution from time to time. A participant is 100% vested in the participant’s deferral contributions and employer matching contributions. A six-year vesting schedule applies to employer discretionary contributions. Contributions expensed for the 401(k) profit sharing plan for both the employer matching contribution and the discretionary contribution were $1.0 million, $1.2 million and $1.1 million for 2020, 2019 and 2018, respectively.</w:t>
      </w:r>
    </w:p>
    <w:p>
      <w:pPr>
        <w:spacing w:after="0" w:line="26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Restricted Stock Awards</w:t>
      </w:r>
    </w:p>
    <w:p>
      <w:pPr>
        <w:spacing w:after="0" w:line="115" w:lineRule="exact"/>
        <w:rPr>
          <w:sz w:val="20"/>
          <w:szCs w:val="20"/>
          <w:color w:val="auto"/>
        </w:rPr>
      </w:pPr>
    </w:p>
    <w:p>
      <w:pPr>
        <w:jc w:val="both"/>
        <w:ind w:left="800"/>
        <w:spacing w:after="0" w:line="279" w:lineRule="auto"/>
        <w:rPr>
          <w:sz w:val="20"/>
          <w:szCs w:val="20"/>
          <w:color w:val="auto"/>
        </w:rPr>
      </w:pPr>
      <w:r>
        <w:rPr>
          <w:rFonts w:ascii="Arial" w:cs="Arial" w:eastAsia="Arial" w:hAnsi="Arial"/>
          <w:sz w:val="16"/>
          <w:szCs w:val="16"/>
          <w:color w:val="auto"/>
        </w:rPr>
        <w:t>The Company has a Long-Term Stock Incentive Plan under which 37,382 shares of the Company’s restricted stock were issued to 92 employees during 2020, 38,100 shares of restricted stock were issued to 94 employees during 2019 and 33,000 shares of restricted stock were issued to 80 employees during 2018. Under the plan, the shares generally vest 100% in three years. During the 3 year vesting period, the employees receive dividends or dividend equivalent compensation on the shares. Due to employee termination, there were 2,175, 3,220, and 2,620 shares forfeited during 2020, 2019 and 2018, respectively. During 2020, eight employees retired and received 10,890 shares from the shares awarded in 2017, 2018, 2019 and 2020. During 2019, due to retirement, three employees received 14,300 shares from awards granted in 2016, 2017 and 2018. During 2020, 21,340 shares awarded in 2017 were 100% vested and 53 employees received the stock. One employee received accelerated vesting of 1,050 shares awarded in 2019, 2018 and 2017. Also during 2020, 1,600 shares awarded in 2019 were 100% vested and three employees received the stock. One employee received immediate vesting of 551 shares of stock. During 2019, 26,070 shares awarded in 2016 were vested 100% and 63 employees received the stock. During 2018, 28,790 shares awarded in 2015 were vested 100% and 56 employees received the stock. Compensation expense applicable to the restricted stock awards totaled $1.0 million, $1.1 million and $745 thousand for the years ending December 31, 2020, 2019 and 2018, respectively.</w:t>
      </w:r>
    </w:p>
    <w:p>
      <w:pPr>
        <w:spacing w:after="0" w:line="68"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The table below summarizes the details of the restricted shares issued, vested, and forfeited for the years ending December 31, 2020, 2019 and 2018.</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color w:val="auto"/>
              </w:rPr>
              <w:t>Year Ended December 31,</w:t>
            </w: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4320" w:type="dxa"/>
            <w:vAlign w:val="bottom"/>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5"/>
        </w:trPr>
        <w:tc>
          <w:tcPr>
            <w:tcW w:w="4320" w:type="dxa"/>
            <w:vAlign w:val="bottom"/>
          </w:tcPr>
          <w:p>
            <w:pPr>
              <w:spacing w:after="0"/>
              <w:rPr>
                <w:sz w:val="17"/>
                <w:szCs w:val="17"/>
                <w:color w:val="auto"/>
              </w:rPr>
            </w:pPr>
          </w:p>
        </w:tc>
        <w:tc>
          <w:tcPr>
            <w:tcW w:w="1220" w:type="dxa"/>
            <w:vAlign w:val="bottom"/>
            <w:gridSpan w:val="3"/>
          </w:tcPr>
          <w:p>
            <w:pPr>
              <w:jc w:val="center"/>
              <w:ind w:right="300"/>
              <w:spacing w:after="0" w:line="205" w:lineRule="exact"/>
              <w:rPr>
                <w:sz w:val="20"/>
                <w:szCs w:val="20"/>
                <w:color w:val="auto"/>
              </w:rPr>
            </w:pPr>
            <w:r>
              <w:rPr>
                <w:rFonts w:ascii="Arial" w:cs="Arial" w:eastAsia="Arial" w:hAnsi="Arial"/>
                <w:sz w:val="18"/>
                <w:szCs w:val="18"/>
                <w:color w:val="auto"/>
                <w:w w:val="90"/>
              </w:rPr>
              <w:t>Number of</w:t>
            </w:r>
          </w:p>
        </w:tc>
        <w:tc>
          <w:tcPr>
            <w:tcW w:w="110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Number of</w:t>
            </w:r>
          </w:p>
        </w:tc>
        <w:tc>
          <w:tcPr>
            <w:tcW w:w="1220" w:type="dxa"/>
            <w:vAlign w:val="bottom"/>
            <w:gridSpan w:val="3"/>
          </w:tcPr>
          <w:p>
            <w:pPr>
              <w:jc w:val="center"/>
              <w:ind w:right="300"/>
              <w:spacing w:after="0" w:line="205" w:lineRule="exact"/>
              <w:rPr>
                <w:sz w:val="20"/>
                <w:szCs w:val="20"/>
                <w:color w:val="auto"/>
              </w:rPr>
            </w:pPr>
            <w:r>
              <w:rPr>
                <w:rFonts w:ascii="Arial" w:cs="Arial" w:eastAsia="Arial" w:hAnsi="Arial"/>
                <w:sz w:val="18"/>
                <w:szCs w:val="18"/>
                <w:color w:val="auto"/>
                <w:w w:val="90"/>
              </w:rPr>
              <w:t>Number of</w:t>
            </w:r>
          </w:p>
        </w:tc>
        <w:tc>
          <w:tcPr>
            <w:tcW w:w="110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Number of</w:t>
            </w:r>
          </w:p>
        </w:tc>
        <w:tc>
          <w:tcPr>
            <w:tcW w:w="1260" w:type="dxa"/>
            <w:vAlign w:val="bottom"/>
            <w:gridSpan w:val="3"/>
          </w:tcPr>
          <w:p>
            <w:pPr>
              <w:jc w:val="center"/>
              <w:ind w:right="300"/>
              <w:spacing w:after="0" w:line="205" w:lineRule="exact"/>
              <w:rPr>
                <w:sz w:val="20"/>
                <w:szCs w:val="20"/>
                <w:color w:val="auto"/>
              </w:rPr>
            </w:pPr>
            <w:r>
              <w:rPr>
                <w:rFonts w:ascii="Arial" w:cs="Arial" w:eastAsia="Arial" w:hAnsi="Arial"/>
                <w:sz w:val="18"/>
                <w:szCs w:val="18"/>
                <w:color w:val="auto"/>
                <w:w w:val="90"/>
              </w:rPr>
              <w:t>Number of</w:t>
            </w:r>
          </w:p>
        </w:tc>
        <w:tc>
          <w:tcPr>
            <w:tcW w:w="102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Number of</w:t>
            </w:r>
          </w:p>
        </w:tc>
      </w:tr>
      <w:tr>
        <w:trPr>
          <w:trHeight w:val="222"/>
        </w:trPr>
        <w:tc>
          <w:tcPr>
            <w:tcW w:w="4320" w:type="dxa"/>
            <w:vAlign w:val="bottom"/>
          </w:tcPr>
          <w:p>
            <w:pPr>
              <w:spacing w:after="0"/>
              <w:rPr>
                <w:sz w:val="19"/>
                <w:szCs w:val="19"/>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color w:val="auto"/>
                <w:w w:val="84"/>
              </w:rPr>
              <w:t>Shares</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Employees</w:t>
            </w: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color w:val="auto"/>
                <w:w w:val="84"/>
              </w:rPr>
              <w:t>Shares</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Employees</w:t>
            </w:r>
          </w:p>
        </w:tc>
        <w:tc>
          <w:tcPr>
            <w:tcW w:w="1260" w:type="dxa"/>
            <w:vAlign w:val="bottom"/>
            <w:gridSpan w:val="3"/>
          </w:tcPr>
          <w:p>
            <w:pPr>
              <w:jc w:val="center"/>
              <w:ind w:right="300"/>
              <w:spacing w:after="0"/>
              <w:rPr>
                <w:sz w:val="20"/>
                <w:szCs w:val="20"/>
                <w:color w:val="auto"/>
              </w:rPr>
            </w:pPr>
            <w:r>
              <w:rPr>
                <w:rFonts w:ascii="Arial" w:cs="Arial" w:eastAsia="Arial" w:hAnsi="Arial"/>
                <w:sz w:val="18"/>
                <w:szCs w:val="18"/>
                <w:color w:val="auto"/>
                <w:w w:val="84"/>
              </w:rPr>
              <w:t>Shares</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Employees</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Restricted shares issued</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37,382</w:t>
            </w: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38,100</w:t>
            </w: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33,000</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r>
      <w:tr>
        <w:trPr>
          <w:trHeight w:val="224"/>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Restricted shares vested</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28,790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19"/>
                <w:szCs w:val="19"/>
                <w:color w:val="auto"/>
              </w:rPr>
            </w:pP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Restricted shares awarded due to retirement</w:t>
            </w:r>
          </w:p>
        </w:tc>
        <w:tc>
          <w:tcPr>
            <w:tcW w:w="940" w:type="dxa"/>
            <w:vAlign w:val="bottom"/>
          </w:tcPr>
          <w:p>
            <w:pPr>
              <w:jc w:val="right"/>
              <w:spacing w:after="0"/>
              <w:rPr>
                <w:sz w:val="20"/>
                <w:szCs w:val="20"/>
                <w:color w:val="auto"/>
              </w:rPr>
            </w:pPr>
            <w:r>
              <w:rPr>
                <w:rFonts w:ascii="Arial" w:cs="Arial" w:eastAsia="Arial" w:hAnsi="Arial"/>
                <w:sz w:val="18"/>
                <w:szCs w:val="18"/>
                <w:color w:val="auto"/>
              </w:rPr>
              <w:t>10,890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4"/>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Restricted shares awarded for other</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940" w:type="dxa"/>
            <w:vAlign w:val="bottom"/>
          </w:tcPr>
          <w:p>
            <w:pPr>
              <w:jc w:val="right"/>
              <w:spacing w:after="0"/>
              <w:rPr>
                <w:sz w:val="20"/>
                <w:szCs w:val="20"/>
                <w:color w:val="auto"/>
              </w:rPr>
            </w:pPr>
            <w:r>
              <w:rPr>
                <w:rFonts w:ascii="Arial" w:cs="Arial" w:eastAsia="Arial" w:hAnsi="Arial"/>
                <w:sz w:val="18"/>
                <w:szCs w:val="18"/>
                <w:color w:val="auto"/>
              </w:rPr>
              <w:t>2,175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r>
      <w:tr>
        <w:trPr>
          <w:trHeight w:val="738"/>
        </w:trPr>
        <w:tc>
          <w:tcPr>
            <w:tcW w:w="4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3"/>
        </w:trPr>
        <w:tc>
          <w:tcPr>
            <w:tcW w:w="4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 Plans (Continued)</w:t>
      </w:r>
    </w:p>
    <w:p>
      <w:pPr>
        <w:spacing w:after="0" w:line="30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summarizes the activity of restricted stock awards as of December 31: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6"/>
          </w:tcPr>
          <w:p>
            <w:pPr>
              <w:ind w:left="140"/>
              <w:spacing w:after="0"/>
              <w:rPr>
                <w:sz w:val="20"/>
                <w:szCs w:val="20"/>
                <w:color w:val="auto"/>
              </w:rPr>
            </w:pPr>
            <w:r>
              <w:rPr>
                <w:rFonts w:ascii="Arial" w:cs="Arial" w:eastAsia="Arial" w:hAnsi="Arial"/>
                <w:sz w:val="18"/>
                <w:szCs w:val="18"/>
                <w:color w:val="auto"/>
              </w:rPr>
              <w:t>Year Ended December 31,</w:t>
            </w: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4320" w:type="dxa"/>
            <w:vAlign w:val="bottom"/>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8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2019</w:t>
            </w:r>
          </w:p>
        </w:tc>
        <w:tc>
          <w:tcPr>
            <w:tcW w:w="8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2018</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5"/>
        </w:trPr>
        <w:tc>
          <w:tcPr>
            <w:tcW w:w="4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40"/>
              <w:spacing w:after="0" w:line="205" w:lineRule="exact"/>
              <w:rPr>
                <w:sz w:val="20"/>
                <w:szCs w:val="20"/>
                <w:color w:val="auto"/>
              </w:rPr>
            </w:pPr>
            <w:r>
              <w:rPr>
                <w:rFonts w:ascii="Arial" w:cs="Arial" w:eastAsia="Arial" w:hAnsi="Arial"/>
                <w:sz w:val="18"/>
                <w:szCs w:val="18"/>
                <w:color w:val="auto"/>
                <w:w w:val="89"/>
              </w:rPr>
              <w:t>Weighted</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20"/>
              <w:spacing w:after="0" w:line="205" w:lineRule="exact"/>
              <w:rPr>
                <w:sz w:val="20"/>
                <w:szCs w:val="20"/>
                <w:color w:val="auto"/>
              </w:rPr>
            </w:pPr>
            <w:r>
              <w:rPr>
                <w:rFonts w:ascii="Arial" w:cs="Arial" w:eastAsia="Arial" w:hAnsi="Arial"/>
                <w:sz w:val="18"/>
                <w:szCs w:val="18"/>
                <w:color w:val="auto"/>
                <w:w w:val="86"/>
              </w:rPr>
              <w:t>Weighted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40"/>
              <w:spacing w:after="0" w:line="205" w:lineRule="exact"/>
              <w:rPr>
                <w:sz w:val="20"/>
                <w:szCs w:val="20"/>
                <w:color w:val="auto"/>
              </w:rPr>
            </w:pPr>
            <w:r>
              <w:rPr>
                <w:rFonts w:ascii="Arial" w:cs="Arial" w:eastAsia="Arial" w:hAnsi="Arial"/>
                <w:sz w:val="18"/>
                <w:szCs w:val="18"/>
                <w:color w:val="auto"/>
                <w:w w:val="89"/>
              </w:rPr>
              <w:t>Weighted</w:t>
            </w:r>
          </w:p>
        </w:tc>
      </w:tr>
      <w:tr>
        <w:trPr>
          <w:trHeight w:val="211"/>
        </w:trPr>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average</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2"/>
              </w:rPr>
              <w:t>average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82"/>
              </w:rPr>
              <w:t>average</w:t>
            </w:r>
          </w:p>
        </w:tc>
      </w:tr>
      <w:tr>
        <w:trPr>
          <w:trHeight w:val="211"/>
        </w:trPr>
        <w:tc>
          <w:tcPr>
            <w:tcW w:w="43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Number of</w:t>
            </w:r>
          </w:p>
        </w:tc>
        <w:tc>
          <w:tcPr>
            <w:tcW w:w="1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fair value</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 value</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fair value</w:t>
            </w:r>
          </w:p>
        </w:tc>
      </w:tr>
      <w:tr>
        <w:trPr>
          <w:trHeight w:val="223"/>
        </w:trPr>
        <w:tc>
          <w:tcPr>
            <w:tcW w:w="43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Shares</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4"/>
              </w:rPr>
              <w:t>per award</w:t>
            </w:r>
          </w:p>
        </w:tc>
        <w:tc>
          <w:tcPr>
            <w:tcW w:w="2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7"/>
              </w:rPr>
              <w:t>per award</w:t>
            </w:r>
          </w:p>
        </w:tc>
        <w:tc>
          <w:tcPr>
            <w:tcW w:w="2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7"/>
              </w:rPr>
              <w:t>per award</w:t>
            </w:r>
          </w:p>
        </w:tc>
        <w:tc>
          <w:tcPr>
            <w:tcW w:w="120" w:type="dxa"/>
            <w:vAlign w:val="bottom"/>
            <w:tcBorders>
              <w:bottom w:val="single" w:sz="8" w:color="CFF0FC"/>
            </w:tcBorders>
          </w:tcPr>
          <w:p>
            <w:pPr>
              <w:spacing w:after="0"/>
              <w:rPr>
                <w:sz w:val="19"/>
                <w:szCs w:val="19"/>
                <w:color w:val="auto"/>
              </w:rPr>
            </w:pPr>
          </w:p>
        </w:tc>
      </w:tr>
      <w:tr>
        <w:trPr>
          <w:trHeight w:val="217"/>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Beginning of period</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88,450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31.52</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93,940</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29.87</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92,350</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120" w:type="dxa"/>
            <w:vAlign w:val="bottom"/>
            <w:shd w:val="clear" w:color="auto" w:fill="CFF0FC"/>
          </w:tcPr>
          <w:p>
            <w:pPr>
              <w:spacing w:after="0"/>
              <w:rPr>
                <w:sz w:val="18"/>
                <w:szCs w:val="18"/>
                <w:color w:val="auto"/>
              </w:rPr>
            </w:pP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37,382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38,100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25.14</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44.63</w:t>
            </w:r>
          </w:p>
        </w:tc>
        <w:tc>
          <w:tcPr>
            <w:tcW w:w="120" w:type="dxa"/>
            <w:vAlign w:val="bottom"/>
          </w:tcPr>
          <w:p>
            <w:pPr>
              <w:spacing w:after="0"/>
              <w:rPr>
                <w:sz w:val="19"/>
                <w:szCs w:val="19"/>
                <w:color w:val="auto"/>
              </w:rPr>
            </w:pPr>
          </w:p>
        </w:tc>
      </w:tr>
      <w:tr>
        <w:trPr>
          <w:trHeight w:val="224"/>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(35,431)</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29.27</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(40,370)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(28,790)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w:t>
            </w:r>
          </w:p>
        </w:tc>
        <w:tc>
          <w:tcPr>
            <w:tcW w:w="120" w:type="dxa"/>
            <w:vAlign w:val="bottom"/>
            <w:shd w:val="clear" w:color="auto" w:fill="CFF0FC"/>
          </w:tcPr>
          <w:p>
            <w:pPr>
              <w:spacing w:after="0"/>
              <w:rPr>
                <w:sz w:val="19"/>
                <w:szCs w:val="19"/>
                <w:color w:val="auto"/>
              </w:rPr>
            </w:pP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21.92</w:t>
            </w: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(3,220)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30.12</w:t>
            </w: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44.04</w:t>
            </w:r>
          </w:p>
        </w:tc>
        <w:tc>
          <w:tcPr>
            <w:tcW w:w="120" w:type="dxa"/>
            <w:vAlign w:val="bottom"/>
          </w:tcPr>
          <w:p>
            <w:pPr>
              <w:spacing w:after="0"/>
              <w:rPr>
                <w:sz w:val="19"/>
                <w:szCs w:val="19"/>
                <w:color w:val="auto"/>
              </w:rPr>
            </w:pPr>
          </w:p>
        </w:tc>
      </w:tr>
      <w:tr>
        <w:trPr>
          <w:trHeight w:val="217"/>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end of period</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88,226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28.40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88,450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31.52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93,940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29.87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800"/>
        <w:spacing w:after="0" w:line="262" w:lineRule="auto"/>
        <w:rPr>
          <w:sz w:val="20"/>
          <w:szCs w:val="20"/>
          <w:color w:val="auto"/>
        </w:rPr>
      </w:pPr>
      <w:r>
        <w:rPr>
          <w:rFonts w:ascii="Arial" w:cs="Arial" w:eastAsia="Arial" w:hAnsi="Arial"/>
          <w:sz w:val="18"/>
          <w:szCs w:val="18"/>
          <w:color w:val="auto"/>
        </w:rPr>
        <w:t>As of December 31, 2020, there was $1.3 million of unrecognized compensation cost related to the nonvested portion of restricted stock awards under the plan to be recognized over the next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155" w:lineRule="exact"/>
        <w:rPr>
          <w:sz w:val="20"/>
          <w:szCs w:val="20"/>
          <w:color w:val="auto"/>
        </w:rPr>
      </w:pPr>
    </w:p>
    <w:p>
      <w:pPr>
        <w:jc w:val="both"/>
        <w:ind w:left="800"/>
        <w:spacing w:after="0" w:line="280" w:lineRule="auto"/>
        <w:rPr>
          <w:sz w:val="20"/>
          <w:szCs w:val="20"/>
          <w:color w:val="auto"/>
        </w:rPr>
      </w:pPr>
      <w:r>
        <w:rPr>
          <w:rFonts w:ascii="Arial" w:cs="Arial" w:eastAsia="Arial" w:hAnsi="Arial"/>
          <w:sz w:val="16"/>
          <w:szCs w:val="16"/>
          <w:color w:val="auto"/>
        </w:rPr>
        <w:t>Basic earnings per share is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in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stock based compensation plans.</w:t>
      </w:r>
    </w:p>
    <w:p>
      <w:pPr>
        <w:spacing w:after="0" w:line="67" w:lineRule="exact"/>
        <w:rPr>
          <w:sz w:val="20"/>
          <w:szCs w:val="20"/>
          <w:color w:val="auto"/>
        </w:rPr>
      </w:pPr>
    </w:p>
    <w:p>
      <w:pPr>
        <w:jc w:val="both"/>
        <w:ind w:left="800"/>
        <w:spacing w:after="0" w:line="247" w:lineRule="auto"/>
        <w:rPr>
          <w:sz w:val="20"/>
          <w:szCs w:val="20"/>
          <w:color w:val="auto"/>
        </w:rPr>
      </w:pPr>
      <w:r>
        <w:rPr>
          <w:rFonts w:ascii="Arial" w:cs="Arial" w:eastAsia="Arial" w:hAnsi="Arial"/>
          <w:sz w:val="18"/>
          <w:szCs w:val="18"/>
          <w:color w:val="auto"/>
        </w:rPr>
        <w:t>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approximately $4,000, rounded to the nearest whole Share on an annual basis commencing on June 5, 2020 and thereafter on the first Friday of June in each year. The value for the Shares is to be based upon the closing price for Shares on June 4, 2020 and thereafter on the first Thursday in June each year. On June 5, 2020, each Director received 176 shares. On November 20, 2020, a new director received 20 prorated shares.</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table below presents basic and diluted earnings per share for the years ended December 31, 2020, 2019, and 2018.</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4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4"/>
              </w:rPr>
              <w:t>Year Ended</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w w:val="86"/>
              </w:rPr>
              <w:t>December 31,</w:t>
            </w:r>
          </w:p>
        </w:tc>
        <w:tc>
          <w:tcPr>
            <w:tcW w:w="0" w:type="dxa"/>
            <w:vAlign w:val="bottom"/>
          </w:tcPr>
          <w:p>
            <w:pPr>
              <w:spacing w:after="0"/>
              <w:rPr>
                <w:sz w:val="1"/>
                <w:szCs w:val="1"/>
                <w:color w:val="auto"/>
              </w:rPr>
            </w:pPr>
          </w:p>
        </w:tc>
      </w:tr>
      <w:tr>
        <w:trPr>
          <w:trHeight w:val="224"/>
        </w:trPr>
        <w:tc>
          <w:tcPr>
            <w:tcW w:w="430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9"/>
              </w:rPr>
              <w:t>2019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0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20,095</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18,402</w:t>
            </w:r>
          </w:p>
        </w:tc>
        <w:tc>
          <w:tcPr>
            <w:tcW w:w="140" w:type="dxa"/>
            <w:vAlign w:val="bottom"/>
          </w:tcPr>
          <w:p>
            <w:pPr>
              <w:spacing w:after="0"/>
              <w:rPr>
                <w:sz w:val="19"/>
                <w:szCs w:val="19"/>
                <w:color w:val="auto"/>
              </w:rPr>
            </w:pPr>
          </w:p>
        </w:tc>
        <w:tc>
          <w:tcPr>
            <w:tcW w:w="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Less: distributed earnings allocated to</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participating securities</w:t>
            </w: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2"/>
        </w:trPr>
        <w:tc>
          <w:tcPr>
            <w:tcW w:w="4300" w:type="dxa"/>
            <w:vAlign w:val="bottom"/>
          </w:tcPr>
          <w:p>
            <w:pPr>
              <w:spacing w:after="0"/>
              <w:rPr>
                <w:sz w:val="20"/>
                <w:szCs w:val="20"/>
                <w:color w:val="auto"/>
              </w:rPr>
            </w:pPr>
            <w:r>
              <w:rPr>
                <w:rFonts w:ascii="Arial" w:cs="Arial" w:eastAsia="Arial" w:hAnsi="Arial"/>
                <w:sz w:val="18"/>
                <w:szCs w:val="18"/>
                <w:color w:val="auto"/>
              </w:rPr>
              <w:t>Less: undistributed earnings allocated to</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120"/>
              <w:spacing w:after="0"/>
              <w:rPr>
                <w:sz w:val="20"/>
                <w:szCs w:val="20"/>
                <w:color w:val="auto"/>
              </w:rPr>
            </w:pPr>
            <w:r>
              <w:rPr>
                <w:rFonts w:ascii="Arial" w:cs="Arial" w:eastAsia="Arial" w:hAnsi="Arial"/>
                <w:sz w:val="18"/>
                <w:szCs w:val="18"/>
                <w:color w:val="auto"/>
              </w:rPr>
              <w:t>participating securities</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43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earnings available to common shareholders</w:t>
            </w:r>
          </w:p>
        </w:tc>
        <w:tc>
          <w:tcPr>
            <w:tcW w:w="9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00" w:type="dxa"/>
            <w:vAlign w:val="bottom"/>
            <w:vMerge w:val="continue"/>
            <w:shd w:val="clear" w:color="auto" w:fill="CFF0FC"/>
          </w:tcPr>
          <w:p>
            <w:pPr>
              <w:spacing w:after="0"/>
              <w:rPr>
                <w:sz w:val="18"/>
                <w:szCs w:val="18"/>
                <w:color w:val="auto"/>
              </w:rPr>
            </w:pPr>
          </w:p>
        </w:tc>
        <w:tc>
          <w:tcPr>
            <w:tcW w:w="1160" w:type="dxa"/>
            <w:vAlign w:val="bottom"/>
            <w:gridSpan w:val="2"/>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19,942</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18,264</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9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0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120"/>
              <w:spacing w:after="0"/>
              <w:rPr>
                <w:sz w:val="20"/>
                <w:szCs w:val="20"/>
                <w:color w:val="auto"/>
              </w:rPr>
            </w:pPr>
            <w:r>
              <w:rPr>
                <w:rFonts w:ascii="Arial" w:cs="Arial" w:eastAsia="Arial" w:hAnsi="Arial"/>
                <w:sz w:val="18"/>
                <w:szCs w:val="18"/>
                <w:color w:val="auto"/>
              </w:rPr>
              <w:t>including participating securities</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11,146,270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11,113,810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9,272,964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Less: average unvested restricted shares</w:t>
            </w: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(84,879)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(83,369)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(93,000)</w:t>
            </w:r>
          </w:p>
        </w:tc>
        <w:tc>
          <w:tcPr>
            <w:tcW w:w="0" w:type="dxa"/>
            <w:vAlign w:val="bottom"/>
          </w:tcPr>
          <w:p>
            <w:pPr>
              <w:spacing w:after="0"/>
              <w:rPr>
                <w:sz w:val="1"/>
                <w:szCs w:val="1"/>
                <w:color w:val="auto"/>
              </w:rPr>
            </w:pPr>
          </w:p>
        </w:tc>
      </w:tr>
      <w:tr>
        <w:trPr>
          <w:trHeight w:val="257"/>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 average common shares outstanding</w:t>
            </w:r>
          </w:p>
        </w:tc>
        <w:tc>
          <w:tcPr>
            <w:tcW w:w="9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11,061,391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11,030,441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9,179,964</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Basic and diluted earnings per share</w:t>
            </w:r>
          </w:p>
        </w:tc>
        <w:tc>
          <w:tcPr>
            <w:tcW w:w="1160" w:type="dxa"/>
            <w:vAlign w:val="bottom"/>
            <w:gridSpan w:val="2"/>
            <w:shd w:val="clear" w:color="auto" w:fill="CFF0FC"/>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1.80</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1.66</w:t>
            </w:r>
          </w:p>
        </w:tc>
        <w:tc>
          <w:tcPr>
            <w:tcW w:w="14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1.61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 Party Transactions</w:t>
      </w:r>
    </w:p>
    <w:p>
      <w:pPr>
        <w:spacing w:after="0" w:line="115" w:lineRule="exact"/>
        <w:rPr>
          <w:sz w:val="20"/>
          <w:szCs w:val="20"/>
          <w:color w:val="auto"/>
        </w:rPr>
      </w:pPr>
    </w:p>
    <w:p>
      <w:pPr>
        <w:jc w:val="both"/>
        <w:ind w:left="800"/>
        <w:spacing w:after="0" w:line="287" w:lineRule="auto"/>
        <w:rPr>
          <w:sz w:val="20"/>
          <w:szCs w:val="20"/>
          <w:color w:val="auto"/>
        </w:rPr>
      </w:pPr>
      <w:r>
        <w:rPr>
          <w:rFonts w:ascii="Arial" w:cs="Arial" w:eastAsia="Arial" w:hAnsi="Arial"/>
          <w:sz w:val="16"/>
          <w:szCs w:val="16"/>
          <w:color w:val="auto"/>
        </w:rPr>
        <w:t>In the ordinary course of business, the Bank has granted loans to senior officers and directors and their affiliated companies amounting to $1.4 million and $1.3 million at December 31, 2020 and 2019, respectively. One new loan was approved during 2020 of which no additional borrowings were utilized. During 2020, subsequent advances totaled $9.4 million and payments of $9.3 million were received. The difference in related borrowings amounted to $124 thousand, net increase. Deposits of directors, executive officers and companies in which they have a direct or indirect ownership as of December 31, 2020 and 2019, amounted to $38.3 million and $33.7 million, respectively.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Off Balance Sheet Activities</w:t>
      </w:r>
    </w:p>
    <w:p>
      <w:pPr>
        <w:spacing w:after="0" w:line="10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Credit Related Financial Instruments</w:t>
      </w:r>
    </w:p>
    <w:p>
      <w:pPr>
        <w:spacing w:after="0" w:line="115"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The Bank is a party to credit related financial instruments with off-balance-sheet risk in the normal course of business to meet the financing need of its customers. These financial instruments include commitments to extend credit, Standby Letters of Credit, and Commercial Letters of Credit. Such commitments involve, to varying degrees, elements of credit and interest rate risk in excess of the amount recognized in the consolidated balance sheets.</w:t>
      </w:r>
    </w:p>
    <w:p>
      <w:pPr>
        <w:spacing w:after="0" w:line="86" w:lineRule="exact"/>
        <w:rPr>
          <w:sz w:val="20"/>
          <w:szCs w:val="20"/>
          <w:color w:val="auto"/>
        </w:rPr>
      </w:pPr>
    </w:p>
    <w:p>
      <w:pPr>
        <w:jc w:val="both"/>
        <w:ind w:left="800"/>
        <w:spacing w:after="0" w:line="300" w:lineRule="auto"/>
        <w:rPr>
          <w:sz w:val="20"/>
          <w:szCs w:val="20"/>
          <w:color w:val="auto"/>
        </w:rPr>
      </w:pPr>
      <w:r>
        <w:rPr>
          <w:rFonts w:ascii="Arial" w:cs="Arial" w:eastAsia="Arial" w:hAnsi="Arial"/>
          <w:sz w:val="16"/>
          <w:szCs w:val="16"/>
          <w:color w:val="auto"/>
        </w:rPr>
        <w:t>The Bank's exposure to credit loss is represented by the contractual amount of these commitments. The Bank follows the same credit policies in making commitments as it does for on-balance-sheet instruments. The allowance for credit losses as it relates to unfunded loan commitments (AULC) is included under other liabilities. The AULC as of December 31, 2020 and 2019 was $641 thousand and $479 thousand, respectively.</w:t>
      </w:r>
    </w:p>
    <w:p>
      <w:pPr>
        <w:spacing w:after="0" w:line="4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At December 31, 2020 and 2019, the following financial instruments were outstanding whose contract amounts represent credit risk:</w:t>
      </w:r>
    </w:p>
    <w:p>
      <w:pPr>
        <w:spacing w:after="0" w:line="251"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5"/>
          </w:tcPr>
          <w:p>
            <w:pPr>
              <w:ind w:left="440"/>
              <w:spacing w:after="0"/>
              <w:rPr>
                <w:sz w:val="20"/>
                <w:szCs w:val="20"/>
                <w:color w:val="auto"/>
              </w:rPr>
            </w:pPr>
            <w:r>
              <w:rPr>
                <w:rFonts w:ascii="Arial" w:cs="Arial" w:eastAsia="Arial" w:hAnsi="Arial"/>
                <w:sz w:val="18"/>
                <w:szCs w:val="18"/>
                <w:color w:val="auto"/>
              </w:rPr>
              <w:t>(In Thousands)</w:t>
            </w:r>
          </w:p>
        </w:tc>
      </w:tr>
      <w:tr>
        <w:trPr>
          <w:trHeight w:val="217"/>
        </w:trPr>
        <w:tc>
          <w:tcPr>
            <w:tcW w:w="538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FF0FC"/>
            </w:tcBorders>
          </w:tcPr>
          <w:p>
            <w:pPr>
              <w:spacing w:after="0"/>
              <w:rPr>
                <w:sz w:val="18"/>
                <w:szCs w:val="18"/>
                <w:color w:val="auto"/>
              </w:rPr>
            </w:pPr>
          </w:p>
        </w:tc>
      </w:tr>
      <w:tr>
        <w:trPr>
          <w:trHeight w:val="21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extend credit</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456,299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394,437</w:t>
            </w:r>
          </w:p>
        </w:tc>
        <w:tc>
          <w:tcPr>
            <w:tcW w:w="80" w:type="dxa"/>
            <w:vAlign w:val="bottom"/>
            <w:shd w:val="clear" w:color="auto" w:fill="CFF0FC"/>
          </w:tcPr>
          <w:p>
            <w:pPr>
              <w:spacing w:after="0"/>
              <w:rPr>
                <w:sz w:val="18"/>
                <w:szCs w:val="18"/>
                <w:color w:val="auto"/>
              </w:rPr>
            </w:pP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Credit card arrangements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22,903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20,695</w:t>
            </w:r>
          </w:p>
        </w:tc>
        <w:tc>
          <w:tcPr>
            <w:tcW w:w="80" w:type="dxa"/>
            <w:vAlign w:val="bottom"/>
          </w:tcPr>
          <w:p>
            <w:pPr>
              <w:spacing w:after="0"/>
              <w:rPr>
                <w:sz w:val="19"/>
                <w:szCs w:val="19"/>
                <w:color w:val="auto"/>
              </w:rPr>
            </w:pPr>
          </w:p>
        </w:tc>
      </w:tr>
      <w:tr>
        <w:trPr>
          <w:trHeight w:val="224"/>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Standby letters of credit</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8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jc w:val="both"/>
        <w:ind w:left="800"/>
        <w:spacing w:after="0" w:line="291" w:lineRule="auto"/>
        <w:rPr>
          <w:sz w:val="20"/>
          <w:szCs w:val="20"/>
          <w:color w:val="auto"/>
        </w:rPr>
      </w:pPr>
      <w:r>
        <w:rPr>
          <w:rFonts w:ascii="Arial" w:cs="Arial" w:eastAsia="Arial" w:hAnsi="Arial"/>
          <w:sz w:val="16"/>
          <w:szCs w:val="16"/>
          <w:color w:val="auto"/>
        </w:rPr>
        <w:t>Commitments to extend credit, credit card arrangements and Standby Letters of Credit all include exposure to some credit loss in the event of nonperformance of the customer. The Bank’s credit policies and procedures for credit commitments and financial guarantees are the same as those for extensions of credit that are recorded in the financial statements. Due to the fact that these instruments have fixed maturity dates, and because many of them expire without being drawn upon, they generally do not present any significant liquidity risk to the Bank.</w:t>
      </w:r>
    </w:p>
    <w:p>
      <w:pPr>
        <w:spacing w:after="0" w:line="26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Collateral Requirements</w:t>
      </w:r>
    </w:p>
    <w:p>
      <w:pPr>
        <w:spacing w:after="0" w:line="115"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To reduce credit risk related to the use of credit-related financial instruments, the Bank might deem it necessary to obtain collateral. The amount and nature of the collateral obtained is based on the Bank's credit evaluation of the customer. Collateral held varies but may include cash, securities, accounts receivable, inventory, property, plant, and real estate.</w:t>
      </w:r>
    </w:p>
    <w:p>
      <w:pPr>
        <w:spacing w:after="0" w:line="28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Legal Contingencies</w:t>
      </w:r>
    </w:p>
    <w:p>
      <w:pPr>
        <w:spacing w:after="0" w:line="115"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Various legal claims also arise from time to time in the normal course of business, which, in the opinion of management, will have no material effect on the Company’s consolidated financial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Minimum Regulatory Capital Requirements</w:t>
      </w:r>
    </w:p>
    <w:p>
      <w:pPr>
        <w:spacing w:after="0" w:line="115" w:lineRule="exact"/>
        <w:rPr>
          <w:sz w:val="20"/>
          <w:szCs w:val="20"/>
          <w:color w:val="auto"/>
        </w:rPr>
      </w:pPr>
    </w:p>
    <w:p>
      <w:pPr>
        <w:jc w:val="both"/>
        <w:ind w:left="800"/>
        <w:spacing w:after="0" w:line="248" w:lineRule="auto"/>
        <w:rPr>
          <w:sz w:val="20"/>
          <w:szCs w:val="20"/>
          <w:color w:val="auto"/>
        </w:rPr>
      </w:pPr>
      <w:r>
        <w:rPr>
          <w:rFonts w:ascii="Arial" w:cs="Arial" w:eastAsia="Arial" w:hAnsi="Arial"/>
          <w:sz w:val="18"/>
          <w:szCs w:val="18"/>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financial statements. Under capital adequacy guidelines and the regulatory framework for prompt corrective action, the Bank must meet specific capital guidelines that involve quantitative measures of their assets, liabilities and certain off balance-sheet items as calculated under regulatory accounting practices.</w:t>
      </w:r>
    </w:p>
    <w:p>
      <w:pPr>
        <w:spacing w:after="0" w:line="90"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The capital amounts and classification are also subject to qualitative judgments by the regulators about components, risk weightings, and other factors. Prompt corrective action provisions are not applicable to bank holding companies.</w:t>
      </w:r>
    </w:p>
    <w:p>
      <w:pPr>
        <w:spacing w:after="0" w:line="75"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Quantitative measures established by the Basel III Capital Rules, the comprehensive capital framework for U.S. banking organizations, to ensure capital adequacy require the maintenance of minimum amounts and ratios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Minimum Regulatory Capital Requirements (Continued)</w:t>
      </w:r>
    </w:p>
    <w:p>
      <w:pPr>
        <w:spacing w:after="0" w:line="203"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(set forth in the table below) of Common Equity Tier 1 capital, Tier 1 capital and Total capital (as defined in the regulations) to risk-weighted assets (as defined), and of Tier 1 capital to adjusted quarterly average assets (as defined).</w:t>
      </w:r>
    </w:p>
    <w:p>
      <w:pPr>
        <w:spacing w:after="0" w:line="75"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In connection with the adoption of the Basel III Capital Rules, we elected to opt-out of the requirement to include most components of accumulated other comprehensive income in Common Equity Tier 1.</w:t>
      </w:r>
    </w:p>
    <w:p>
      <w:pPr>
        <w:spacing w:after="0" w:line="75" w:lineRule="exact"/>
        <w:rPr>
          <w:sz w:val="20"/>
          <w:szCs w:val="20"/>
          <w:color w:val="auto"/>
        </w:rPr>
      </w:pPr>
    </w:p>
    <w:p>
      <w:pPr>
        <w:jc w:val="both"/>
        <w:ind w:left="800" w:right="20"/>
        <w:spacing w:after="0" w:line="262" w:lineRule="auto"/>
        <w:rPr>
          <w:sz w:val="20"/>
          <w:szCs w:val="20"/>
          <w:color w:val="auto"/>
        </w:rPr>
      </w:pPr>
      <w:r>
        <w:rPr>
          <w:rFonts w:ascii="Arial" w:cs="Arial" w:eastAsia="Arial" w:hAnsi="Arial"/>
          <w:sz w:val="18"/>
          <w:szCs w:val="18"/>
          <w:color w:val="auto"/>
        </w:rPr>
        <w:t>Common Equity Tier 1 is reduced by goodwill and other intangible assets, net of associated deferred tax liabilities, and subject to transition provisions.</w:t>
      </w:r>
    </w:p>
    <w:p>
      <w:pPr>
        <w:spacing w:after="0" w:line="75" w:lineRule="exact"/>
        <w:rPr>
          <w:sz w:val="20"/>
          <w:szCs w:val="20"/>
          <w:color w:val="auto"/>
        </w:rPr>
      </w:pPr>
    </w:p>
    <w:p>
      <w:pPr>
        <w:jc w:val="both"/>
        <w:ind w:left="800"/>
        <w:spacing w:after="0" w:line="291" w:lineRule="auto"/>
        <w:rPr>
          <w:sz w:val="20"/>
          <w:szCs w:val="20"/>
          <w:color w:val="auto"/>
        </w:rPr>
      </w:pPr>
      <w:r>
        <w:rPr>
          <w:rFonts w:ascii="Arial" w:cs="Arial" w:eastAsia="Arial" w:hAnsi="Arial"/>
          <w:sz w:val="16"/>
          <w:szCs w:val="16"/>
          <w:color w:val="auto"/>
        </w:rPr>
        <w:t>The Common Equity Tier 1, Tier 1 and Total capital ratios are calculated by dividing the respective capital amounts by risk-weighted assets. Risk-weighted assets are calculated based on regulatory requirements and include total assets, with certain exclusions, allocated by risk weight category, and certain off-balance-sheet items, among other things. The leverage ratio is calculated by dividing Tier 1 capital by adjusted quarterly average total assets, which exclude goodwill and other intangible assets, among other things.</w:t>
      </w:r>
    </w:p>
    <w:p>
      <w:pPr>
        <w:spacing w:after="0" w:line="56" w:lineRule="exact"/>
        <w:rPr>
          <w:sz w:val="20"/>
          <w:szCs w:val="20"/>
          <w:color w:val="auto"/>
        </w:rPr>
      </w:pPr>
    </w:p>
    <w:p>
      <w:pPr>
        <w:jc w:val="both"/>
        <w:ind w:left="800"/>
        <w:spacing w:after="0" w:line="283" w:lineRule="auto"/>
        <w:rPr>
          <w:sz w:val="20"/>
          <w:szCs w:val="20"/>
          <w:color w:val="auto"/>
        </w:rPr>
      </w:pPr>
      <w:r>
        <w:rPr>
          <w:rFonts w:ascii="Arial" w:cs="Arial" w:eastAsia="Arial" w:hAnsi="Arial"/>
          <w:sz w:val="16"/>
          <w:szCs w:val="16"/>
          <w:color w:val="auto"/>
        </w:rPr>
        <w:t>The Basel III Capital Rules require the Bank to maintain (i) a minimum ratio of Common Equity Tier 1 capital to risk-weighted assets of at least 4.5%, plus a 2.5% “capital conservation buffer” (which is added to the 4.5% Common Equity Tier 1 capital ratio, effectively resulting in a minimum ratio of Common Equity Tier 1 capital to risk-weighted assets of at least 7.0%), (ii) a minimum ratio of Tier 1 capital to risk-weighted assets of at least 6.0%, plus the capital conservation buffer (which is added to the 6.0% Tier 1 capital ratio, effectively resulting in a minimum Tier 1 capital ratio of 8.5%), (iii) a minimum ratio of Total capital (that is, Tier 1 plus Tier 2) to risk-weighted assets of at least 8.0%, plus the capital conservation buffer (which is added to the 8.0% total capital ratio, effectively resulting in a minimum total capital ratio of 10.5%) and (iv) a minimum leverage ratio of 4.0%, calculated as the ratio of Tier 1 capital to average quarterly assets.</w:t>
      </w:r>
    </w:p>
    <w:p>
      <w:pPr>
        <w:spacing w:after="0" w:line="62"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The capital conservation buffer is designed to absorb losses during periods of economic stress and, as detailed above, effectively increases the minimum required risk-weighted capital ratios. Banking institutions with a ratio of Common Equity Tier 1 capital to risk-weighted assets below the effective minimum (4.5% plus the capital conservation buffer) will face constraints on dividends, equity repurchases and compensation based on the amount of the shortfall.</w:t>
      </w:r>
    </w:p>
    <w:p>
      <w:pPr>
        <w:spacing w:after="0" w:line="8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Management believes, as of December 31, 2020, that the Bank meets all the capital adequacy requirements to which it is subject.</w:t>
      </w:r>
    </w:p>
    <w:p>
      <w:pPr>
        <w:spacing w:after="0" w:line="109" w:lineRule="exact"/>
        <w:rPr>
          <w:sz w:val="20"/>
          <w:szCs w:val="20"/>
          <w:color w:val="auto"/>
        </w:rPr>
      </w:pPr>
    </w:p>
    <w:p>
      <w:pPr>
        <w:jc w:val="both"/>
        <w:ind w:left="800"/>
        <w:spacing w:after="0" w:line="291" w:lineRule="auto"/>
        <w:rPr>
          <w:sz w:val="20"/>
          <w:szCs w:val="20"/>
          <w:color w:val="auto"/>
        </w:rPr>
      </w:pPr>
      <w:r>
        <w:rPr>
          <w:rFonts w:ascii="Arial" w:cs="Arial" w:eastAsia="Arial" w:hAnsi="Arial"/>
          <w:sz w:val="16"/>
          <w:szCs w:val="16"/>
          <w:color w:val="auto"/>
        </w:rPr>
        <w:t>As of December 31, 2020, the most recent notification from the FDIC indicated the Bank was categorized as well capitalized under the regulatory framework for prompt corrective action. To remain categorized as well capitalized, the Bank will have to maintain minimum total risk-based, Tier I risk-based, Common Tier 1 and Tier I leverage ratios as disclosed in the table to follow. There are no conditions or events since the most recent notification that management believes have changed the Bank’s prompt corrective action category.</w:t>
      </w:r>
    </w:p>
    <w:p>
      <w:pPr>
        <w:spacing w:after="0" w:line="56"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The following tables present actual and required capital ratios as of December 31, 2020 and December 31, 2019 under the Basel III Capital Rules. The minimum required capital amounts presented include the minimum required capital levels as of December 31, 2020 and December 31, 2019. Capital levels required to be considered well capitalized are based upon prompt corrective action regulations, as amended to reflect the changes under the Basel III Capital Rules.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Minimum Regulatory Capital Requirements (Continued)</w:t>
      </w:r>
    </w:p>
    <w:p>
      <w:pPr>
        <w:spacing w:after="0" w:line="30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Bank’s actual and required capital amounts and ratios as of December 31, 2020 and December 31, 2019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Required to be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Minimum Capital</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Considered</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1"/>
              </w:rPr>
              <w:t>Actual</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7"/>
              </w:rPr>
              <w:t>Required</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0"/>
              </w:rPr>
              <w:t>Well-Capitalized</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7"/>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(000's)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(000's)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(000's)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4"/>
        </w:trPr>
        <w:tc>
          <w:tcPr>
            <w:tcW w:w="3540" w:type="dxa"/>
            <w:vAlign w:val="bottom"/>
          </w:tcPr>
          <w:p>
            <w:pPr>
              <w:spacing w:after="0"/>
              <w:rPr>
                <w:sz w:val="20"/>
                <w:szCs w:val="20"/>
                <w:color w:val="auto"/>
              </w:rPr>
            </w:pPr>
            <w:r>
              <w:rPr>
                <w:rFonts w:ascii="Arial" w:cs="Arial" w:eastAsia="Arial" w:hAnsi="Arial"/>
                <w:sz w:val="18"/>
                <w:szCs w:val="18"/>
                <w:color w:val="auto"/>
              </w:rPr>
              <w:t>As of December 31, 2020</w:t>
            </w:r>
          </w:p>
        </w:tc>
        <w:tc>
          <w:tcPr>
            <w:tcW w:w="100" w:type="dxa"/>
            <w:vAlign w:val="bottom"/>
          </w:tcPr>
          <w:p>
            <w:pPr>
              <w:spacing w:after="0"/>
              <w:rPr>
                <w:sz w:val="19"/>
                <w:szCs w:val="19"/>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Amount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Ratio</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Amount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Ratio</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Amount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Ratio</w:t>
            </w:r>
          </w:p>
        </w:tc>
      </w:tr>
      <w:tr>
        <w:trPr>
          <w:trHeight w:val="205"/>
        </w:trPr>
        <w:tc>
          <w:tcPr>
            <w:tcW w:w="354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Common Equity Tier 1 Capital (to</w:t>
            </w: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r>
      <w:tr>
        <w:trPr>
          <w:trHeight w:val="223"/>
        </w:trPr>
        <w:tc>
          <w:tcPr>
            <w:tcW w:w="3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Risk Weighted Assets)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164,322</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63,542</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4.50%</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91,783</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6.50%</w:t>
            </w:r>
          </w:p>
        </w:tc>
      </w:tr>
      <w:tr>
        <w:trPr>
          <w:trHeight w:val="212"/>
        </w:trPr>
        <w:tc>
          <w:tcPr>
            <w:tcW w:w="3540" w:type="dxa"/>
            <w:vAlign w:val="bottom"/>
          </w:tcPr>
          <w:p>
            <w:pPr>
              <w:spacing w:after="0"/>
              <w:rPr>
                <w:sz w:val="20"/>
                <w:szCs w:val="20"/>
                <w:color w:val="auto"/>
              </w:rPr>
            </w:pPr>
            <w:r>
              <w:rPr>
                <w:rFonts w:ascii="Arial" w:cs="Arial" w:eastAsia="Arial" w:hAnsi="Arial"/>
                <w:sz w:val="18"/>
                <w:szCs w:val="18"/>
                <w:color w:val="auto"/>
              </w:rPr>
              <w:t>Total Risk-Based Capital (to Risk</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540" w:type="dxa"/>
            <w:vAlign w:val="bottom"/>
          </w:tcPr>
          <w:p>
            <w:pPr>
              <w:ind w:left="140"/>
              <w:spacing w:after="0"/>
              <w:rPr>
                <w:sz w:val="20"/>
                <w:szCs w:val="20"/>
                <w:color w:val="auto"/>
              </w:rPr>
            </w:pPr>
            <w:r>
              <w:rPr>
                <w:rFonts w:ascii="Arial" w:cs="Arial" w:eastAsia="Arial" w:hAnsi="Arial"/>
                <w:sz w:val="18"/>
                <w:szCs w:val="18"/>
                <w:color w:val="auto"/>
              </w:rPr>
              <w:t>Weighted Assets)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178,635</w:t>
            </w: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113,032</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141,290</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2"/>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Tier 1 Capital (to Risk Weighted</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23"/>
        </w:trPr>
        <w:tc>
          <w:tcPr>
            <w:tcW w:w="3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164,322</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84,774</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113,032</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8.00%</w:t>
            </w:r>
          </w:p>
        </w:tc>
      </w:tr>
      <w:tr>
        <w:trPr>
          <w:trHeight w:val="212"/>
        </w:trPr>
        <w:tc>
          <w:tcPr>
            <w:tcW w:w="3540" w:type="dxa"/>
            <w:vAlign w:val="bottom"/>
          </w:tcPr>
          <w:p>
            <w:pPr>
              <w:spacing w:after="0"/>
              <w:rPr>
                <w:sz w:val="20"/>
                <w:szCs w:val="20"/>
                <w:color w:val="auto"/>
              </w:rPr>
            </w:pPr>
            <w:r>
              <w:rPr>
                <w:rFonts w:ascii="Arial" w:cs="Arial" w:eastAsia="Arial" w:hAnsi="Arial"/>
                <w:sz w:val="18"/>
                <w:szCs w:val="18"/>
                <w:color w:val="auto"/>
              </w:rPr>
              <w:t>Tier 1 Leverage Capital (to</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540" w:type="dxa"/>
            <w:vAlign w:val="bottom"/>
          </w:tcPr>
          <w:p>
            <w:pPr>
              <w:ind w:left="140"/>
              <w:spacing w:after="0"/>
              <w:rPr>
                <w:sz w:val="20"/>
                <w:szCs w:val="20"/>
                <w:color w:val="auto"/>
              </w:rPr>
            </w:pPr>
            <w:r>
              <w:rPr>
                <w:rFonts w:ascii="Arial" w:cs="Arial" w:eastAsia="Arial" w:hAnsi="Arial"/>
                <w:sz w:val="18"/>
                <w:szCs w:val="18"/>
                <w:color w:val="auto"/>
              </w:rPr>
              <w:t>Adjusted Total Assets)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164,322</w:t>
            </w: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72,419</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90,524</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634"/>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Required to be</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1"/>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Minimum Capital</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Considered</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1"/>
              </w:rPr>
              <w:t>Actual</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7"/>
              </w:rPr>
              <w:t>Required</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0"/>
              </w:rPr>
              <w:t>Well-Capitalized</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7"/>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(000's)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(000's)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(000's)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4"/>
        </w:trPr>
        <w:tc>
          <w:tcPr>
            <w:tcW w:w="3540" w:type="dxa"/>
            <w:vAlign w:val="bottom"/>
          </w:tcPr>
          <w:p>
            <w:pPr>
              <w:spacing w:after="0"/>
              <w:rPr>
                <w:sz w:val="20"/>
                <w:szCs w:val="20"/>
                <w:color w:val="auto"/>
              </w:rPr>
            </w:pPr>
            <w:r>
              <w:rPr>
                <w:rFonts w:ascii="Arial" w:cs="Arial" w:eastAsia="Arial" w:hAnsi="Arial"/>
                <w:sz w:val="18"/>
                <w:szCs w:val="18"/>
                <w:color w:val="auto"/>
              </w:rPr>
              <w:t>As of December 31, 2019</w:t>
            </w:r>
          </w:p>
        </w:tc>
        <w:tc>
          <w:tcPr>
            <w:tcW w:w="100" w:type="dxa"/>
            <w:vAlign w:val="bottom"/>
          </w:tcPr>
          <w:p>
            <w:pPr>
              <w:spacing w:after="0"/>
              <w:rPr>
                <w:sz w:val="19"/>
                <w:szCs w:val="19"/>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Amount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Ratio</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Amount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Ratio</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Amount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Ratio</w:t>
            </w:r>
          </w:p>
        </w:tc>
      </w:tr>
      <w:tr>
        <w:trPr>
          <w:trHeight w:val="205"/>
        </w:trPr>
        <w:tc>
          <w:tcPr>
            <w:tcW w:w="354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Common Equity Tier 1 Capital (to</w:t>
            </w: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r>
      <w:tr>
        <w:trPr>
          <w:trHeight w:val="223"/>
        </w:trPr>
        <w:tc>
          <w:tcPr>
            <w:tcW w:w="3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Risk Weighted Assets)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152,855</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11.71%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58,725</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4.50%</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84,825</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6.50%</w:t>
            </w:r>
          </w:p>
        </w:tc>
      </w:tr>
      <w:tr>
        <w:trPr>
          <w:trHeight w:val="212"/>
        </w:trPr>
        <w:tc>
          <w:tcPr>
            <w:tcW w:w="3540" w:type="dxa"/>
            <w:vAlign w:val="bottom"/>
          </w:tcPr>
          <w:p>
            <w:pPr>
              <w:spacing w:after="0"/>
              <w:rPr>
                <w:sz w:val="20"/>
                <w:szCs w:val="20"/>
                <w:color w:val="auto"/>
              </w:rPr>
            </w:pPr>
            <w:r>
              <w:rPr>
                <w:rFonts w:ascii="Arial" w:cs="Arial" w:eastAsia="Arial" w:hAnsi="Arial"/>
                <w:sz w:val="18"/>
                <w:szCs w:val="18"/>
                <w:color w:val="auto"/>
              </w:rPr>
              <w:t>Total Risk-Based Capital (to Risk</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540" w:type="dxa"/>
            <w:vAlign w:val="bottom"/>
          </w:tcPr>
          <w:p>
            <w:pPr>
              <w:ind w:left="140"/>
              <w:spacing w:after="0"/>
              <w:rPr>
                <w:sz w:val="20"/>
                <w:szCs w:val="20"/>
                <w:color w:val="auto"/>
              </w:rPr>
            </w:pPr>
            <w:r>
              <w:rPr>
                <w:rFonts w:ascii="Arial" w:cs="Arial" w:eastAsia="Arial" w:hAnsi="Arial"/>
                <w:sz w:val="18"/>
                <w:szCs w:val="18"/>
                <w:color w:val="auto"/>
              </w:rPr>
              <w:t>Weighted Assets)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160,562</w:t>
            </w: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104,400</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130,500</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2"/>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Tier 1 Capital (to Risk Weighted</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23"/>
        </w:trPr>
        <w:tc>
          <w:tcPr>
            <w:tcW w:w="3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152,855</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11.71%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78,300</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104,400</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8.00%</w:t>
            </w:r>
          </w:p>
        </w:tc>
      </w:tr>
      <w:tr>
        <w:trPr>
          <w:trHeight w:val="212"/>
        </w:trPr>
        <w:tc>
          <w:tcPr>
            <w:tcW w:w="3540" w:type="dxa"/>
            <w:vAlign w:val="bottom"/>
          </w:tcPr>
          <w:p>
            <w:pPr>
              <w:spacing w:after="0"/>
              <w:rPr>
                <w:sz w:val="20"/>
                <w:szCs w:val="20"/>
                <w:color w:val="auto"/>
              </w:rPr>
            </w:pPr>
            <w:r>
              <w:rPr>
                <w:rFonts w:ascii="Arial" w:cs="Arial" w:eastAsia="Arial" w:hAnsi="Arial"/>
                <w:sz w:val="18"/>
                <w:szCs w:val="18"/>
                <w:color w:val="auto"/>
              </w:rPr>
              <w:t>Tier 1 Leverage Capital (to</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540" w:type="dxa"/>
            <w:vAlign w:val="bottom"/>
          </w:tcPr>
          <w:p>
            <w:pPr>
              <w:ind w:left="140"/>
              <w:spacing w:after="0"/>
              <w:rPr>
                <w:sz w:val="20"/>
                <w:szCs w:val="20"/>
                <w:color w:val="auto"/>
              </w:rPr>
            </w:pPr>
            <w:r>
              <w:rPr>
                <w:rFonts w:ascii="Arial" w:cs="Arial" w:eastAsia="Arial" w:hAnsi="Arial"/>
                <w:sz w:val="18"/>
                <w:szCs w:val="18"/>
                <w:color w:val="auto"/>
              </w:rPr>
              <w:t>Adjusted Total Assets)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152,855</w:t>
            </w: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61,050</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76,312</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19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above tables exclude the capital conservation buffer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Restrictions of Dividends &amp; Inter-company Borrowings</w:t>
      </w:r>
    </w:p>
    <w:p>
      <w:pPr>
        <w:spacing w:after="0" w:line="115" w:lineRule="exact"/>
        <w:rPr>
          <w:sz w:val="20"/>
          <w:szCs w:val="20"/>
          <w:color w:val="auto"/>
        </w:rPr>
      </w:pPr>
    </w:p>
    <w:p>
      <w:pPr>
        <w:jc w:val="both"/>
        <w:ind w:left="800"/>
        <w:spacing w:after="0" w:line="247" w:lineRule="auto"/>
        <w:rPr>
          <w:sz w:val="20"/>
          <w:szCs w:val="20"/>
          <w:color w:val="auto"/>
        </w:rPr>
      </w:pPr>
      <w:r>
        <w:rPr>
          <w:rFonts w:ascii="Arial" w:cs="Arial" w:eastAsia="Arial" w:hAnsi="Arial"/>
          <w:sz w:val="18"/>
          <w:szCs w:val="18"/>
          <w:color w:val="auto"/>
        </w:rPr>
        <w:t>The Bank is restricted as to the amount of dividends that can be paid. Dividends declared by the Bank that exceed the net income for the current year plus retained income for the preceding two years must be approved by federal and state regulatory agencies. Under this formula, dividends of $24.5 million may be paid without prior regulatory approval. Regardless of formal regulatory restrictions, the Bank may not pay dividends that would result in its capital levels being reduced below the minimum requirements shown above. Under current Federal Reserve regulations, the Bank is limited as to the amount and type of loans it may make to the Company. These loans are subject to qualifying collateral requirements on which the amount of the loan may be based.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w:t>
      </w:r>
    </w:p>
    <w:p>
      <w:pPr>
        <w:spacing w:after="0" w:line="115" w:lineRule="exact"/>
        <w:rPr>
          <w:sz w:val="20"/>
          <w:szCs w:val="20"/>
          <w:color w:val="auto"/>
        </w:rPr>
      </w:pPr>
    </w:p>
    <w:p>
      <w:pPr>
        <w:jc w:val="both"/>
        <w:ind w:left="800"/>
        <w:spacing w:after="0" w:line="248" w:lineRule="auto"/>
        <w:rPr>
          <w:sz w:val="20"/>
          <w:szCs w:val="20"/>
          <w:color w:val="auto"/>
        </w:rPr>
      </w:pPr>
      <w:r>
        <w:rPr>
          <w:rFonts w:ascii="Arial" w:cs="Arial" w:eastAsia="Arial" w:hAnsi="Arial"/>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200" w:lineRule="exact"/>
        <w:rPr>
          <w:sz w:val="20"/>
          <w:szCs w:val="20"/>
          <w:color w:val="auto"/>
        </w:rPr>
      </w:pPr>
    </w:p>
    <w:p>
      <w:pPr>
        <w:spacing w:after="0" w:line="258"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December 31, 2020 and 2019, are reflected below. The aggregate fair values in the table below do not represent the total market value of the Bank’s assets and liabilities. The table excludes the following: Bank Premises and Equipment, Goodwill, Mortgage Servicing Rights, Other Real Estate Owned, Other Assets, Other Liabilities and Accrued Expenses.</w:t>
      </w:r>
    </w:p>
    <w:p>
      <w:pPr>
        <w:spacing w:after="0" w:line="20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35495" cy="4483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5495" cy="44837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December 31, 2020</w:t>
            </w: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17"/>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Carrying</w:t>
            </w:r>
          </w:p>
        </w:tc>
        <w:tc>
          <w:tcPr>
            <w:tcW w:w="10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4"/>
        </w:trPr>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Value</w:t>
            </w:r>
          </w:p>
        </w:tc>
        <w:tc>
          <w:tcPr>
            <w:tcW w:w="880" w:type="dxa"/>
            <w:vAlign w:val="bottom"/>
            <w:gridSpan w:val="3"/>
          </w:tcPr>
          <w:p>
            <w:pPr>
              <w:ind w:left="80"/>
              <w:spacing w:after="0"/>
              <w:rPr>
                <w:sz w:val="20"/>
                <w:szCs w:val="20"/>
                <w:color w:val="auto"/>
              </w:rPr>
            </w:pPr>
            <w:r>
              <w:rPr>
                <w:rFonts w:ascii="Arial" w:cs="Arial" w:eastAsia="Arial" w:hAnsi="Arial"/>
                <w:sz w:val="18"/>
                <w:szCs w:val="18"/>
                <w:color w:val="auto"/>
              </w:rPr>
              <w:t>Level 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w w:val="92"/>
              </w:rPr>
              <w:t>Level 3</w:t>
            </w:r>
          </w:p>
        </w:tc>
      </w:tr>
      <w:tr>
        <w:trPr>
          <w:trHeight w:val="217"/>
        </w:trPr>
        <w:tc>
          <w:tcPr>
            <w:tcW w:w="1720" w:type="dxa"/>
            <w:vAlign w:val="bottom"/>
          </w:tcPr>
          <w:p>
            <w:pPr>
              <w:spacing w:after="0"/>
              <w:rPr>
                <w:sz w:val="20"/>
                <w:szCs w:val="20"/>
                <w:color w:val="auto"/>
              </w:rPr>
            </w:pPr>
            <w:r>
              <w:rPr>
                <w:rFonts w:ascii="Arial" w:cs="Arial" w:eastAsia="Arial" w:hAnsi="Arial"/>
                <w:sz w:val="18"/>
                <w:szCs w:val="18"/>
                <w:color w:val="auto"/>
              </w:rPr>
              <w:t>Financial Assets:</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12"/>
        </w:trPr>
        <w:tc>
          <w:tcPr>
            <w:tcW w:w="1720" w:type="dxa"/>
            <w:vAlign w:val="bottom"/>
          </w:tcPr>
          <w:p>
            <w:pPr>
              <w:ind w:left="240"/>
              <w:spacing w:after="0"/>
              <w:rPr>
                <w:sz w:val="20"/>
                <w:szCs w:val="20"/>
                <w:color w:val="auto"/>
              </w:rPr>
            </w:pPr>
            <w:r>
              <w:rPr>
                <w:rFonts w:ascii="Arial" w:cs="Arial" w:eastAsia="Arial" w:hAnsi="Arial"/>
                <w:sz w:val="18"/>
                <w:szCs w:val="18"/>
                <w:color w:val="auto"/>
              </w:rPr>
              <w:t>Cash and cash</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1720" w:type="dxa"/>
            <w:vAlign w:val="bottom"/>
          </w:tcPr>
          <w:p>
            <w:pPr>
              <w:ind w:left="240"/>
              <w:spacing w:after="0"/>
              <w:rPr>
                <w:sz w:val="20"/>
                <w:szCs w:val="20"/>
                <w:color w:val="auto"/>
              </w:rPr>
            </w:pPr>
            <w:r>
              <w:rPr>
                <w:rFonts w:ascii="Arial" w:cs="Arial" w:eastAsia="Arial" w:hAnsi="Arial"/>
                <w:sz w:val="18"/>
                <w:szCs w:val="18"/>
                <w:color w:val="auto"/>
              </w:rPr>
              <w:t>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175,706</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175,706</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175,706</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2"/>
        </w:trPr>
        <w:tc>
          <w:tcPr>
            <w:tcW w:w="1720" w:type="dxa"/>
            <w:vAlign w:val="bottom"/>
          </w:tcPr>
          <w:p>
            <w:pPr>
              <w:ind w:left="240"/>
              <w:spacing w:after="0"/>
              <w:rPr>
                <w:sz w:val="20"/>
                <w:szCs w:val="20"/>
                <w:color w:val="auto"/>
              </w:rPr>
            </w:pPr>
            <w:r>
              <w:rPr>
                <w:rFonts w:ascii="Arial" w:cs="Arial" w:eastAsia="Arial" w:hAnsi="Arial"/>
                <w:sz w:val="18"/>
                <w:szCs w:val="18"/>
                <w:color w:val="auto"/>
              </w:rPr>
              <w:t>Interest-bearing</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1720" w:type="dxa"/>
            <w:vAlign w:val="bottom"/>
          </w:tcPr>
          <w:p>
            <w:pPr>
              <w:ind w:left="240"/>
              <w:spacing w:after="0"/>
              <w:rPr>
                <w:sz w:val="20"/>
                <w:szCs w:val="20"/>
                <w:color w:val="auto"/>
              </w:rPr>
            </w:pPr>
            <w:r>
              <w:rPr>
                <w:rFonts w:ascii="Arial" w:cs="Arial" w:eastAsia="Arial" w:hAnsi="Arial"/>
                <w:sz w:val="18"/>
                <w:szCs w:val="18"/>
                <w:color w:val="auto"/>
              </w:rPr>
              <w:t>time deposits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4,653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4,677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2"/>
        </w:trPr>
        <w:tc>
          <w:tcPr>
            <w:tcW w:w="1720" w:type="dxa"/>
            <w:vAlign w:val="bottom"/>
          </w:tcPr>
          <w:p>
            <w:pPr>
              <w:ind w:left="240"/>
              <w:spacing w:after="0"/>
              <w:rPr>
                <w:sz w:val="20"/>
                <w:szCs w:val="20"/>
                <w:color w:val="auto"/>
              </w:rPr>
            </w:pPr>
            <w:r>
              <w:rPr>
                <w:rFonts w:ascii="Arial" w:cs="Arial" w:eastAsia="Arial" w:hAnsi="Arial"/>
                <w:sz w:val="18"/>
                <w:szCs w:val="18"/>
                <w:color w:val="auto"/>
              </w:rPr>
              <w:t>Securities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1720" w:type="dxa"/>
            <w:vAlign w:val="bottom"/>
          </w:tcPr>
          <w:p>
            <w:pPr>
              <w:ind w:left="240"/>
              <w:spacing w:after="0"/>
              <w:rPr>
                <w:sz w:val="20"/>
                <w:szCs w:val="20"/>
                <w:color w:val="auto"/>
              </w:rPr>
            </w:pPr>
            <w:r>
              <w:rPr>
                <w:rFonts w:ascii="Arial" w:cs="Arial" w:eastAsia="Arial" w:hAnsi="Arial"/>
                <w:sz w:val="18"/>
                <w:szCs w:val="18"/>
                <w:color w:val="auto"/>
              </w:rPr>
              <w:t>available-for-sale</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307,812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307,812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306,250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1,562</w:t>
            </w:r>
          </w:p>
        </w:tc>
      </w:tr>
      <w:tr>
        <w:trPr>
          <w:trHeight w:val="224"/>
        </w:trPr>
        <w:tc>
          <w:tcPr>
            <w:tcW w:w="1720" w:type="dxa"/>
            <w:vAlign w:val="bottom"/>
          </w:tcPr>
          <w:p>
            <w:pPr>
              <w:ind w:left="240"/>
              <w:spacing w:after="0"/>
              <w:rPr>
                <w:sz w:val="20"/>
                <w:szCs w:val="20"/>
                <w:color w:val="auto"/>
              </w:rPr>
            </w:pPr>
            <w:r>
              <w:rPr>
                <w:rFonts w:ascii="Arial" w:cs="Arial" w:eastAsia="Arial" w:hAnsi="Arial"/>
                <w:sz w:val="18"/>
                <w:szCs w:val="18"/>
                <w:color w:val="auto"/>
              </w:rPr>
              <w:t>Other securities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5,939</w:t>
            </w:r>
          </w:p>
        </w:tc>
      </w:tr>
      <w:tr>
        <w:trPr>
          <w:trHeight w:val="224"/>
        </w:trPr>
        <w:tc>
          <w:tcPr>
            <w:tcW w:w="1720" w:type="dxa"/>
            <w:vAlign w:val="bottom"/>
          </w:tcPr>
          <w:p>
            <w:pPr>
              <w:ind w:left="240"/>
              <w:spacing w:after="0"/>
              <w:rPr>
                <w:sz w:val="20"/>
                <w:szCs w:val="20"/>
                <w:color w:val="auto"/>
              </w:rPr>
            </w:pPr>
            <w:r>
              <w:rPr>
                <w:rFonts w:ascii="Arial" w:cs="Arial" w:eastAsia="Arial" w:hAnsi="Arial"/>
                <w:sz w:val="18"/>
                <w:szCs w:val="18"/>
                <w:color w:val="auto"/>
                <w:w w:val="95"/>
              </w:rPr>
              <w:t>Loans held for sale</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7,740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7,740</w:t>
            </w:r>
          </w:p>
        </w:tc>
      </w:tr>
      <w:tr>
        <w:trPr>
          <w:trHeight w:val="224"/>
        </w:trPr>
        <w:tc>
          <w:tcPr>
            <w:tcW w:w="1720" w:type="dxa"/>
            <w:vAlign w:val="bottom"/>
          </w:tcPr>
          <w:p>
            <w:pPr>
              <w:ind w:left="240"/>
              <w:spacing w:after="0"/>
              <w:rPr>
                <w:sz w:val="20"/>
                <w:szCs w:val="20"/>
                <w:color w:val="auto"/>
              </w:rPr>
            </w:pPr>
            <w:r>
              <w:rPr>
                <w:rFonts w:ascii="Arial" w:cs="Arial" w:eastAsia="Arial" w:hAnsi="Arial"/>
                <w:sz w:val="18"/>
                <w:szCs w:val="18"/>
                <w:color w:val="auto"/>
              </w:rPr>
              <w:t>Loans, net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1,289,318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1,261,440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1,261,440</w:t>
            </w:r>
          </w:p>
        </w:tc>
      </w:tr>
      <w:tr>
        <w:trPr>
          <w:trHeight w:val="224"/>
        </w:trPr>
        <w:tc>
          <w:tcPr>
            <w:tcW w:w="1720" w:type="dxa"/>
            <w:vAlign w:val="bottom"/>
          </w:tcPr>
          <w:p>
            <w:pPr>
              <w:ind w:left="240"/>
              <w:spacing w:after="0"/>
              <w:rPr>
                <w:sz w:val="20"/>
                <w:szCs w:val="20"/>
                <w:color w:val="auto"/>
              </w:rPr>
            </w:pPr>
            <w:r>
              <w:rPr>
                <w:rFonts w:ascii="Arial" w:cs="Arial" w:eastAsia="Arial" w:hAnsi="Arial"/>
                <w:sz w:val="18"/>
                <w:szCs w:val="18"/>
                <w:color w:val="auto"/>
                <w:w w:val="99"/>
              </w:rPr>
              <w:t>Interest receivable</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6,188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6,188</w:t>
            </w:r>
          </w:p>
        </w:tc>
      </w:tr>
      <w:tr>
        <w:trPr>
          <w:trHeight w:val="448"/>
        </w:trPr>
        <w:tc>
          <w:tcPr>
            <w:tcW w:w="172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2"/>
        </w:trPr>
        <w:tc>
          <w:tcPr>
            <w:tcW w:w="1720" w:type="dxa"/>
            <w:vAlign w:val="bottom"/>
          </w:tcPr>
          <w:p>
            <w:pPr>
              <w:ind w:left="240"/>
              <w:spacing w:after="0"/>
              <w:rPr>
                <w:sz w:val="20"/>
                <w:szCs w:val="20"/>
                <w:color w:val="auto"/>
              </w:rPr>
            </w:pPr>
            <w:r>
              <w:rPr>
                <w:rFonts w:ascii="Arial" w:cs="Arial" w:eastAsia="Arial" w:hAnsi="Arial"/>
                <w:sz w:val="18"/>
                <w:szCs w:val="18"/>
                <w:color w:val="auto"/>
              </w:rPr>
              <w:t>Interest bearing</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1720" w:type="dxa"/>
            <w:vAlign w:val="bottom"/>
          </w:tcPr>
          <w:p>
            <w:pPr>
              <w:ind w:left="240"/>
              <w:spacing w:after="0"/>
              <w:rPr>
                <w:sz w:val="20"/>
                <w:szCs w:val="20"/>
                <w:color w:val="auto"/>
              </w:rPr>
            </w:pPr>
            <w:r>
              <w:rPr>
                <w:rFonts w:ascii="Arial" w:cs="Arial" w:eastAsia="Arial" w:hAnsi="Arial"/>
                <w:sz w:val="18"/>
                <w:szCs w:val="18"/>
                <w:color w:val="auto"/>
              </w:rPr>
              <w:t>deposits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997,462</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1,004,608</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1,004,608</w:t>
            </w:r>
          </w:p>
        </w:tc>
      </w:tr>
      <w:tr>
        <w:trPr>
          <w:trHeight w:val="212"/>
        </w:trPr>
        <w:tc>
          <w:tcPr>
            <w:tcW w:w="1720" w:type="dxa"/>
            <w:vAlign w:val="bottom"/>
          </w:tcPr>
          <w:p>
            <w:pPr>
              <w:ind w:left="240"/>
              <w:spacing w:after="0"/>
              <w:rPr>
                <w:sz w:val="20"/>
                <w:szCs w:val="20"/>
                <w:color w:val="auto"/>
              </w:rPr>
            </w:pPr>
            <w:r>
              <w:rPr>
                <w:rFonts w:ascii="Arial" w:cs="Arial" w:eastAsia="Arial" w:hAnsi="Arial"/>
                <w:sz w:val="18"/>
                <w:szCs w:val="18"/>
                <w:color w:val="auto"/>
              </w:rPr>
              <w:t>Noninterest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1720" w:type="dxa"/>
            <w:vAlign w:val="bottom"/>
          </w:tcPr>
          <w:p>
            <w:pPr>
              <w:ind w:left="240"/>
              <w:spacing w:after="0"/>
              <w:rPr>
                <w:sz w:val="20"/>
                <w:szCs w:val="20"/>
                <w:color w:val="auto"/>
              </w:rPr>
            </w:pPr>
            <w:r>
              <w:rPr>
                <w:rFonts w:ascii="Arial" w:cs="Arial" w:eastAsia="Arial" w:hAnsi="Arial"/>
                <w:sz w:val="18"/>
                <w:szCs w:val="18"/>
                <w:color w:val="auto"/>
              </w:rPr>
              <w:t>bearing deposits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351,147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351,147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351,147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1720" w:type="dxa"/>
            <w:vAlign w:val="bottom"/>
          </w:tcPr>
          <w:p>
            <w:pPr>
              <w:ind w:left="240"/>
              <w:spacing w:after="0"/>
              <w:rPr>
                <w:sz w:val="20"/>
                <w:szCs w:val="20"/>
                <w:color w:val="auto"/>
              </w:rPr>
            </w:pPr>
            <w:r>
              <w:rPr>
                <w:rFonts w:ascii="Arial" w:cs="Arial" w:eastAsia="Arial" w:hAnsi="Arial"/>
                <w:sz w:val="18"/>
                <w:szCs w:val="18"/>
                <w:color w:val="auto"/>
              </w:rPr>
              <w:t>Time deposits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247,553</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250,135</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250,135</w:t>
            </w:r>
          </w:p>
        </w:tc>
      </w:tr>
      <w:tr>
        <w:trPr>
          <w:trHeight w:val="217"/>
        </w:trPr>
        <w:tc>
          <w:tcPr>
            <w:tcW w:w="1720" w:type="dxa"/>
            <w:vAlign w:val="bottom"/>
          </w:tcPr>
          <w:p>
            <w:pPr>
              <w:spacing w:after="0"/>
              <w:rPr>
                <w:sz w:val="20"/>
                <w:szCs w:val="20"/>
                <w:color w:val="auto"/>
              </w:rPr>
            </w:pPr>
            <w:r>
              <w:rPr>
                <w:rFonts w:ascii="Arial" w:cs="Arial" w:eastAsia="Arial" w:hAnsi="Arial"/>
                <w:sz w:val="18"/>
                <w:szCs w:val="18"/>
                <w:color w:val="auto"/>
              </w:rPr>
              <w:t>Total Deposits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1,596,162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1,605,890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351,147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1,254,743</w:t>
            </w:r>
          </w:p>
        </w:tc>
      </w:tr>
      <w:tr>
        <w:trPr>
          <w:trHeight w:val="212"/>
        </w:trPr>
        <w:tc>
          <w:tcPr>
            <w:tcW w:w="1720" w:type="dxa"/>
            <w:vAlign w:val="bottom"/>
          </w:tcPr>
          <w:p>
            <w:pPr>
              <w:ind w:left="240"/>
              <w:spacing w:after="0"/>
              <w:rPr>
                <w:sz w:val="20"/>
                <w:szCs w:val="20"/>
                <w:color w:val="auto"/>
              </w:rPr>
            </w:pPr>
            <w:r>
              <w:rPr>
                <w:rFonts w:ascii="Arial" w:cs="Arial" w:eastAsia="Arial" w:hAnsi="Arial"/>
                <w:sz w:val="18"/>
                <w:szCs w:val="18"/>
                <w:color w:val="auto"/>
              </w:rPr>
              <w:t>Fed funds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1"/>
        </w:trPr>
        <w:tc>
          <w:tcPr>
            <w:tcW w:w="1720" w:type="dxa"/>
            <w:vAlign w:val="bottom"/>
          </w:tcPr>
          <w:p>
            <w:pPr>
              <w:ind w:left="240"/>
              <w:spacing w:after="0"/>
              <w:rPr>
                <w:sz w:val="20"/>
                <w:szCs w:val="20"/>
                <w:color w:val="auto"/>
              </w:rPr>
            </w:pPr>
            <w:r>
              <w:rPr>
                <w:rFonts w:ascii="Arial" w:cs="Arial" w:eastAsia="Arial" w:hAnsi="Arial"/>
                <w:sz w:val="18"/>
                <w:szCs w:val="18"/>
                <w:color w:val="auto"/>
              </w:rPr>
              <w:t>purchased and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1"/>
        </w:trPr>
        <w:tc>
          <w:tcPr>
            <w:tcW w:w="1720" w:type="dxa"/>
            <w:vAlign w:val="bottom"/>
          </w:tcPr>
          <w:p>
            <w:pPr>
              <w:ind w:left="380"/>
              <w:spacing w:after="0"/>
              <w:rPr>
                <w:sz w:val="20"/>
                <w:szCs w:val="20"/>
                <w:color w:val="auto"/>
              </w:rPr>
            </w:pPr>
            <w:r>
              <w:rPr>
                <w:rFonts w:ascii="Arial" w:cs="Arial" w:eastAsia="Arial" w:hAnsi="Arial"/>
                <w:sz w:val="18"/>
                <w:szCs w:val="18"/>
                <w:color w:val="auto"/>
              </w:rPr>
              <w:t>securities sold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1"/>
        </w:trPr>
        <w:tc>
          <w:tcPr>
            <w:tcW w:w="1720" w:type="dxa"/>
            <w:vAlign w:val="bottom"/>
          </w:tcPr>
          <w:p>
            <w:pPr>
              <w:ind w:left="240"/>
              <w:spacing w:after="0"/>
              <w:rPr>
                <w:sz w:val="20"/>
                <w:szCs w:val="20"/>
                <w:color w:val="auto"/>
              </w:rPr>
            </w:pPr>
            <w:r>
              <w:rPr>
                <w:rFonts w:ascii="Arial" w:cs="Arial" w:eastAsia="Arial" w:hAnsi="Arial"/>
                <w:sz w:val="18"/>
                <w:szCs w:val="18"/>
                <w:color w:val="auto"/>
              </w:rPr>
              <w:t>under</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1"/>
        </w:trPr>
        <w:tc>
          <w:tcPr>
            <w:tcW w:w="1720" w:type="dxa"/>
            <w:vAlign w:val="bottom"/>
          </w:tcPr>
          <w:p>
            <w:pPr>
              <w:ind w:left="380"/>
              <w:spacing w:after="0"/>
              <w:rPr>
                <w:sz w:val="20"/>
                <w:szCs w:val="20"/>
                <w:color w:val="auto"/>
              </w:rPr>
            </w:pPr>
            <w:r>
              <w:rPr>
                <w:rFonts w:ascii="Arial" w:cs="Arial" w:eastAsia="Arial" w:hAnsi="Arial"/>
                <w:sz w:val="18"/>
                <w:szCs w:val="18"/>
                <w:color w:val="auto"/>
              </w:rPr>
              <w:t>agreement to</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1720" w:type="dxa"/>
            <w:vAlign w:val="bottom"/>
          </w:tcPr>
          <w:p>
            <w:pPr>
              <w:ind w:left="240"/>
              <w:spacing w:after="0"/>
              <w:rPr>
                <w:sz w:val="20"/>
                <w:szCs w:val="20"/>
                <w:color w:val="auto"/>
              </w:rPr>
            </w:pPr>
            <w:r>
              <w:rPr>
                <w:rFonts w:ascii="Arial" w:cs="Arial" w:eastAsia="Arial" w:hAnsi="Arial"/>
                <w:sz w:val="18"/>
                <w:szCs w:val="18"/>
                <w:color w:val="auto"/>
              </w:rPr>
              <w:t>repurchase</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30,239</w:t>
            </w:r>
          </w:p>
        </w:tc>
      </w:tr>
      <w:tr>
        <w:trPr>
          <w:trHeight w:val="212"/>
        </w:trPr>
        <w:tc>
          <w:tcPr>
            <w:tcW w:w="1720" w:type="dxa"/>
            <w:vAlign w:val="bottom"/>
          </w:tcPr>
          <w:p>
            <w:pPr>
              <w:ind w:left="240"/>
              <w:spacing w:after="0"/>
              <w:rPr>
                <w:sz w:val="20"/>
                <w:szCs w:val="20"/>
                <w:color w:val="auto"/>
              </w:rPr>
            </w:pPr>
            <w:r>
              <w:rPr>
                <w:rFonts w:ascii="Arial" w:cs="Arial" w:eastAsia="Arial" w:hAnsi="Arial"/>
                <w:sz w:val="18"/>
                <w:szCs w:val="18"/>
                <w:color w:val="auto"/>
              </w:rPr>
              <w:t>Federal Home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1"/>
        </w:trPr>
        <w:tc>
          <w:tcPr>
            <w:tcW w:w="1720" w:type="dxa"/>
            <w:vAlign w:val="bottom"/>
          </w:tcPr>
          <w:p>
            <w:pPr>
              <w:ind w:left="240"/>
              <w:spacing w:after="0"/>
              <w:rPr>
                <w:sz w:val="20"/>
                <w:szCs w:val="20"/>
                <w:color w:val="auto"/>
              </w:rPr>
            </w:pPr>
            <w:r>
              <w:rPr>
                <w:rFonts w:ascii="Arial" w:cs="Arial" w:eastAsia="Arial" w:hAnsi="Arial"/>
                <w:sz w:val="18"/>
                <w:szCs w:val="18"/>
                <w:color w:val="auto"/>
              </w:rPr>
              <w:t>Loan Bank</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1720" w:type="dxa"/>
            <w:vAlign w:val="bottom"/>
          </w:tcPr>
          <w:p>
            <w:pPr>
              <w:ind w:left="240"/>
              <w:spacing w:after="0"/>
              <w:rPr>
                <w:sz w:val="20"/>
                <w:szCs w:val="20"/>
                <w:color w:val="auto"/>
              </w:rPr>
            </w:pPr>
            <w:r>
              <w:rPr>
                <w:rFonts w:ascii="Arial" w:cs="Arial" w:eastAsia="Arial" w:hAnsi="Arial"/>
                <w:sz w:val="18"/>
                <w:szCs w:val="18"/>
                <w:color w:val="auto"/>
              </w:rPr>
              <w:t>advances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17,872</w:t>
            </w:r>
          </w:p>
        </w:tc>
      </w:tr>
      <w:tr>
        <w:trPr>
          <w:trHeight w:val="224"/>
        </w:trPr>
        <w:tc>
          <w:tcPr>
            <w:tcW w:w="1720" w:type="dxa"/>
            <w:vAlign w:val="bottom"/>
          </w:tcPr>
          <w:p>
            <w:pPr>
              <w:ind w:left="240"/>
              <w:spacing w:after="0"/>
              <w:rPr>
                <w:sz w:val="20"/>
                <w:szCs w:val="20"/>
                <w:color w:val="auto"/>
              </w:rPr>
            </w:pPr>
            <w:r>
              <w:rPr>
                <w:rFonts w:ascii="Arial" w:cs="Arial" w:eastAsia="Arial" w:hAnsi="Arial"/>
                <w:sz w:val="18"/>
                <w:szCs w:val="18"/>
                <w:color w:val="auto"/>
              </w:rPr>
              <w:t>Interest payable</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338</w:t>
            </w:r>
          </w:p>
        </w:tc>
      </w:tr>
    </w:tbl>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December 31, 2019</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Carrying</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0"/>
              </w:rPr>
              <w:t>Fair</w:t>
            </w: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r>
      <w:tr>
        <w:trPr>
          <w:trHeight w:val="223"/>
        </w:trPr>
        <w:tc>
          <w:tcPr>
            <w:tcW w:w="10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Value</w:t>
            </w:r>
          </w:p>
        </w:tc>
        <w:tc>
          <w:tcPr>
            <w:tcW w:w="820" w:type="dxa"/>
            <w:vAlign w:val="bottom"/>
            <w:gridSpan w:val="3"/>
          </w:tcPr>
          <w:p>
            <w:pPr>
              <w:ind w:left="60"/>
              <w:spacing w:after="0"/>
              <w:rPr>
                <w:sz w:val="20"/>
                <w:szCs w:val="20"/>
                <w:color w:val="auto"/>
              </w:rPr>
            </w:pPr>
            <w:r>
              <w:rPr>
                <w:rFonts w:ascii="Arial" w:cs="Arial" w:eastAsia="Arial" w:hAnsi="Arial"/>
                <w:sz w:val="18"/>
                <w:szCs w:val="18"/>
                <w:color w:val="auto"/>
              </w:rPr>
              <w:t>Level 1</w:t>
            </w:r>
          </w:p>
        </w:tc>
        <w:tc>
          <w:tcPr>
            <w:tcW w:w="880" w:type="dxa"/>
            <w:vAlign w:val="bottom"/>
            <w:gridSpan w:val="3"/>
          </w:tcPr>
          <w:p>
            <w:pPr>
              <w:ind w:left="8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w w:val="96"/>
              </w:rPr>
              <w:t>Level 3</w:t>
            </w:r>
          </w:p>
        </w:tc>
      </w:tr>
      <w:tr>
        <w:trPr>
          <w:trHeight w:val="652"/>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51,296</w:t>
            </w:r>
          </w:p>
        </w:tc>
        <w:tc>
          <w:tcPr>
            <w:tcW w:w="2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51,296</w:t>
            </w:r>
          </w:p>
        </w:tc>
        <w:tc>
          <w:tcPr>
            <w:tcW w:w="1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51,296</w:t>
            </w:r>
          </w:p>
        </w:tc>
        <w:tc>
          <w:tcPr>
            <w:tcW w:w="18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35"/>
        </w:trPr>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4,309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4,331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5"/>
        </w:trPr>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222,293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222,293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10,021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210,782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1,490</w:t>
            </w:r>
          </w:p>
        </w:tc>
      </w:tr>
      <w:tr>
        <w:trPr>
          <w:trHeight w:val="224"/>
        </w:trPr>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5,810</w:t>
            </w:r>
          </w:p>
        </w:tc>
      </w:tr>
      <w:tr>
        <w:trPr>
          <w:trHeight w:val="224"/>
        </w:trPr>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4,248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4,248</w:t>
            </w:r>
          </w:p>
        </w:tc>
      </w:tr>
      <w:tr>
        <w:trPr>
          <w:trHeight w:val="224"/>
        </w:trPr>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1,211,771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1,188,014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1,188,014</w:t>
            </w:r>
          </w:p>
        </w:tc>
      </w:tr>
      <w:tr>
        <w:trPr>
          <w:trHeight w:val="224"/>
        </w:trPr>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6,769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6,769</w:t>
            </w:r>
          </w:p>
        </w:tc>
      </w:tr>
      <w:tr>
        <w:trPr>
          <w:trHeight w:val="883"/>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746,628</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746,628</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746,628</w:t>
            </w:r>
          </w:p>
        </w:tc>
      </w:tr>
      <w:tr>
        <w:trPr>
          <w:trHeight w:val="435"/>
        </w:trPr>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265,156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265,156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265,156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276,563</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277,008</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277,008</w:t>
            </w:r>
          </w:p>
        </w:tc>
      </w:tr>
      <w:tr>
        <w:trPr>
          <w:trHeight w:val="217"/>
        </w:trPr>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1,288,347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1,288,792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265,156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1,023,636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340" w:type="dxa"/>
        <w:tblCellMar>
          <w:top w:w="0" w:type="dxa"/>
          <w:left w:w="0" w:type="dxa"/>
          <w:bottom w:w="0" w:type="dxa"/>
          <w:right w:w="0" w:type="dxa"/>
        </w:tblCellMar>
      </w:tblPr>
      <w:tr>
        <w:trPr>
          <w:trHeight w:val="222"/>
        </w:trPr>
        <w:tc>
          <w:tcPr>
            <w:tcW w:w="740" w:type="dxa"/>
            <w:vAlign w:val="bottom"/>
          </w:tcPr>
          <w:p>
            <w:pPr>
              <w:jc w:val="right"/>
              <w:ind w:right="172"/>
              <w:spacing w:after="0"/>
              <w:rPr>
                <w:sz w:val="20"/>
                <w:szCs w:val="20"/>
                <w:color w:val="auto"/>
              </w:rPr>
            </w:pPr>
            <w:r>
              <w:rPr>
                <w:rFonts w:ascii="Arial" w:cs="Arial" w:eastAsia="Arial" w:hAnsi="Arial"/>
                <w:sz w:val="18"/>
                <w:szCs w:val="18"/>
                <w:color w:val="auto"/>
                <w:w w:val="83"/>
              </w:rPr>
              <w:t>48,073</w:t>
            </w:r>
          </w:p>
        </w:tc>
        <w:tc>
          <w:tcPr>
            <w:tcW w:w="1120" w:type="dxa"/>
            <w:vAlign w:val="bottom"/>
          </w:tcPr>
          <w:p>
            <w:pPr>
              <w:jc w:val="right"/>
              <w:ind w:right="272"/>
              <w:spacing w:after="0"/>
              <w:rPr>
                <w:sz w:val="20"/>
                <w:szCs w:val="20"/>
                <w:color w:val="auto"/>
              </w:rPr>
            </w:pPr>
            <w:r>
              <w:rPr>
                <w:rFonts w:ascii="Arial" w:cs="Arial" w:eastAsia="Arial" w:hAnsi="Arial"/>
                <w:sz w:val="18"/>
                <w:szCs w:val="18"/>
                <w:color w:val="auto"/>
              </w:rPr>
              <w:t>48,073</w:t>
            </w:r>
          </w:p>
        </w:tc>
        <w:tc>
          <w:tcPr>
            <w:tcW w:w="8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48,073</w:t>
            </w:r>
          </w:p>
        </w:tc>
      </w:tr>
      <w:tr>
        <w:trPr>
          <w:trHeight w:val="646"/>
        </w:trPr>
        <w:tc>
          <w:tcPr>
            <w:tcW w:w="740" w:type="dxa"/>
            <w:vAlign w:val="bottom"/>
          </w:tcPr>
          <w:p>
            <w:pPr>
              <w:jc w:val="right"/>
              <w:ind w:right="172"/>
              <w:spacing w:after="0"/>
              <w:rPr>
                <w:sz w:val="20"/>
                <w:szCs w:val="20"/>
                <w:color w:val="auto"/>
              </w:rPr>
            </w:pPr>
            <w:r>
              <w:rPr>
                <w:rFonts w:ascii="Arial" w:cs="Arial" w:eastAsia="Arial" w:hAnsi="Arial"/>
                <w:sz w:val="18"/>
                <w:szCs w:val="18"/>
                <w:color w:val="auto"/>
                <w:w w:val="83"/>
              </w:rPr>
              <w:t>24,806</w:t>
            </w:r>
          </w:p>
        </w:tc>
        <w:tc>
          <w:tcPr>
            <w:tcW w:w="1120" w:type="dxa"/>
            <w:vAlign w:val="bottom"/>
          </w:tcPr>
          <w:p>
            <w:pPr>
              <w:jc w:val="right"/>
              <w:ind w:right="292"/>
              <w:spacing w:after="0"/>
              <w:rPr>
                <w:sz w:val="20"/>
                <w:szCs w:val="20"/>
                <w:color w:val="auto"/>
              </w:rPr>
            </w:pPr>
            <w:r>
              <w:rPr>
                <w:rFonts w:ascii="Arial" w:cs="Arial" w:eastAsia="Arial" w:hAnsi="Arial"/>
                <w:sz w:val="18"/>
                <w:szCs w:val="18"/>
                <w:color w:val="auto"/>
              </w:rPr>
              <w:t>24,811</w:t>
            </w:r>
          </w:p>
        </w:tc>
        <w:tc>
          <w:tcPr>
            <w:tcW w:w="8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24,811</w:t>
            </w:r>
          </w:p>
        </w:tc>
      </w:tr>
      <w:tr>
        <w:trPr>
          <w:trHeight w:val="224"/>
        </w:trPr>
        <w:tc>
          <w:tcPr>
            <w:tcW w:w="740" w:type="dxa"/>
            <w:vAlign w:val="bottom"/>
          </w:tcPr>
          <w:p>
            <w:pPr>
              <w:jc w:val="right"/>
              <w:ind w:right="172"/>
              <w:spacing w:after="0"/>
              <w:rPr>
                <w:sz w:val="20"/>
                <w:szCs w:val="20"/>
                <w:color w:val="auto"/>
              </w:rPr>
            </w:pPr>
            <w:r>
              <w:rPr>
                <w:rFonts w:ascii="Arial" w:cs="Arial" w:eastAsia="Arial" w:hAnsi="Arial"/>
                <w:sz w:val="18"/>
                <w:szCs w:val="18"/>
                <w:color w:val="auto"/>
              </w:rPr>
              <w:t>754</w:t>
            </w:r>
          </w:p>
        </w:tc>
        <w:tc>
          <w:tcPr>
            <w:tcW w:w="1120" w:type="dxa"/>
            <w:vAlign w:val="bottom"/>
          </w:tcPr>
          <w:p>
            <w:pPr>
              <w:jc w:val="right"/>
              <w:ind w:right="292"/>
              <w:spacing w:after="0"/>
              <w:rPr>
                <w:sz w:val="20"/>
                <w:szCs w:val="20"/>
                <w:color w:val="auto"/>
              </w:rPr>
            </w:pPr>
            <w:r>
              <w:rPr>
                <w:rFonts w:ascii="Arial" w:cs="Arial" w:eastAsia="Arial" w:hAnsi="Arial"/>
                <w:sz w:val="18"/>
                <w:szCs w:val="18"/>
                <w:color w:val="auto"/>
              </w:rPr>
              <w:t>754</w:t>
            </w:r>
          </w:p>
        </w:tc>
        <w:tc>
          <w:tcPr>
            <w:tcW w:w="8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754</w:t>
            </w:r>
          </w:p>
        </w:tc>
      </w:tr>
    </w:tbl>
    <w:p>
      <w:pPr>
        <w:spacing w:after="0" w:line="200" w:lineRule="exact"/>
        <w:rPr>
          <w:sz w:val="20"/>
          <w:szCs w:val="20"/>
          <w:color w:val="auto"/>
        </w:rPr>
      </w:pPr>
    </w:p>
    <w:p>
      <w:pPr>
        <w:sectPr>
          <w:pgSz w:w="11900" w:h="16838" w:orient="portrait"/>
          <w:cols w:equalWidth="0" w:num="2">
            <w:col w:w="6340" w:space="280"/>
            <w:col w:w="46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135495"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24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Fair Value Measurements</w:t>
      </w:r>
    </w:p>
    <w:p>
      <w:pPr>
        <w:spacing w:after="0" w:line="115"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The following table presents information about the Company’s assets and liabilities measured at fair value on a recurring basis at December 31, 2020 and 2019, and the valuation techniques used by the Company to determine those fair values. There were no changes to valuation techniques during 2020.</w:t>
      </w:r>
    </w:p>
    <w:p>
      <w:pPr>
        <w:spacing w:after="0" w:line="83"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75"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Available-for-sale securities - When quoted prices are available in an active market, securities are valued using the quoted price and are classified as Level 1. The quoted prices are not adjusted.</w:t>
      </w:r>
    </w:p>
    <w:p>
      <w:pPr>
        <w:spacing w:after="0" w:line="75"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83" w:lineRule="exact"/>
        <w:rPr>
          <w:sz w:val="20"/>
          <w:szCs w:val="20"/>
          <w:color w:val="auto"/>
        </w:rPr>
      </w:pPr>
    </w:p>
    <w:p>
      <w:pPr>
        <w:jc w:val="both"/>
        <w:ind w:left="800"/>
        <w:spacing w:after="0" w:line="316" w:lineRule="auto"/>
        <w:rPr>
          <w:sz w:val="20"/>
          <w:szCs w:val="20"/>
          <w:color w:val="auto"/>
        </w:rPr>
      </w:pPr>
      <w:r>
        <w:rPr>
          <w:rFonts w:ascii="Arial" w:cs="Arial" w:eastAsia="Arial" w:hAnsi="Arial"/>
          <w:sz w:val="15"/>
          <w:szCs w:val="15"/>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40"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two local municipals that the Bank evaluates based on the credit strength of the underlying project. The fair value is determined by valuing similar credit payment streams at similar rates.</w:t>
      </w:r>
    </w:p>
    <w:p>
      <w:pPr>
        <w:spacing w:after="0" w:line="83" w:lineRule="exact"/>
        <w:rPr>
          <w:sz w:val="20"/>
          <w:szCs w:val="20"/>
          <w:color w:val="auto"/>
        </w:rPr>
      </w:pPr>
    </w:p>
    <w:p>
      <w:pPr>
        <w:jc w:val="both"/>
        <w:ind w:left="800"/>
        <w:spacing w:after="0" w:line="300" w:lineRule="auto"/>
        <w:rPr>
          <w:sz w:val="20"/>
          <w:szCs w:val="20"/>
          <w:color w:val="auto"/>
        </w:rPr>
      </w:pPr>
      <w:r>
        <w:rPr>
          <w:rFonts w:ascii="Arial" w:cs="Arial" w:eastAsia="Arial" w:hAnsi="Arial"/>
          <w:sz w:val="16"/>
          <w:szCs w:val="16"/>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48"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The following table summarizes financial assets measured at fair value on a recurring basis as of December 31, 2020 and December 31, 2019 segregated by level or the valuation inputs within the fair value hierarchy utilized to measure fair value.</w:t>
      </w:r>
    </w:p>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18"/>
          <w:szCs w:val="18"/>
          <w:u w:val="single" w:color="auto"/>
          <w:color w:val="auto"/>
        </w:rPr>
        <w:t>Assets and Liabilities Measured at Fair Value on a Recurring Basis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w w:val="90"/>
              </w:rPr>
              <w:t>Quoted Prices in</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72"/>
              <w:spacing w:after="0"/>
              <w:rPr>
                <w:sz w:val="20"/>
                <w:szCs w:val="20"/>
                <w:color w:val="auto"/>
              </w:rPr>
            </w:pPr>
            <w:r>
              <w:rPr>
                <w:rFonts w:ascii="Arial" w:cs="Arial" w:eastAsia="Arial" w:hAnsi="Arial"/>
                <w:sz w:val="18"/>
                <w:szCs w:val="18"/>
                <w:color w:val="auto"/>
                <w:w w:val="91"/>
              </w:rPr>
              <w:t>Significant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Significant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Active Markets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72"/>
              <w:spacing w:after="0"/>
              <w:rPr>
                <w:sz w:val="20"/>
                <w:szCs w:val="20"/>
                <w:color w:val="auto"/>
              </w:rPr>
            </w:pPr>
            <w:r>
              <w:rPr>
                <w:rFonts w:ascii="Arial" w:cs="Arial" w:eastAsia="Arial" w:hAnsi="Arial"/>
                <w:sz w:val="18"/>
                <w:szCs w:val="18"/>
                <w:color w:val="auto"/>
                <w:w w:val="86"/>
              </w:rPr>
              <w:t>Observable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Observable</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for Identical</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72"/>
              <w:spacing w:after="0"/>
              <w:rPr>
                <w:sz w:val="20"/>
                <w:szCs w:val="20"/>
                <w:color w:val="auto"/>
              </w:rPr>
            </w:pPr>
            <w:r>
              <w:rPr>
                <w:rFonts w:ascii="Arial" w:cs="Arial" w:eastAsia="Arial" w:hAnsi="Arial"/>
                <w:sz w:val="18"/>
                <w:szCs w:val="18"/>
                <w:color w:val="auto"/>
                <w:w w:val="89"/>
              </w:rPr>
              <w:t>Inputs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Inputs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720" w:type="dxa"/>
            <w:vAlign w:val="bottom"/>
          </w:tcPr>
          <w:p>
            <w:pPr>
              <w:ind w:left="1660"/>
              <w:spacing w:after="0"/>
              <w:rPr>
                <w:sz w:val="20"/>
                <w:szCs w:val="20"/>
                <w:color w:val="auto"/>
              </w:rPr>
            </w:pPr>
            <w:r>
              <w:rPr>
                <w:rFonts w:ascii="Arial" w:cs="Arial" w:eastAsia="Arial" w:hAnsi="Arial"/>
                <w:sz w:val="18"/>
                <w:szCs w:val="18"/>
                <w:color w:val="auto"/>
              </w:rPr>
              <w:t>December 31, 2020</w:t>
            </w:r>
          </w:p>
        </w:tc>
        <w:tc>
          <w:tcPr>
            <w:tcW w:w="112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w w:val="91"/>
              </w:rPr>
              <w:t>Assets (Level 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72"/>
              <w:spacing w:after="0"/>
              <w:rPr>
                <w:sz w:val="20"/>
                <w:szCs w:val="20"/>
                <w:color w:val="auto"/>
              </w:rPr>
            </w:pPr>
            <w:r>
              <w:rPr>
                <w:rFonts w:ascii="Arial" w:cs="Arial" w:eastAsia="Arial" w:hAnsi="Arial"/>
                <w:sz w:val="18"/>
                <w:szCs w:val="18"/>
                <w:color w:val="auto"/>
                <w:w w:val="91"/>
              </w:rPr>
              <w:t>(Level 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(Level 3)</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Assets-(Securities Available-for-Sale)</w:t>
            </w:r>
          </w:p>
        </w:tc>
        <w:tc>
          <w:tcPr>
            <w:tcW w:w="112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60" w:type="dxa"/>
            <w:vAlign w:val="bottom"/>
            <w:gridSpan w:val="2"/>
          </w:tcPr>
          <w:p>
            <w:pPr>
              <w:ind w:left="1140"/>
              <w:spacing w:after="0"/>
              <w:rPr>
                <w:sz w:val="20"/>
                <w:szCs w:val="20"/>
                <w:color w:val="auto"/>
              </w:rPr>
            </w:pPr>
            <w:r>
              <w:rPr>
                <w:rFonts w:ascii="Arial" w:cs="Arial" w:eastAsia="Arial" w:hAnsi="Arial"/>
                <w:sz w:val="18"/>
                <w:szCs w:val="18"/>
                <w:color w:val="auto"/>
              </w:rPr>
              <w:t>U.S. Treasury</w:t>
            </w:r>
          </w:p>
        </w:tc>
        <w:tc>
          <w:tcPr>
            <w:tcW w:w="22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124,241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gridSpan w:val="2"/>
          </w:tcPr>
          <w:p>
            <w:pPr>
              <w:ind w:left="1140"/>
              <w:spacing w:after="0"/>
              <w:rPr>
                <w:sz w:val="20"/>
                <w:szCs w:val="20"/>
                <w:color w:val="auto"/>
              </w:rPr>
            </w:pPr>
            <w:r>
              <w:rPr>
                <w:rFonts w:ascii="Arial" w:cs="Arial" w:eastAsia="Arial" w:hAnsi="Arial"/>
                <w:sz w:val="18"/>
                <w:szCs w:val="18"/>
                <w:color w:val="auto"/>
              </w:rPr>
              <w:t>Mortgage-backed securities</w:t>
            </w: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113,056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1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68,953</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22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306,250</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20" w:type="dxa"/>
            <w:vAlign w:val="bottom"/>
            <w:vMerge w:val="restart"/>
          </w:tcPr>
          <w:p>
            <w:pPr>
              <w:jc w:val="right"/>
              <w:ind w:right="172"/>
              <w:spacing w:after="0"/>
              <w:rPr>
                <w:sz w:val="20"/>
                <w:szCs w:val="20"/>
                <w:color w:val="auto"/>
              </w:rPr>
            </w:pPr>
            <w:r>
              <w:rPr>
                <w:rFonts w:ascii="Arial" w:cs="Arial" w:eastAsia="Arial" w:hAnsi="Arial"/>
                <w:sz w:val="18"/>
                <w:szCs w:val="18"/>
                <w:color w:val="auto"/>
              </w:rPr>
              <w:t>98</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4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Note 17 – Fair Value of Financial Instruments (Continued)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61"/>
        </w:trPr>
        <w:tc>
          <w:tcPr>
            <w:tcW w:w="11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w w:val="90"/>
              </w:rPr>
              <w:t>Quoted Prices in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32"/>
              <w:spacing w:after="0"/>
              <w:rPr>
                <w:sz w:val="20"/>
                <w:szCs w:val="20"/>
                <w:color w:val="auto"/>
              </w:rPr>
            </w:pPr>
            <w:r>
              <w:rPr>
                <w:rFonts w:ascii="Arial" w:cs="Arial" w:eastAsia="Arial" w:hAnsi="Arial"/>
                <w:sz w:val="18"/>
                <w:szCs w:val="18"/>
                <w:color w:val="auto"/>
                <w:w w:val="91"/>
              </w:rPr>
              <w:t>Significant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Significant</w:t>
            </w:r>
          </w:p>
        </w:tc>
      </w:tr>
      <w:tr>
        <w:trPr>
          <w:trHeight w:val="224"/>
        </w:trPr>
        <w:tc>
          <w:tcPr>
            <w:tcW w:w="11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3"/>
              </w:rPr>
              <w:t>Active Markets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32"/>
              <w:spacing w:after="0"/>
              <w:rPr>
                <w:sz w:val="20"/>
                <w:szCs w:val="20"/>
                <w:color w:val="auto"/>
              </w:rPr>
            </w:pPr>
            <w:r>
              <w:rPr>
                <w:rFonts w:ascii="Arial" w:cs="Arial" w:eastAsia="Arial" w:hAnsi="Arial"/>
                <w:sz w:val="18"/>
                <w:szCs w:val="18"/>
                <w:color w:val="auto"/>
                <w:w w:val="86"/>
              </w:rPr>
              <w:t>Observable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Observable</w:t>
            </w:r>
          </w:p>
        </w:tc>
      </w:tr>
      <w:tr>
        <w:trPr>
          <w:trHeight w:val="224"/>
        </w:trPr>
        <w:tc>
          <w:tcPr>
            <w:tcW w:w="11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52"/>
              <w:spacing w:after="0"/>
              <w:rPr>
                <w:sz w:val="20"/>
                <w:szCs w:val="20"/>
                <w:color w:val="auto"/>
              </w:rPr>
            </w:pPr>
            <w:r>
              <w:rPr>
                <w:rFonts w:ascii="Arial" w:cs="Arial" w:eastAsia="Arial" w:hAnsi="Arial"/>
                <w:sz w:val="18"/>
                <w:szCs w:val="18"/>
                <w:color w:val="auto"/>
                <w:w w:val="92"/>
              </w:rPr>
              <w:t>for Identical</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32"/>
              <w:spacing w:after="0"/>
              <w:rPr>
                <w:sz w:val="20"/>
                <w:szCs w:val="20"/>
                <w:color w:val="auto"/>
              </w:rPr>
            </w:pPr>
            <w:r>
              <w:rPr>
                <w:rFonts w:ascii="Arial" w:cs="Arial" w:eastAsia="Arial" w:hAnsi="Arial"/>
                <w:sz w:val="18"/>
                <w:szCs w:val="18"/>
                <w:color w:val="auto"/>
                <w:w w:val="89"/>
              </w:rPr>
              <w:t>Inputs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Inputs</w:t>
            </w:r>
          </w:p>
        </w:tc>
      </w:tr>
      <w:tr>
        <w:trPr>
          <w:trHeight w:val="224"/>
        </w:trPr>
        <w:tc>
          <w:tcPr>
            <w:tcW w:w="1140" w:type="dxa"/>
            <w:vAlign w:val="bottom"/>
          </w:tcPr>
          <w:p>
            <w:pPr>
              <w:spacing w:after="0"/>
              <w:rPr>
                <w:sz w:val="19"/>
                <w:szCs w:val="19"/>
                <w:color w:val="auto"/>
              </w:rPr>
            </w:pPr>
          </w:p>
        </w:tc>
        <w:tc>
          <w:tcPr>
            <w:tcW w:w="4040" w:type="dxa"/>
            <w:vAlign w:val="bottom"/>
          </w:tcPr>
          <w:p>
            <w:pPr>
              <w:ind w:left="1660"/>
              <w:spacing w:after="0"/>
              <w:rPr>
                <w:sz w:val="20"/>
                <w:szCs w:val="20"/>
                <w:color w:val="auto"/>
              </w:rPr>
            </w:pPr>
            <w:r>
              <w:rPr>
                <w:rFonts w:ascii="Arial" w:cs="Arial" w:eastAsia="Arial" w:hAnsi="Arial"/>
                <w:sz w:val="18"/>
                <w:szCs w:val="18"/>
                <w:color w:val="auto"/>
              </w:rPr>
              <w:t>December 31, 2019</w:t>
            </w:r>
          </w:p>
        </w:tc>
        <w:tc>
          <w:tcPr>
            <w:tcW w:w="800" w:type="dxa"/>
            <w:vAlign w:val="bottom"/>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8"/>
              </w:rPr>
              <w:t>Assets (Level 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32"/>
              <w:spacing w:after="0"/>
              <w:rPr>
                <w:sz w:val="20"/>
                <w:szCs w:val="20"/>
                <w:color w:val="auto"/>
              </w:rPr>
            </w:pPr>
            <w:r>
              <w:rPr>
                <w:rFonts w:ascii="Arial" w:cs="Arial" w:eastAsia="Arial" w:hAnsi="Arial"/>
                <w:sz w:val="18"/>
                <w:szCs w:val="18"/>
                <w:color w:val="auto"/>
                <w:w w:val="91"/>
              </w:rPr>
              <w:t>(Level 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(Level 3)</w:t>
            </w:r>
          </w:p>
        </w:tc>
      </w:tr>
      <w:tr>
        <w:trPr>
          <w:trHeight w:val="217"/>
        </w:trPr>
        <w:tc>
          <w:tcPr>
            <w:tcW w:w="1140" w:type="dxa"/>
            <w:vAlign w:val="bottom"/>
          </w:tcPr>
          <w:p>
            <w:pPr>
              <w:spacing w:after="0"/>
              <w:rPr>
                <w:sz w:val="18"/>
                <w:szCs w:val="18"/>
                <w:color w:val="auto"/>
              </w:rPr>
            </w:pPr>
          </w:p>
        </w:tc>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Assets-(Securities Available-for-Sale)</w:t>
            </w:r>
          </w:p>
        </w:tc>
        <w:tc>
          <w:tcPr>
            <w:tcW w:w="8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24"/>
        </w:trPr>
        <w:tc>
          <w:tcPr>
            <w:tcW w:w="5180" w:type="dxa"/>
            <w:vAlign w:val="bottom"/>
            <w:gridSpan w:val="2"/>
          </w:tcPr>
          <w:p>
            <w:pPr>
              <w:ind w:left="1140"/>
              <w:spacing w:after="0"/>
              <w:rPr>
                <w:sz w:val="20"/>
                <w:szCs w:val="20"/>
                <w:color w:val="auto"/>
              </w:rPr>
            </w:pPr>
            <w:r>
              <w:rPr>
                <w:rFonts w:ascii="Arial" w:cs="Arial" w:eastAsia="Arial" w:hAnsi="Arial"/>
                <w:sz w:val="18"/>
                <w:szCs w:val="18"/>
                <w:color w:val="auto"/>
              </w:rPr>
              <w:t>U.S. Treasury</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4"/>
        </w:trPr>
        <w:tc>
          <w:tcPr>
            <w:tcW w:w="114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62,445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4"/>
        </w:trPr>
        <w:tc>
          <w:tcPr>
            <w:tcW w:w="5180" w:type="dxa"/>
            <w:vAlign w:val="bottom"/>
            <w:gridSpan w:val="2"/>
          </w:tcPr>
          <w:p>
            <w:pPr>
              <w:ind w:left="1140"/>
              <w:spacing w:after="0"/>
              <w:rPr>
                <w:sz w:val="20"/>
                <w:szCs w:val="20"/>
                <w:color w:val="auto"/>
              </w:rPr>
            </w:pPr>
            <w:r>
              <w:rPr>
                <w:rFonts w:ascii="Arial" w:cs="Arial" w:eastAsia="Arial" w:hAnsi="Arial"/>
                <w:sz w:val="18"/>
                <w:szCs w:val="18"/>
                <w:color w:val="auto"/>
              </w:rPr>
              <w:t>Mortgage-backed securities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95,197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4"/>
        </w:trPr>
        <w:tc>
          <w:tcPr>
            <w:tcW w:w="114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8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53,140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80" w:type="dxa"/>
            <w:vAlign w:val="bottom"/>
            <w:shd w:val="clear" w:color="auto" w:fill="CFF0FC"/>
          </w:tcPr>
          <w:p>
            <w:pPr>
              <w:spacing w:after="0"/>
              <w:rPr>
                <w:sz w:val="19"/>
                <w:szCs w:val="19"/>
                <w:color w:val="auto"/>
              </w:rPr>
            </w:pPr>
          </w:p>
        </w:tc>
      </w:tr>
      <w:tr>
        <w:trPr>
          <w:trHeight w:val="217"/>
        </w:trPr>
        <w:tc>
          <w:tcPr>
            <w:tcW w:w="1140" w:type="dxa"/>
            <w:vAlign w:val="bottom"/>
          </w:tcPr>
          <w:p>
            <w:pPr>
              <w:spacing w:after="0"/>
              <w:rPr>
                <w:sz w:val="18"/>
                <w:szCs w:val="18"/>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210,782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1,490</w:t>
            </w:r>
          </w:p>
        </w:tc>
        <w:tc>
          <w:tcPr>
            <w:tcW w:w="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5"/>
        </w:trPr>
        <w:tc>
          <w:tcPr>
            <w:tcW w:w="11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(In Thousands)</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11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gridSpan w:val="9"/>
          </w:tcPr>
          <w:p>
            <w:pPr>
              <w:jc w:val="center"/>
              <w:ind w:right="220"/>
              <w:spacing w:after="0"/>
              <w:rPr>
                <w:sz w:val="20"/>
                <w:szCs w:val="20"/>
                <w:color w:val="auto"/>
              </w:rPr>
            </w:pPr>
            <w:r>
              <w:rPr>
                <w:rFonts w:ascii="Arial" w:cs="Arial" w:eastAsia="Arial" w:hAnsi="Arial"/>
                <w:sz w:val="18"/>
                <w:szCs w:val="18"/>
                <w:color w:val="auto"/>
                <w:w w:val="88"/>
              </w:rPr>
              <w:t>Fair Value Measurements Using Significant</w:t>
            </w:r>
          </w:p>
        </w:tc>
      </w:tr>
      <w:tr>
        <w:trPr>
          <w:trHeight w:val="224"/>
        </w:trPr>
        <w:tc>
          <w:tcPr>
            <w:tcW w:w="11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8"/>
          </w:tcPr>
          <w:p>
            <w:pPr>
              <w:jc w:val="center"/>
              <w:ind w:right="52"/>
              <w:spacing w:after="0"/>
              <w:rPr>
                <w:sz w:val="20"/>
                <w:szCs w:val="20"/>
                <w:color w:val="auto"/>
              </w:rPr>
            </w:pPr>
            <w:r>
              <w:rPr>
                <w:rFonts w:ascii="Arial" w:cs="Arial" w:eastAsia="Arial" w:hAnsi="Arial"/>
                <w:sz w:val="18"/>
                <w:szCs w:val="18"/>
                <w:color w:val="auto"/>
                <w:w w:val="89"/>
              </w:rPr>
              <w:t>Unobservable Inputs (Level 3)</w:t>
            </w:r>
          </w:p>
        </w:tc>
        <w:tc>
          <w:tcPr>
            <w:tcW w:w="80" w:type="dxa"/>
            <w:vAlign w:val="bottom"/>
          </w:tcPr>
          <w:p>
            <w:pPr>
              <w:spacing w:after="0"/>
              <w:rPr>
                <w:sz w:val="19"/>
                <w:szCs w:val="19"/>
                <w:color w:val="auto"/>
              </w:rPr>
            </w:pPr>
          </w:p>
        </w:tc>
      </w:tr>
      <w:tr>
        <w:trPr>
          <w:trHeight w:val="217"/>
        </w:trPr>
        <w:tc>
          <w:tcPr>
            <w:tcW w:w="11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7"/>
              </w:rPr>
              <w:t>State and Local</w:t>
            </w:r>
          </w:p>
        </w:tc>
        <w:tc>
          <w:tcPr>
            <w:tcW w:w="18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6"/>
              </w:rPr>
              <w:t>State and Local</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86"/>
              </w:rPr>
              <w:t>State and Local</w:t>
            </w:r>
          </w:p>
        </w:tc>
      </w:tr>
      <w:tr>
        <w:trPr>
          <w:trHeight w:val="224"/>
        </w:trPr>
        <w:tc>
          <w:tcPr>
            <w:tcW w:w="11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52"/>
              <w:spacing w:after="0"/>
              <w:rPr>
                <w:sz w:val="20"/>
                <w:szCs w:val="20"/>
                <w:color w:val="auto"/>
              </w:rPr>
            </w:pPr>
            <w:r>
              <w:rPr>
                <w:rFonts w:ascii="Arial" w:cs="Arial" w:eastAsia="Arial" w:hAnsi="Arial"/>
                <w:sz w:val="18"/>
                <w:szCs w:val="18"/>
                <w:color w:val="auto"/>
                <w:w w:val="86"/>
              </w:rPr>
              <w:t>Governments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32"/>
              <w:spacing w:after="0"/>
              <w:rPr>
                <w:sz w:val="20"/>
                <w:szCs w:val="20"/>
                <w:color w:val="auto"/>
              </w:rPr>
            </w:pPr>
            <w:r>
              <w:rPr>
                <w:rFonts w:ascii="Arial" w:cs="Arial" w:eastAsia="Arial" w:hAnsi="Arial"/>
                <w:sz w:val="18"/>
                <w:szCs w:val="18"/>
                <w:color w:val="auto"/>
                <w:w w:val="88"/>
              </w:rPr>
              <w:t>Governments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Governments</w:t>
            </w:r>
          </w:p>
        </w:tc>
      </w:tr>
      <w:tr>
        <w:trPr>
          <w:trHeight w:val="224"/>
        </w:trPr>
        <w:tc>
          <w:tcPr>
            <w:tcW w:w="1140" w:type="dxa"/>
            <w:vAlign w:val="bottom"/>
          </w:tcPr>
          <w:p>
            <w:pPr>
              <w:spacing w:after="0"/>
              <w:rPr>
                <w:sz w:val="19"/>
                <w:szCs w:val="19"/>
                <w:color w:val="auto"/>
              </w:rPr>
            </w:pPr>
          </w:p>
        </w:tc>
        <w:tc>
          <w:tcPr>
            <w:tcW w:w="404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8"/>
              </w:rPr>
              <w:t>Tax-Exempt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7"/>
              </w:rPr>
              <w:t>Taxable</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Total</w:t>
            </w:r>
          </w:p>
        </w:tc>
        <w:tc>
          <w:tcPr>
            <w:tcW w:w="80" w:type="dxa"/>
            <w:vAlign w:val="bottom"/>
            <w:tcBorders>
              <w:bottom w:val="single" w:sz="8" w:color="CFF0FC"/>
            </w:tcBorders>
          </w:tcPr>
          <w:p>
            <w:pPr>
              <w:spacing w:after="0"/>
              <w:rPr>
                <w:sz w:val="19"/>
                <w:szCs w:val="19"/>
                <w:color w:val="auto"/>
              </w:rPr>
            </w:pPr>
          </w:p>
        </w:tc>
      </w:tr>
      <w:tr>
        <w:trPr>
          <w:trHeight w:val="217"/>
        </w:trPr>
        <w:tc>
          <w:tcPr>
            <w:tcW w:w="114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 2020</w:t>
            </w:r>
          </w:p>
        </w:tc>
        <w:tc>
          <w:tcPr>
            <w:tcW w:w="90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80" w:type="dxa"/>
            <w:vAlign w:val="bottom"/>
            <w:shd w:val="clear" w:color="auto" w:fill="CFF0FC"/>
          </w:tcPr>
          <w:p>
            <w:pPr>
              <w:spacing w:after="0"/>
              <w:rPr>
                <w:sz w:val="18"/>
                <w:szCs w:val="18"/>
                <w:color w:val="auto"/>
              </w:rPr>
            </w:pPr>
          </w:p>
        </w:tc>
      </w:tr>
      <w:tr>
        <w:trPr>
          <w:trHeight w:val="224"/>
        </w:trPr>
        <w:tc>
          <w:tcPr>
            <w:tcW w:w="5180" w:type="dxa"/>
            <w:vAlign w:val="bottom"/>
            <w:gridSpan w:val="2"/>
          </w:tcPr>
          <w:p>
            <w:pPr>
              <w:ind w:left="1140"/>
              <w:spacing w:after="0"/>
              <w:rPr>
                <w:sz w:val="20"/>
                <w:szCs w:val="20"/>
                <w:color w:val="auto"/>
              </w:rPr>
            </w:pPr>
            <w:r>
              <w:rPr>
                <w:rFonts w:ascii="Arial" w:cs="Arial" w:eastAsia="Arial" w:hAnsi="Arial"/>
                <w:sz w:val="18"/>
                <w:szCs w:val="18"/>
                <w:color w:val="auto"/>
              </w:rPr>
              <w:t>Change in Market Value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r>
      <w:tr>
        <w:trPr>
          <w:trHeight w:val="224"/>
        </w:trPr>
        <w:tc>
          <w:tcPr>
            <w:tcW w:w="114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4"/>
        </w:trPr>
        <w:tc>
          <w:tcPr>
            <w:tcW w:w="5180" w:type="dxa"/>
            <w:vAlign w:val="bottom"/>
            <w:gridSpan w:val="2"/>
          </w:tcPr>
          <w:p>
            <w:pPr>
              <w:ind w:left="1140"/>
              <w:spacing w:after="0"/>
              <w:rPr>
                <w:sz w:val="20"/>
                <w:szCs w:val="20"/>
                <w:color w:val="auto"/>
              </w:rPr>
            </w:pPr>
            <w:r>
              <w:rPr>
                <w:rFonts w:ascii="Arial" w:cs="Arial" w:eastAsia="Arial" w:hAnsi="Arial"/>
                <w:sz w:val="18"/>
                <w:szCs w:val="18"/>
                <w:color w:val="auto"/>
              </w:rPr>
              <w:t>Sales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4"/>
        </w:trPr>
        <w:tc>
          <w:tcPr>
            <w:tcW w:w="114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8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17"/>
        </w:trPr>
        <w:tc>
          <w:tcPr>
            <w:tcW w:w="5180" w:type="dxa"/>
            <w:vAlign w:val="bottom"/>
            <w:gridSpan w:val="2"/>
          </w:tcPr>
          <w:p>
            <w:pPr>
              <w:ind w:left="1140"/>
              <w:spacing w:after="0"/>
              <w:rPr>
                <w:sz w:val="20"/>
                <w:szCs w:val="20"/>
                <w:color w:val="auto"/>
              </w:rPr>
            </w:pPr>
            <w:r>
              <w:rPr>
                <w:rFonts w:ascii="Arial" w:cs="Arial" w:eastAsia="Arial" w:hAnsi="Arial"/>
                <w:sz w:val="18"/>
                <w:szCs w:val="18"/>
                <w:color w:val="auto"/>
              </w:rPr>
              <w:t>Balance at December 31, 2020</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1,562</w:t>
            </w:r>
          </w:p>
        </w:tc>
        <w:tc>
          <w:tcPr>
            <w:tcW w:w="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5"/>
        </w:trPr>
        <w:tc>
          <w:tcPr>
            <w:tcW w:w="11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(In Thousands)</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11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gridSpan w:val="9"/>
          </w:tcPr>
          <w:p>
            <w:pPr>
              <w:jc w:val="center"/>
              <w:ind w:right="220"/>
              <w:spacing w:after="0"/>
              <w:rPr>
                <w:sz w:val="20"/>
                <w:szCs w:val="20"/>
                <w:color w:val="auto"/>
              </w:rPr>
            </w:pPr>
            <w:r>
              <w:rPr>
                <w:rFonts w:ascii="Arial" w:cs="Arial" w:eastAsia="Arial" w:hAnsi="Arial"/>
                <w:sz w:val="18"/>
                <w:szCs w:val="18"/>
                <w:color w:val="auto"/>
                <w:w w:val="88"/>
              </w:rPr>
              <w:t>Fair Value Measurements Using Significant</w:t>
            </w:r>
          </w:p>
        </w:tc>
      </w:tr>
      <w:tr>
        <w:trPr>
          <w:trHeight w:val="224"/>
        </w:trPr>
        <w:tc>
          <w:tcPr>
            <w:tcW w:w="11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8"/>
          </w:tcPr>
          <w:p>
            <w:pPr>
              <w:jc w:val="center"/>
              <w:ind w:right="52"/>
              <w:spacing w:after="0"/>
              <w:rPr>
                <w:sz w:val="20"/>
                <w:szCs w:val="20"/>
                <w:color w:val="auto"/>
              </w:rPr>
            </w:pPr>
            <w:r>
              <w:rPr>
                <w:rFonts w:ascii="Arial" w:cs="Arial" w:eastAsia="Arial" w:hAnsi="Arial"/>
                <w:sz w:val="18"/>
                <w:szCs w:val="18"/>
                <w:color w:val="auto"/>
                <w:w w:val="89"/>
              </w:rPr>
              <w:t>Unobservable Inputs (Level 3)</w:t>
            </w:r>
          </w:p>
        </w:tc>
        <w:tc>
          <w:tcPr>
            <w:tcW w:w="80" w:type="dxa"/>
            <w:vAlign w:val="bottom"/>
          </w:tcPr>
          <w:p>
            <w:pPr>
              <w:spacing w:after="0"/>
              <w:rPr>
                <w:sz w:val="19"/>
                <w:szCs w:val="19"/>
                <w:color w:val="auto"/>
              </w:rPr>
            </w:pPr>
          </w:p>
        </w:tc>
      </w:tr>
      <w:tr>
        <w:trPr>
          <w:trHeight w:val="217"/>
        </w:trPr>
        <w:tc>
          <w:tcPr>
            <w:tcW w:w="11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7"/>
              </w:rPr>
              <w:t>State and Local</w:t>
            </w:r>
          </w:p>
        </w:tc>
        <w:tc>
          <w:tcPr>
            <w:tcW w:w="18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6"/>
              </w:rPr>
              <w:t>State and Local</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86"/>
              </w:rPr>
              <w:t>State and Local</w:t>
            </w:r>
          </w:p>
        </w:tc>
      </w:tr>
      <w:tr>
        <w:trPr>
          <w:trHeight w:val="224"/>
        </w:trPr>
        <w:tc>
          <w:tcPr>
            <w:tcW w:w="11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52"/>
              <w:spacing w:after="0"/>
              <w:rPr>
                <w:sz w:val="20"/>
                <w:szCs w:val="20"/>
                <w:color w:val="auto"/>
              </w:rPr>
            </w:pPr>
            <w:r>
              <w:rPr>
                <w:rFonts w:ascii="Arial" w:cs="Arial" w:eastAsia="Arial" w:hAnsi="Arial"/>
                <w:sz w:val="18"/>
                <w:szCs w:val="18"/>
                <w:color w:val="auto"/>
                <w:w w:val="86"/>
              </w:rPr>
              <w:t>Governments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32"/>
              <w:spacing w:after="0"/>
              <w:rPr>
                <w:sz w:val="20"/>
                <w:szCs w:val="20"/>
                <w:color w:val="auto"/>
              </w:rPr>
            </w:pPr>
            <w:r>
              <w:rPr>
                <w:rFonts w:ascii="Arial" w:cs="Arial" w:eastAsia="Arial" w:hAnsi="Arial"/>
                <w:sz w:val="18"/>
                <w:szCs w:val="18"/>
                <w:color w:val="auto"/>
                <w:w w:val="88"/>
              </w:rPr>
              <w:t>Governments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Governments</w:t>
            </w:r>
          </w:p>
        </w:tc>
      </w:tr>
      <w:tr>
        <w:trPr>
          <w:trHeight w:val="224"/>
        </w:trPr>
        <w:tc>
          <w:tcPr>
            <w:tcW w:w="1140" w:type="dxa"/>
            <w:vAlign w:val="bottom"/>
          </w:tcPr>
          <w:p>
            <w:pPr>
              <w:spacing w:after="0"/>
              <w:rPr>
                <w:sz w:val="19"/>
                <w:szCs w:val="19"/>
                <w:color w:val="auto"/>
              </w:rPr>
            </w:pPr>
          </w:p>
        </w:tc>
        <w:tc>
          <w:tcPr>
            <w:tcW w:w="404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8"/>
              </w:rPr>
              <w:t>Tax-Exempt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7"/>
              </w:rPr>
              <w:t>Taxable</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Total</w:t>
            </w:r>
          </w:p>
        </w:tc>
        <w:tc>
          <w:tcPr>
            <w:tcW w:w="80" w:type="dxa"/>
            <w:vAlign w:val="bottom"/>
            <w:tcBorders>
              <w:bottom w:val="single" w:sz="8" w:color="CFF0FC"/>
            </w:tcBorders>
          </w:tcPr>
          <w:p>
            <w:pPr>
              <w:spacing w:after="0"/>
              <w:rPr>
                <w:sz w:val="19"/>
                <w:szCs w:val="19"/>
                <w:color w:val="auto"/>
              </w:rPr>
            </w:pPr>
          </w:p>
        </w:tc>
      </w:tr>
      <w:tr>
        <w:trPr>
          <w:trHeight w:val="217"/>
        </w:trPr>
        <w:tc>
          <w:tcPr>
            <w:tcW w:w="114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 2019</w:t>
            </w:r>
          </w:p>
        </w:tc>
        <w:tc>
          <w:tcPr>
            <w:tcW w:w="90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80" w:type="dxa"/>
            <w:vAlign w:val="bottom"/>
            <w:shd w:val="clear" w:color="auto" w:fill="CFF0FC"/>
          </w:tcPr>
          <w:p>
            <w:pPr>
              <w:spacing w:after="0"/>
              <w:rPr>
                <w:sz w:val="18"/>
                <w:szCs w:val="18"/>
                <w:color w:val="auto"/>
              </w:rPr>
            </w:pPr>
          </w:p>
        </w:tc>
      </w:tr>
      <w:tr>
        <w:trPr>
          <w:trHeight w:val="224"/>
        </w:trPr>
        <w:tc>
          <w:tcPr>
            <w:tcW w:w="5180" w:type="dxa"/>
            <w:vAlign w:val="bottom"/>
            <w:gridSpan w:val="2"/>
          </w:tcPr>
          <w:p>
            <w:pPr>
              <w:ind w:left="1140"/>
              <w:spacing w:after="0"/>
              <w:rPr>
                <w:sz w:val="20"/>
                <w:szCs w:val="20"/>
                <w:color w:val="auto"/>
              </w:rPr>
            </w:pPr>
            <w:r>
              <w:rPr>
                <w:rFonts w:ascii="Arial" w:cs="Arial" w:eastAsia="Arial" w:hAnsi="Arial"/>
                <w:sz w:val="18"/>
                <w:szCs w:val="18"/>
                <w:color w:val="auto"/>
              </w:rPr>
              <w:t>Change in Market Value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r>
      <w:tr>
        <w:trPr>
          <w:trHeight w:val="224"/>
        </w:trPr>
        <w:tc>
          <w:tcPr>
            <w:tcW w:w="114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4"/>
        </w:trPr>
        <w:tc>
          <w:tcPr>
            <w:tcW w:w="5180" w:type="dxa"/>
            <w:vAlign w:val="bottom"/>
            <w:gridSpan w:val="2"/>
          </w:tcPr>
          <w:p>
            <w:pPr>
              <w:ind w:left="1140"/>
              <w:spacing w:after="0"/>
              <w:rPr>
                <w:sz w:val="20"/>
                <w:szCs w:val="20"/>
                <w:color w:val="auto"/>
              </w:rPr>
            </w:pPr>
            <w:r>
              <w:rPr>
                <w:rFonts w:ascii="Arial" w:cs="Arial" w:eastAsia="Arial" w:hAnsi="Arial"/>
                <w:sz w:val="18"/>
                <w:szCs w:val="18"/>
                <w:color w:val="auto"/>
              </w:rPr>
              <w:t>Sales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4"/>
        </w:trPr>
        <w:tc>
          <w:tcPr>
            <w:tcW w:w="114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8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17"/>
        </w:trPr>
        <w:tc>
          <w:tcPr>
            <w:tcW w:w="5180" w:type="dxa"/>
            <w:vAlign w:val="bottom"/>
            <w:gridSpan w:val="2"/>
          </w:tcPr>
          <w:p>
            <w:pPr>
              <w:ind w:left="1140"/>
              <w:spacing w:after="0"/>
              <w:rPr>
                <w:sz w:val="20"/>
                <w:szCs w:val="20"/>
                <w:color w:val="auto"/>
              </w:rPr>
            </w:pPr>
            <w:r>
              <w:rPr>
                <w:rFonts w:ascii="Arial" w:cs="Arial" w:eastAsia="Arial" w:hAnsi="Arial"/>
                <w:sz w:val="18"/>
                <w:szCs w:val="18"/>
                <w:color w:val="auto"/>
              </w:rPr>
              <w:t>Balance at December 31, 2019</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1,490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1,490</w:t>
            </w:r>
          </w:p>
        </w:tc>
        <w:tc>
          <w:tcPr>
            <w:tcW w:w="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Most of the Company’s available for sale securities, including any bonds issued by local municipalities, have CUSIP numbers or have similar characteristics of those in the municipal markets, making them marketable and comparable as Level 2.</w:t>
      </w:r>
    </w:p>
    <w:p>
      <w:pPr>
        <w:spacing w:after="0" w:line="7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There have been no transfers into or out of Level 3 during 2020 and 2019.</w:t>
      </w:r>
    </w:p>
    <w:p>
      <w:pPr>
        <w:spacing w:after="0" w:line="109" w:lineRule="exact"/>
        <w:rPr>
          <w:sz w:val="20"/>
          <w:szCs w:val="20"/>
          <w:color w:val="auto"/>
        </w:rPr>
      </w:pPr>
    </w:p>
    <w:p>
      <w:pPr>
        <w:jc w:val="both"/>
        <w:ind w:left="800"/>
        <w:spacing w:after="0" w:line="287" w:lineRule="auto"/>
        <w:rPr>
          <w:sz w:val="20"/>
          <w:szCs w:val="20"/>
          <w:color w:val="auto"/>
        </w:rPr>
      </w:pPr>
      <w:r>
        <w:rPr>
          <w:rFonts w:ascii="Arial" w:cs="Arial" w:eastAsia="Arial" w:hAnsi="Arial"/>
          <w:sz w:val="16"/>
          <w:szCs w:val="16"/>
          <w:color w:val="auto"/>
        </w:rPr>
        <w:t>The Company also has assets that, under certain conditions, are subject to measurement at fair value on a non-recurring basis. At December 31, 2020 and 2019,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352"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At December 31, 2020 and 2019, collateral dependent impaired loans categorized as Level 3 were $7,703 and $444 thousand, respectively. The specific allocation for collateral dependent impaired loans was $1,657 thousand as of December 31, 2020 and $197 thousand as of December 31, 2019, respectively, which are accounted for in the allowance for loan losses (see Note 4).</w:t>
      </w:r>
    </w:p>
    <w:p>
      <w:pPr>
        <w:spacing w:after="0" w:line="83" w:lineRule="exact"/>
        <w:rPr>
          <w:sz w:val="20"/>
          <w:szCs w:val="20"/>
          <w:color w:val="auto"/>
        </w:rPr>
      </w:pPr>
    </w:p>
    <w:p>
      <w:pPr>
        <w:jc w:val="both"/>
        <w:ind w:left="800"/>
        <w:spacing w:after="0" w:line="248" w:lineRule="auto"/>
        <w:rPr>
          <w:sz w:val="20"/>
          <w:szCs w:val="20"/>
          <w:color w:val="auto"/>
        </w:rPr>
      </w:pPr>
      <w:r>
        <w:rPr>
          <w:rFonts w:ascii="Arial" w:cs="Arial" w:eastAsia="Arial" w:hAnsi="Arial"/>
          <w:sz w:val="18"/>
          <w:szCs w:val="18"/>
          <w:color w:val="auto"/>
        </w:rPr>
        <w:t>Other real estate is reported at the lower of either the fair value of the real estate, minus the estimated costs to sell the asset, or the cost of the asset. The determination of the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presents collateral dependent impaired loans and other real estate owned as recorded at fair value: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5"/>
          </w:tcPr>
          <w:p>
            <w:pPr>
              <w:jc w:val="center"/>
              <w:ind w:right="112"/>
              <w:spacing w:after="0"/>
              <w:rPr>
                <w:sz w:val="20"/>
                <w:szCs w:val="20"/>
                <w:color w:val="auto"/>
              </w:rPr>
            </w:pPr>
            <w:r>
              <w:rPr>
                <w:rFonts w:ascii="Arial" w:cs="Arial" w:eastAsia="Arial" w:hAnsi="Arial"/>
                <w:sz w:val="18"/>
                <w:szCs w:val="18"/>
                <w:color w:val="auto"/>
                <w:w w:val="87"/>
              </w:rPr>
              <w:t>($ in Thousands)</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7"/>
        </w:trPr>
        <w:tc>
          <w:tcPr>
            <w:tcW w:w="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740" w:type="dxa"/>
            <w:vAlign w:val="bottom"/>
            <w:gridSpan w:val="18"/>
          </w:tcPr>
          <w:p>
            <w:pPr>
              <w:jc w:val="center"/>
              <w:ind w:right="240"/>
              <w:spacing w:after="0"/>
              <w:rPr>
                <w:sz w:val="20"/>
                <w:szCs w:val="20"/>
                <w:color w:val="auto"/>
              </w:rPr>
            </w:pPr>
            <w:r>
              <w:rPr>
                <w:rFonts w:ascii="Arial" w:cs="Arial" w:eastAsia="Arial" w:hAnsi="Arial"/>
                <w:sz w:val="18"/>
                <w:szCs w:val="18"/>
                <w:color w:val="auto"/>
                <w:w w:val="87"/>
              </w:rPr>
              <w:t>Assets Measured at Fair Value on a Nonrecurring Basis at December 31, 2020</w:t>
            </w:r>
          </w:p>
        </w:tc>
        <w:tc>
          <w:tcPr>
            <w:tcW w:w="560" w:type="dxa"/>
            <w:vAlign w:val="bottom"/>
          </w:tcPr>
          <w:p>
            <w:pPr>
              <w:spacing w:after="0"/>
              <w:rPr>
                <w:sz w:val="18"/>
                <w:szCs w:val="18"/>
                <w:color w:val="auto"/>
              </w:rPr>
            </w:pPr>
          </w:p>
        </w:tc>
      </w:tr>
      <w:tr>
        <w:trPr>
          <w:trHeight w:val="217"/>
        </w:trPr>
        <w:tc>
          <w:tcPr>
            <w:tcW w:w="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Quoted Prices in</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4"/>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Markets for</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center"/>
              <w:ind w:left="52"/>
              <w:spacing w:after="0"/>
              <w:rPr>
                <w:sz w:val="20"/>
                <w:szCs w:val="20"/>
                <w:color w:val="auto"/>
              </w:rPr>
            </w:pPr>
            <w:r>
              <w:rPr>
                <w:rFonts w:ascii="Arial" w:cs="Arial" w:eastAsia="Arial" w:hAnsi="Arial"/>
                <w:sz w:val="18"/>
                <w:szCs w:val="18"/>
                <w:color w:val="auto"/>
                <w:w w:val="93"/>
              </w:rPr>
              <w:t>Significant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Significant</w:t>
            </w:r>
          </w:p>
        </w:tc>
        <w:tc>
          <w:tcPr>
            <w:tcW w:w="560" w:type="dxa"/>
            <w:vAlign w:val="bottom"/>
          </w:tcPr>
          <w:p>
            <w:pPr>
              <w:spacing w:after="0"/>
              <w:rPr>
                <w:sz w:val="19"/>
                <w:szCs w:val="19"/>
                <w:color w:val="auto"/>
              </w:rPr>
            </w:pPr>
          </w:p>
        </w:tc>
      </w:tr>
      <w:tr>
        <w:trPr>
          <w:trHeight w:val="224"/>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ind w:left="380"/>
              <w:spacing w:after="0"/>
              <w:rPr>
                <w:sz w:val="20"/>
                <w:szCs w:val="20"/>
                <w:color w:val="auto"/>
              </w:rPr>
            </w:pPr>
            <w:r>
              <w:rPr>
                <w:rFonts w:ascii="Arial" w:cs="Arial" w:eastAsia="Arial" w:hAnsi="Arial"/>
                <w:sz w:val="18"/>
                <w:szCs w:val="18"/>
                <w:color w:val="auto"/>
              </w:rPr>
              <w:t>Balance at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Identical</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87"/>
              </w:rPr>
              <w:t>Observable Inputs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Unobservable Inputs</w:t>
            </w:r>
          </w:p>
        </w:tc>
        <w:tc>
          <w:tcPr>
            <w:tcW w:w="560" w:type="dxa"/>
            <w:vAlign w:val="bottom"/>
          </w:tcPr>
          <w:p>
            <w:pPr>
              <w:spacing w:after="0"/>
              <w:rPr>
                <w:sz w:val="19"/>
                <w:szCs w:val="19"/>
                <w:color w:val="auto"/>
              </w:rPr>
            </w:pPr>
          </w:p>
        </w:tc>
      </w:tr>
      <w:tr>
        <w:trPr>
          <w:trHeight w:val="224"/>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w w:val="89"/>
              </w:rPr>
              <w:t>December 31, 2020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Assets (Level 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center"/>
              <w:ind w:left="52"/>
              <w:spacing w:after="0"/>
              <w:rPr>
                <w:sz w:val="20"/>
                <w:szCs w:val="20"/>
                <w:color w:val="auto"/>
              </w:rPr>
            </w:pPr>
            <w:r>
              <w:rPr>
                <w:rFonts w:ascii="Arial" w:cs="Arial" w:eastAsia="Arial" w:hAnsi="Arial"/>
                <w:sz w:val="18"/>
                <w:szCs w:val="18"/>
                <w:color w:val="auto"/>
                <w:w w:val="94"/>
              </w:rPr>
              <w:t>(Level 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color w:val="auto"/>
                <w:w w:val="94"/>
              </w:rPr>
              <w:t>(Level 3)</w:t>
            </w:r>
          </w:p>
        </w:tc>
        <w:tc>
          <w:tcPr>
            <w:tcW w:w="560" w:type="dxa"/>
            <w:vAlign w:val="bottom"/>
          </w:tcPr>
          <w:p>
            <w:pPr>
              <w:spacing w:after="0"/>
              <w:rPr>
                <w:sz w:val="19"/>
                <w:szCs w:val="19"/>
                <w:color w:val="auto"/>
              </w:rPr>
            </w:pPr>
          </w:p>
        </w:tc>
      </w:tr>
      <w:tr>
        <w:trPr>
          <w:trHeight w:val="205"/>
        </w:trPr>
        <w:tc>
          <w:tcPr>
            <w:tcW w:w="580" w:type="dxa"/>
            <w:vAlign w:val="bottom"/>
          </w:tcPr>
          <w:p>
            <w:pPr>
              <w:spacing w:after="0"/>
              <w:rPr>
                <w:sz w:val="17"/>
                <w:szCs w:val="17"/>
                <w:color w:val="auto"/>
              </w:rPr>
            </w:pPr>
          </w:p>
        </w:tc>
        <w:tc>
          <w:tcPr>
            <w:tcW w:w="256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Collateral dependent impaired</w:t>
            </w:r>
          </w:p>
        </w:tc>
        <w:tc>
          <w:tcPr>
            <w:tcW w:w="4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23"/>
        </w:trPr>
        <w:tc>
          <w:tcPr>
            <w:tcW w:w="580" w:type="dxa"/>
            <w:vAlign w:val="bottom"/>
          </w:tcPr>
          <w:p>
            <w:pPr>
              <w:spacing w:after="0"/>
              <w:rPr>
                <w:sz w:val="19"/>
                <w:szCs w:val="19"/>
                <w:color w:val="auto"/>
              </w:rPr>
            </w:pPr>
          </w:p>
        </w:tc>
        <w:tc>
          <w:tcPr>
            <w:tcW w:w="25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loans</w:t>
            </w:r>
          </w:p>
        </w:tc>
        <w:tc>
          <w:tcPr>
            <w:tcW w:w="800" w:type="dxa"/>
            <w:vAlign w:val="bottom"/>
            <w:gridSpan w:val="3"/>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7,703</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12"/>
              <w:spacing w:after="0"/>
              <w:rPr>
                <w:sz w:val="20"/>
                <w:szCs w:val="20"/>
                <w:color w:val="auto"/>
              </w:rPr>
            </w:pPr>
            <w:r>
              <w:rPr>
                <w:rFonts w:ascii="Arial" w:cs="Arial" w:eastAsia="Arial" w:hAnsi="Arial"/>
                <w:sz w:val="18"/>
                <w:szCs w:val="18"/>
                <w:color w:val="auto"/>
                <w:w w:val="79"/>
              </w:rPr>
              <w:t>$</w:t>
            </w:r>
          </w:p>
        </w:tc>
        <w:tc>
          <w:tcPr>
            <w:tcW w:w="160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  $</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7,703</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12"/>
        </w:trPr>
        <w:tc>
          <w:tcPr>
            <w:tcW w:w="3140" w:type="dxa"/>
            <w:vAlign w:val="bottom"/>
            <w:gridSpan w:val="2"/>
          </w:tcPr>
          <w:p>
            <w:pPr>
              <w:ind w:left="580"/>
              <w:spacing w:after="0"/>
              <w:rPr>
                <w:sz w:val="20"/>
                <w:szCs w:val="20"/>
                <w:color w:val="auto"/>
              </w:rPr>
            </w:pPr>
            <w:r>
              <w:rPr>
                <w:rFonts w:ascii="Arial" w:cs="Arial" w:eastAsia="Arial" w:hAnsi="Arial"/>
                <w:sz w:val="18"/>
                <w:szCs w:val="18"/>
                <w:color w:val="auto"/>
              </w:rPr>
              <w:t>Other real estate owned -</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256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5"/>
        </w:trPr>
        <w:tc>
          <w:tcPr>
            <w:tcW w:w="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680"/>
              <w:spacing w:after="0"/>
              <w:rPr>
                <w:sz w:val="20"/>
                <w:szCs w:val="20"/>
                <w:color w:val="auto"/>
              </w:rPr>
            </w:pPr>
            <w:r>
              <w:rPr>
                <w:rFonts w:ascii="Arial" w:cs="Arial" w:eastAsia="Arial" w:hAnsi="Arial"/>
                <w:sz w:val="18"/>
                <w:szCs w:val="18"/>
                <w:color w:val="auto"/>
              </w:rPr>
              <w:t>($ in Thousands)</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7"/>
        </w:trPr>
        <w:tc>
          <w:tcPr>
            <w:tcW w:w="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740" w:type="dxa"/>
            <w:vAlign w:val="bottom"/>
            <w:gridSpan w:val="18"/>
          </w:tcPr>
          <w:p>
            <w:pPr>
              <w:ind w:left="400"/>
              <w:spacing w:after="0"/>
              <w:rPr>
                <w:sz w:val="20"/>
                <w:szCs w:val="20"/>
                <w:color w:val="auto"/>
              </w:rPr>
            </w:pPr>
            <w:r>
              <w:rPr>
                <w:rFonts w:ascii="Arial" w:cs="Arial" w:eastAsia="Arial" w:hAnsi="Arial"/>
                <w:sz w:val="18"/>
                <w:szCs w:val="18"/>
                <w:color w:val="auto"/>
              </w:rPr>
              <w:t>Assets Measured at Fair Value on a Nonrecurring Basis at December 31, 2019</w:t>
            </w:r>
          </w:p>
        </w:tc>
        <w:tc>
          <w:tcPr>
            <w:tcW w:w="560" w:type="dxa"/>
            <w:vAlign w:val="bottom"/>
          </w:tcPr>
          <w:p>
            <w:pPr>
              <w:spacing w:after="0"/>
              <w:rPr>
                <w:sz w:val="18"/>
                <w:szCs w:val="18"/>
                <w:color w:val="auto"/>
              </w:rPr>
            </w:pPr>
          </w:p>
        </w:tc>
      </w:tr>
      <w:tr>
        <w:trPr>
          <w:trHeight w:val="217"/>
        </w:trPr>
        <w:tc>
          <w:tcPr>
            <w:tcW w:w="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ind w:right="72"/>
              <w:spacing w:after="0"/>
              <w:rPr>
                <w:sz w:val="20"/>
                <w:szCs w:val="20"/>
                <w:color w:val="auto"/>
              </w:rPr>
            </w:pPr>
            <w:r>
              <w:rPr>
                <w:rFonts w:ascii="Arial" w:cs="Arial" w:eastAsia="Arial" w:hAnsi="Arial"/>
                <w:sz w:val="18"/>
                <w:szCs w:val="18"/>
                <w:color w:val="auto"/>
                <w:w w:val="88"/>
              </w:rPr>
              <w:t>Quoted Prices in</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4"/>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jc w:val="center"/>
              <w:ind w:right="72"/>
              <w:spacing w:after="0"/>
              <w:rPr>
                <w:sz w:val="20"/>
                <w:szCs w:val="20"/>
                <w:color w:val="auto"/>
              </w:rPr>
            </w:pPr>
            <w:r>
              <w:rPr>
                <w:rFonts w:ascii="Arial" w:cs="Arial" w:eastAsia="Arial" w:hAnsi="Arial"/>
                <w:sz w:val="18"/>
                <w:szCs w:val="18"/>
                <w:color w:val="auto"/>
                <w:w w:val="91"/>
              </w:rPr>
              <w:t>Markets for</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Significant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8"/>
                <w:szCs w:val="18"/>
                <w:color w:val="auto"/>
                <w:w w:val="91"/>
              </w:rPr>
              <w:t>Significant</w:t>
            </w:r>
          </w:p>
        </w:tc>
        <w:tc>
          <w:tcPr>
            <w:tcW w:w="560" w:type="dxa"/>
            <w:vAlign w:val="bottom"/>
          </w:tcPr>
          <w:p>
            <w:pPr>
              <w:spacing w:after="0"/>
              <w:rPr>
                <w:sz w:val="19"/>
                <w:szCs w:val="19"/>
                <w:color w:val="auto"/>
              </w:rPr>
            </w:pPr>
          </w:p>
        </w:tc>
      </w:tr>
      <w:tr>
        <w:trPr>
          <w:trHeight w:val="224"/>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ind w:right="492"/>
              <w:spacing w:after="0"/>
              <w:rPr>
                <w:sz w:val="20"/>
                <w:szCs w:val="20"/>
                <w:color w:val="auto"/>
              </w:rPr>
            </w:pPr>
            <w:r>
              <w:rPr>
                <w:rFonts w:ascii="Arial" w:cs="Arial" w:eastAsia="Arial" w:hAnsi="Arial"/>
                <w:sz w:val="18"/>
                <w:szCs w:val="18"/>
                <w:color w:val="auto"/>
              </w:rPr>
              <w:t>Balance at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jc w:val="center"/>
              <w:ind w:right="72"/>
              <w:spacing w:after="0"/>
              <w:rPr>
                <w:sz w:val="20"/>
                <w:szCs w:val="20"/>
                <w:color w:val="auto"/>
              </w:rPr>
            </w:pPr>
            <w:r>
              <w:rPr>
                <w:rFonts w:ascii="Arial" w:cs="Arial" w:eastAsia="Arial" w:hAnsi="Arial"/>
                <w:sz w:val="18"/>
                <w:szCs w:val="18"/>
                <w:color w:val="auto"/>
                <w:w w:val="92"/>
              </w:rPr>
              <w:t>Identical</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Observable Inputs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5"/>
          </w:tcPr>
          <w:p>
            <w:pPr>
              <w:jc w:val="center"/>
              <w:ind w:right="100"/>
              <w:spacing w:after="0"/>
              <w:rPr>
                <w:sz w:val="20"/>
                <w:szCs w:val="20"/>
                <w:color w:val="auto"/>
              </w:rPr>
            </w:pPr>
            <w:r>
              <w:rPr>
                <w:rFonts w:ascii="Arial" w:cs="Arial" w:eastAsia="Arial" w:hAnsi="Arial"/>
                <w:sz w:val="18"/>
                <w:szCs w:val="18"/>
                <w:color w:val="auto"/>
                <w:w w:val="87"/>
              </w:rPr>
              <w:t>Unobservable Inputs</w:t>
            </w:r>
          </w:p>
        </w:tc>
        <w:tc>
          <w:tcPr>
            <w:tcW w:w="560" w:type="dxa"/>
            <w:vAlign w:val="bottom"/>
          </w:tcPr>
          <w:p>
            <w:pPr>
              <w:spacing w:after="0"/>
              <w:rPr>
                <w:sz w:val="19"/>
                <w:szCs w:val="19"/>
                <w:color w:val="auto"/>
              </w:rPr>
            </w:pPr>
          </w:p>
        </w:tc>
      </w:tr>
      <w:tr>
        <w:trPr>
          <w:trHeight w:val="224"/>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jc w:val="center"/>
              <w:ind w:right="72"/>
              <w:spacing w:after="0"/>
              <w:rPr>
                <w:sz w:val="20"/>
                <w:szCs w:val="20"/>
                <w:color w:val="auto"/>
              </w:rPr>
            </w:pPr>
            <w:r>
              <w:rPr>
                <w:rFonts w:ascii="Arial" w:cs="Arial" w:eastAsia="Arial" w:hAnsi="Arial"/>
                <w:sz w:val="18"/>
                <w:szCs w:val="18"/>
                <w:color w:val="auto"/>
                <w:w w:val="88"/>
              </w:rPr>
              <w:t>Assets (Level 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(Level 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8"/>
                <w:szCs w:val="18"/>
                <w:color w:val="auto"/>
                <w:w w:val="91"/>
              </w:rPr>
              <w:t>(Level 3)</w:t>
            </w:r>
          </w:p>
        </w:tc>
        <w:tc>
          <w:tcPr>
            <w:tcW w:w="560" w:type="dxa"/>
            <w:vAlign w:val="bottom"/>
          </w:tcPr>
          <w:p>
            <w:pPr>
              <w:spacing w:after="0"/>
              <w:rPr>
                <w:sz w:val="19"/>
                <w:szCs w:val="19"/>
                <w:color w:val="auto"/>
              </w:rPr>
            </w:pPr>
          </w:p>
        </w:tc>
      </w:tr>
      <w:tr>
        <w:trPr>
          <w:trHeight w:val="205"/>
        </w:trPr>
        <w:tc>
          <w:tcPr>
            <w:tcW w:w="580" w:type="dxa"/>
            <w:vAlign w:val="bottom"/>
          </w:tcPr>
          <w:p>
            <w:pPr>
              <w:spacing w:after="0"/>
              <w:rPr>
                <w:sz w:val="17"/>
                <w:szCs w:val="17"/>
                <w:color w:val="auto"/>
              </w:rPr>
            </w:pPr>
          </w:p>
        </w:tc>
        <w:tc>
          <w:tcPr>
            <w:tcW w:w="256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Collateral dependent impaired</w:t>
            </w:r>
          </w:p>
        </w:tc>
        <w:tc>
          <w:tcPr>
            <w:tcW w:w="4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23"/>
        </w:trPr>
        <w:tc>
          <w:tcPr>
            <w:tcW w:w="580" w:type="dxa"/>
            <w:vAlign w:val="bottom"/>
          </w:tcPr>
          <w:p>
            <w:pPr>
              <w:spacing w:after="0"/>
              <w:rPr>
                <w:sz w:val="19"/>
                <w:szCs w:val="19"/>
                <w:color w:val="auto"/>
              </w:rPr>
            </w:pPr>
          </w:p>
        </w:tc>
        <w:tc>
          <w:tcPr>
            <w:tcW w:w="25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loans</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3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12"/>
        </w:trPr>
        <w:tc>
          <w:tcPr>
            <w:tcW w:w="3140" w:type="dxa"/>
            <w:vAlign w:val="bottom"/>
            <w:gridSpan w:val="2"/>
          </w:tcPr>
          <w:p>
            <w:pPr>
              <w:ind w:left="580"/>
              <w:spacing w:after="0"/>
              <w:rPr>
                <w:sz w:val="20"/>
                <w:szCs w:val="20"/>
                <w:color w:val="auto"/>
              </w:rPr>
            </w:pPr>
            <w:r>
              <w:rPr>
                <w:rFonts w:ascii="Arial" w:cs="Arial" w:eastAsia="Arial" w:hAnsi="Arial"/>
                <w:sz w:val="18"/>
                <w:szCs w:val="18"/>
                <w:color w:val="auto"/>
              </w:rPr>
              <w:t>Other real estate owned -</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256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2"/>
        </w:trPr>
        <w:tc>
          <w:tcPr>
            <w:tcW w:w="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100</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2"/>
        </w:trPr>
        <w:tc>
          <w:tcPr>
            <w:tcW w:w="58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200" w:lineRule="exact"/>
        <w:rPr>
          <w:sz w:val="20"/>
          <w:szCs w:val="20"/>
          <w:color w:val="auto"/>
        </w:rPr>
      </w:pPr>
    </w:p>
    <w:p>
      <w:pPr>
        <w:spacing w:after="0" w:line="258"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The following table presents quantitative information about unobservable inputs used in recurring and nonrecurring Level 3 fair value measurements: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(In Thousands)</w:t>
            </w: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05"/>
        </w:trPr>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360"/>
              <w:spacing w:after="0" w:line="205" w:lineRule="exact"/>
              <w:rPr>
                <w:sz w:val="20"/>
                <w:szCs w:val="20"/>
                <w:color w:val="auto"/>
              </w:rPr>
            </w:pPr>
            <w:r>
              <w:rPr>
                <w:rFonts w:ascii="Arial" w:cs="Arial" w:eastAsia="Arial" w:hAnsi="Arial"/>
                <w:sz w:val="18"/>
                <w:szCs w:val="18"/>
                <w:color w:val="auto"/>
                <w:w w:val="86"/>
              </w:rPr>
              <w:t>Fair Value at</w:t>
            </w: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1"/>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December 31,</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2"/>
              </w:rPr>
              <w:t>Range</w:t>
            </w:r>
          </w:p>
        </w:tc>
      </w:tr>
      <w:tr>
        <w:trPr>
          <w:trHeight w:val="223"/>
        </w:trPr>
        <w:tc>
          <w:tcPr>
            <w:tcW w:w="24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2020</w:t>
            </w:r>
          </w:p>
        </w:tc>
        <w:tc>
          <w:tcPr>
            <w:tcW w:w="220" w:type="dxa"/>
            <w:vAlign w:val="bottom"/>
            <w:tcBorders>
              <w:bottom w:val="single" w:sz="8" w:color="CFF0FC"/>
            </w:tcBorders>
          </w:tcPr>
          <w:p>
            <w:pPr>
              <w:spacing w:after="0"/>
              <w:rPr>
                <w:sz w:val="19"/>
                <w:szCs w:val="19"/>
                <w:color w:val="auto"/>
              </w:rPr>
            </w:pPr>
          </w:p>
        </w:tc>
        <w:tc>
          <w:tcPr>
            <w:tcW w:w="21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Valuation Technique</w:t>
            </w:r>
          </w:p>
        </w:tc>
        <w:tc>
          <w:tcPr>
            <w:tcW w:w="120" w:type="dxa"/>
            <w:vAlign w:val="bottom"/>
            <w:tcBorders>
              <w:bottom w:val="single" w:sz="8" w:color="CFF0FC"/>
            </w:tcBorders>
          </w:tcPr>
          <w:p>
            <w:pPr>
              <w:spacing w:after="0"/>
              <w:rPr>
                <w:sz w:val="19"/>
                <w:szCs w:val="19"/>
                <w:color w:val="auto"/>
              </w:rPr>
            </w:pPr>
          </w:p>
        </w:tc>
        <w:tc>
          <w:tcPr>
            <w:tcW w:w="32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Unobservable Inputs</w:t>
            </w:r>
          </w:p>
        </w:tc>
        <w:tc>
          <w:tcPr>
            <w:tcW w:w="120" w:type="dxa"/>
            <w:vAlign w:val="bottom"/>
            <w:tcBorders>
              <w:bottom w:val="single" w:sz="8" w:color="CFF0FC"/>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(Weighted Average)</w:t>
            </w:r>
          </w:p>
        </w:tc>
      </w:tr>
      <w:tr>
        <w:trPr>
          <w:trHeight w:val="205"/>
        </w:trPr>
        <w:tc>
          <w:tcPr>
            <w:tcW w:w="2440" w:type="dxa"/>
            <w:vAlign w:val="bottom"/>
            <w:shd w:val="clear" w:color="auto" w:fill="CFF0FC"/>
          </w:tcPr>
          <w:p>
            <w:pPr>
              <w:spacing w:after="0" w:line="205" w:lineRule="exact"/>
              <w:rPr>
                <w:sz w:val="20"/>
                <w:szCs w:val="20"/>
                <w:color w:val="auto"/>
              </w:rPr>
            </w:pPr>
            <w:r>
              <w:rPr>
                <w:rFonts w:ascii="Arial" w:cs="Arial" w:eastAsia="Arial" w:hAnsi="Arial"/>
                <w:sz w:val="18"/>
                <w:szCs w:val="18"/>
                <w:color w:val="auto"/>
              </w:rPr>
              <w:t>State and local</w:t>
            </w: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17"/>
                <w:szCs w:val="17"/>
                <w:color w:val="auto"/>
              </w:rPr>
            </w:pPr>
          </w:p>
        </w:tc>
        <w:tc>
          <w:tcPr>
            <w:tcW w:w="3460" w:type="dxa"/>
            <w:vAlign w:val="bottom"/>
            <w:gridSpan w:val="3"/>
            <w:shd w:val="clear" w:color="auto" w:fill="CFF0FC"/>
          </w:tcPr>
          <w:p>
            <w:pPr>
              <w:ind w:left="120"/>
              <w:spacing w:after="0" w:line="205" w:lineRule="exact"/>
              <w:rPr>
                <w:sz w:val="20"/>
                <w:szCs w:val="20"/>
                <w:color w:val="auto"/>
              </w:rPr>
            </w:pPr>
            <w:r>
              <w:rPr>
                <w:rFonts w:ascii="Arial" w:cs="Arial" w:eastAsia="Arial" w:hAnsi="Arial"/>
                <w:sz w:val="18"/>
                <w:szCs w:val="18"/>
                <w:color w:val="auto"/>
              </w:rPr>
              <w:t>Credit strength of underlying project or</w:t>
            </w:r>
          </w:p>
        </w:tc>
        <w:tc>
          <w:tcPr>
            <w:tcW w:w="1600" w:type="dxa"/>
            <w:vAlign w:val="bottom"/>
            <w:shd w:val="clear" w:color="auto" w:fill="CFF0FC"/>
          </w:tcPr>
          <w:p>
            <w:pPr>
              <w:jc w:val="center"/>
              <w:spacing w:after="0" w:line="205" w:lineRule="exact"/>
              <w:rPr>
                <w:sz w:val="20"/>
                <w:szCs w:val="20"/>
                <w:color w:val="auto"/>
              </w:rPr>
            </w:pPr>
            <w:r>
              <w:rPr>
                <w:rFonts w:ascii="Arial" w:cs="Arial" w:eastAsia="Arial" w:hAnsi="Arial"/>
                <w:sz w:val="18"/>
                <w:szCs w:val="18"/>
                <w:color w:val="auto"/>
                <w:w w:val="89"/>
              </w:rPr>
              <w:t>1.19-1.19%</w:t>
            </w:r>
          </w:p>
        </w:tc>
      </w:tr>
      <w:tr>
        <w:trPr>
          <w:trHeight w:val="223"/>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government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22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34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entity / Discount rate</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(1.19%)</w:t>
            </w:r>
          </w:p>
        </w:tc>
      </w:tr>
      <w:tr>
        <w:trPr>
          <w:trHeight w:val="212"/>
        </w:trPr>
        <w:tc>
          <w:tcPr>
            <w:tcW w:w="2440" w:type="dxa"/>
            <w:vAlign w:val="bottom"/>
          </w:tcPr>
          <w:p>
            <w:pPr>
              <w:spacing w:after="0"/>
              <w:rPr>
                <w:sz w:val="20"/>
                <w:szCs w:val="20"/>
                <w:color w:val="auto"/>
              </w:rPr>
            </w:pPr>
            <w:r>
              <w:rPr>
                <w:rFonts w:ascii="Arial" w:cs="Arial" w:eastAsia="Arial" w:hAnsi="Arial"/>
                <w:sz w:val="18"/>
                <w:szCs w:val="18"/>
                <w:color w:val="auto"/>
              </w:rPr>
              <w:t>Collateral dependent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Collateral based</w:t>
            </w:r>
          </w:p>
        </w:tc>
        <w:tc>
          <w:tcPr>
            <w:tcW w:w="3460" w:type="dxa"/>
            <w:vAlign w:val="bottom"/>
            <w:gridSpan w:val="3"/>
          </w:tcPr>
          <w:p>
            <w:pPr>
              <w:ind w:left="120"/>
              <w:spacing w:after="0"/>
              <w:rPr>
                <w:sz w:val="20"/>
                <w:szCs w:val="20"/>
                <w:color w:val="auto"/>
              </w:rPr>
            </w:pPr>
            <w:r>
              <w:rPr>
                <w:rFonts w:ascii="Arial" w:cs="Arial" w:eastAsia="Arial" w:hAnsi="Arial"/>
                <w:sz w:val="18"/>
                <w:szCs w:val="18"/>
                <w:color w:val="auto"/>
                <w:w w:val="94"/>
              </w:rPr>
              <w:t>Discount to reflect current market conditions</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0.71-100%</w:t>
            </w:r>
          </w:p>
        </w:tc>
      </w:tr>
      <w:tr>
        <w:trPr>
          <w:trHeight w:val="223"/>
        </w:trPr>
        <w:tc>
          <w:tcPr>
            <w:tcW w:w="2440" w:type="dxa"/>
            <w:vAlign w:val="bottom"/>
          </w:tcPr>
          <w:p>
            <w:pPr>
              <w:ind w:left="140"/>
              <w:spacing w:after="0"/>
              <w:rPr>
                <w:sz w:val="20"/>
                <w:szCs w:val="20"/>
                <w:color w:val="auto"/>
              </w:rPr>
            </w:pPr>
            <w:r>
              <w:rPr>
                <w:rFonts w:ascii="Arial" w:cs="Arial" w:eastAsia="Arial" w:hAnsi="Arial"/>
                <w:sz w:val="18"/>
                <w:szCs w:val="18"/>
                <w:color w:val="auto"/>
              </w:rPr>
              <w:t>impaired loans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7,703</w:t>
            </w:r>
          </w:p>
        </w:tc>
        <w:tc>
          <w:tcPr>
            <w:tcW w:w="2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measurements</w:t>
            </w:r>
          </w:p>
        </w:tc>
        <w:tc>
          <w:tcPr>
            <w:tcW w:w="3460" w:type="dxa"/>
            <w:vAlign w:val="bottom"/>
            <w:gridSpan w:val="3"/>
          </w:tcPr>
          <w:p>
            <w:pPr>
              <w:ind w:left="120"/>
              <w:spacing w:after="0"/>
              <w:rPr>
                <w:sz w:val="20"/>
                <w:szCs w:val="20"/>
                <w:color w:val="auto"/>
              </w:rPr>
            </w:pPr>
            <w:r>
              <w:rPr>
                <w:rFonts w:ascii="Arial" w:cs="Arial" w:eastAsia="Arial" w:hAnsi="Arial"/>
                <w:sz w:val="18"/>
                <w:szCs w:val="18"/>
                <w:color w:val="auto"/>
              </w:rPr>
              <w:t>and ultimate collectability</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(17.71%)</w:t>
            </w:r>
          </w:p>
        </w:tc>
      </w:tr>
      <w:tr>
        <w:trPr>
          <w:trHeight w:val="212"/>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 %</w:t>
            </w:r>
          </w:p>
        </w:tc>
      </w:tr>
      <w:tr>
        <w:trPr>
          <w:trHeight w:val="223"/>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owned - commercial</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Appraisals</w:t>
            </w:r>
          </w:p>
        </w:tc>
        <w:tc>
          <w:tcPr>
            <w:tcW w:w="34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Discount to reflect current market</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 — )</w:t>
            </w:r>
          </w:p>
        </w:tc>
      </w:tr>
      <w:tr>
        <w:trPr>
          <w:trHeight w:val="434"/>
        </w:trPr>
        <w:tc>
          <w:tcPr>
            <w:tcW w:w="2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(In Thousands)</w:t>
            </w:r>
          </w:p>
        </w:tc>
        <w:tc>
          <w:tcPr>
            <w:tcW w:w="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5"/>
        </w:trPr>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360"/>
              <w:spacing w:after="0" w:line="205" w:lineRule="exact"/>
              <w:rPr>
                <w:sz w:val="20"/>
                <w:szCs w:val="20"/>
                <w:color w:val="auto"/>
              </w:rPr>
            </w:pPr>
            <w:r>
              <w:rPr>
                <w:rFonts w:ascii="Arial" w:cs="Arial" w:eastAsia="Arial" w:hAnsi="Arial"/>
                <w:sz w:val="18"/>
                <w:szCs w:val="18"/>
                <w:color w:val="auto"/>
                <w:w w:val="86"/>
              </w:rPr>
              <w:t>Fair Value at</w:t>
            </w: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1"/>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December 31,</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2"/>
              </w:rPr>
              <w:t>Range</w:t>
            </w:r>
          </w:p>
        </w:tc>
      </w:tr>
      <w:tr>
        <w:trPr>
          <w:trHeight w:val="223"/>
        </w:trPr>
        <w:tc>
          <w:tcPr>
            <w:tcW w:w="24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2019</w:t>
            </w:r>
          </w:p>
        </w:tc>
        <w:tc>
          <w:tcPr>
            <w:tcW w:w="220" w:type="dxa"/>
            <w:vAlign w:val="bottom"/>
            <w:tcBorders>
              <w:bottom w:val="single" w:sz="8" w:color="CFF0FC"/>
            </w:tcBorders>
          </w:tcPr>
          <w:p>
            <w:pPr>
              <w:spacing w:after="0"/>
              <w:rPr>
                <w:sz w:val="19"/>
                <w:szCs w:val="19"/>
                <w:color w:val="auto"/>
              </w:rPr>
            </w:pPr>
          </w:p>
        </w:tc>
        <w:tc>
          <w:tcPr>
            <w:tcW w:w="21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Valuation Technique</w:t>
            </w:r>
          </w:p>
        </w:tc>
        <w:tc>
          <w:tcPr>
            <w:tcW w:w="120" w:type="dxa"/>
            <w:vAlign w:val="bottom"/>
            <w:tcBorders>
              <w:bottom w:val="single" w:sz="8" w:color="CFF0FC"/>
            </w:tcBorders>
          </w:tcPr>
          <w:p>
            <w:pPr>
              <w:spacing w:after="0"/>
              <w:rPr>
                <w:sz w:val="19"/>
                <w:szCs w:val="19"/>
                <w:color w:val="auto"/>
              </w:rPr>
            </w:pPr>
          </w:p>
        </w:tc>
        <w:tc>
          <w:tcPr>
            <w:tcW w:w="32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Unobservable Inputs</w:t>
            </w:r>
          </w:p>
        </w:tc>
        <w:tc>
          <w:tcPr>
            <w:tcW w:w="120" w:type="dxa"/>
            <w:vAlign w:val="bottom"/>
            <w:tcBorders>
              <w:bottom w:val="single" w:sz="8" w:color="CFF0FC"/>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(Weighted Average)</w:t>
            </w:r>
          </w:p>
        </w:tc>
      </w:tr>
      <w:tr>
        <w:trPr>
          <w:trHeight w:val="205"/>
        </w:trPr>
        <w:tc>
          <w:tcPr>
            <w:tcW w:w="2440" w:type="dxa"/>
            <w:vAlign w:val="bottom"/>
            <w:shd w:val="clear" w:color="auto" w:fill="CFF0FC"/>
          </w:tcPr>
          <w:p>
            <w:pPr>
              <w:spacing w:after="0" w:line="205" w:lineRule="exact"/>
              <w:rPr>
                <w:sz w:val="20"/>
                <w:szCs w:val="20"/>
                <w:color w:val="auto"/>
              </w:rPr>
            </w:pPr>
            <w:r>
              <w:rPr>
                <w:rFonts w:ascii="Arial" w:cs="Arial" w:eastAsia="Arial" w:hAnsi="Arial"/>
                <w:sz w:val="18"/>
                <w:szCs w:val="18"/>
                <w:color w:val="auto"/>
              </w:rPr>
              <w:t>State and local</w:t>
            </w: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17"/>
                <w:szCs w:val="17"/>
                <w:color w:val="auto"/>
              </w:rPr>
            </w:pPr>
          </w:p>
        </w:tc>
        <w:tc>
          <w:tcPr>
            <w:tcW w:w="3460" w:type="dxa"/>
            <w:vAlign w:val="bottom"/>
            <w:gridSpan w:val="3"/>
            <w:shd w:val="clear" w:color="auto" w:fill="CFF0FC"/>
          </w:tcPr>
          <w:p>
            <w:pPr>
              <w:ind w:left="120"/>
              <w:spacing w:after="0" w:line="205" w:lineRule="exact"/>
              <w:rPr>
                <w:sz w:val="20"/>
                <w:szCs w:val="20"/>
                <w:color w:val="auto"/>
              </w:rPr>
            </w:pPr>
            <w:r>
              <w:rPr>
                <w:rFonts w:ascii="Arial" w:cs="Arial" w:eastAsia="Arial" w:hAnsi="Arial"/>
                <w:sz w:val="18"/>
                <w:szCs w:val="18"/>
                <w:color w:val="auto"/>
              </w:rPr>
              <w:t>Credit strength of underlying project or</w:t>
            </w:r>
          </w:p>
        </w:tc>
        <w:tc>
          <w:tcPr>
            <w:tcW w:w="1600" w:type="dxa"/>
            <w:vAlign w:val="bottom"/>
            <w:shd w:val="clear" w:color="auto" w:fill="CFF0FC"/>
          </w:tcPr>
          <w:p>
            <w:pPr>
              <w:jc w:val="center"/>
              <w:spacing w:after="0" w:line="205" w:lineRule="exact"/>
              <w:rPr>
                <w:sz w:val="20"/>
                <w:szCs w:val="20"/>
                <w:color w:val="auto"/>
              </w:rPr>
            </w:pPr>
            <w:r>
              <w:rPr>
                <w:rFonts w:ascii="Arial" w:cs="Arial" w:eastAsia="Arial" w:hAnsi="Arial"/>
                <w:sz w:val="18"/>
                <w:szCs w:val="18"/>
                <w:color w:val="auto"/>
                <w:w w:val="90"/>
              </w:rPr>
              <w:t>0-5%</w:t>
            </w:r>
          </w:p>
        </w:tc>
      </w:tr>
      <w:tr>
        <w:trPr>
          <w:trHeight w:val="223"/>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government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22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34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entity / Discount rate</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(2.52%)</w:t>
            </w:r>
          </w:p>
        </w:tc>
      </w:tr>
      <w:tr>
        <w:trPr>
          <w:trHeight w:val="212"/>
        </w:trPr>
        <w:tc>
          <w:tcPr>
            <w:tcW w:w="2440" w:type="dxa"/>
            <w:vAlign w:val="bottom"/>
          </w:tcPr>
          <w:p>
            <w:pPr>
              <w:spacing w:after="0"/>
              <w:rPr>
                <w:sz w:val="20"/>
                <w:szCs w:val="20"/>
                <w:color w:val="auto"/>
              </w:rPr>
            </w:pPr>
            <w:r>
              <w:rPr>
                <w:rFonts w:ascii="Arial" w:cs="Arial" w:eastAsia="Arial" w:hAnsi="Arial"/>
                <w:sz w:val="18"/>
                <w:szCs w:val="18"/>
                <w:color w:val="auto"/>
              </w:rPr>
              <w:t>Collateral dependent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Collateral based</w:t>
            </w:r>
          </w:p>
        </w:tc>
        <w:tc>
          <w:tcPr>
            <w:tcW w:w="3460" w:type="dxa"/>
            <w:vAlign w:val="bottom"/>
            <w:gridSpan w:val="3"/>
          </w:tcPr>
          <w:p>
            <w:pPr>
              <w:ind w:left="120"/>
              <w:spacing w:after="0"/>
              <w:rPr>
                <w:sz w:val="20"/>
                <w:szCs w:val="20"/>
                <w:color w:val="auto"/>
              </w:rPr>
            </w:pPr>
            <w:r>
              <w:rPr>
                <w:rFonts w:ascii="Arial" w:cs="Arial" w:eastAsia="Arial" w:hAnsi="Arial"/>
                <w:sz w:val="18"/>
                <w:szCs w:val="18"/>
                <w:color w:val="auto"/>
                <w:w w:val="94"/>
              </w:rPr>
              <w:t>Discount to reflect current market conditions</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0-50%</w:t>
            </w:r>
          </w:p>
        </w:tc>
      </w:tr>
      <w:tr>
        <w:trPr>
          <w:trHeight w:val="223"/>
        </w:trPr>
        <w:tc>
          <w:tcPr>
            <w:tcW w:w="2440" w:type="dxa"/>
            <w:vAlign w:val="bottom"/>
          </w:tcPr>
          <w:p>
            <w:pPr>
              <w:ind w:left="140"/>
              <w:spacing w:after="0"/>
              <w:rPr>
                <w:sz w:val="20"/>
                <w:szCs w:val="20"/>
                <w:color w:val="auto"/>
              </w:rPr>
            </w:pPr>
            <w:r>
              <w:rPr>
                <w:rFonts w:ascii="Arial" w:cs="Arial" w:eastAsia="Arial" w:hAnsi="Arial"/>
                <w:sz w:val="18"/>
                <w:szCs w:val="18"/>
                <w:color w:val="auto"/>
              </w:rPr>
              <w:t>impaired loans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444</w:t>
            </w:r>
          </w:p>
        </w:tc>
        <w:tc>
          <w:tcPr>
            <w:tcW w:w="2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measurements</w:t>
            </w:r>
          </w:p>
        </w:tc>
        <w:tc>
          <w:tcPr>
            <w:tcW w:w="3460" w:type="dxa"/>
            <w:vAlign w:val="bottom"/>
            <w:gridSpan w:val="3"/>
          </w:tcPr>
          <w:p>
            <w:pPr>
              <w:ind w:left="120"/>
              <w:spacing w:after="0"/>
              <w:rPr>
                <w:sz w:val="20"/>
                <w:szCs w:val="20"/>
                <w:color w:val="auto"/>
              </w:rPr>
            </w:pPr>
            <w:r>
              <w:rPr>
                <w:rFonts w:ascii="Arial" w:cs="Arial" w:eastAsia="Arial" w:hAnsi="Arial"/>
                <w:sz w:val="18"/>
                <w:szCs w:val="18"/>
                <w:color w:val="auto"/>
              </w:rPr>
              <w:t>and ultimate collectability</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(30.73%)</w:t>
            </w:r>
          </w:p>
        </w:tc>
      </w:tr>
      <w:tr>
        <w:trPr>
          <w:trHeight w:val="212"/>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0-20 %</w:t>
            </w:r>
          </w:p>
        </w:tc>
      </w:tr>
      <w:tr>
        <w:trPr>
          <w:trHeight w:val="223"/>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owned - commercial</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Appraisals</w:t>
            </w:r>
          </w:p>
        </w:tc>
        <w:tc>
          <w:tcPr>
            <w:tcW w:w="34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Discount to reflect current market</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( 23.31%)</w:t>
            </w:r>
          </w:p>
        </w:tc>
      </w:tr>
    </w:tbl>
    <w:p>
      <w:pPr>
        <w:spacing w:after="0" w:line="198" w:lineRule="exact"/>
        <w:rPr>
          <w:sz w:val="20"/>
          <w:szCs w:val="20"/>
          <w:color w:val="auto"/>
        </w:rPr>
      </w:pPr>
    </w:p>
    <w:p>
      <w:pPr>
        <w:jc w:val="both"/>
        <w:ind w:left="800"/>
        <w:spacing w:after="0" w:line="291" w:lineRule="auto"/>
        <w:rPr>
          <w:sz w:val="20"/>
          <w:szCs w:val="20"/>
          <w:color w:val="auto"/>
        </w:rPr>
      </w:pPr>
      <w:r>
        <w:rPr>
          <w:rFonts w:ascii="Arial" w:cs="Arial" w:eastAsia="Arial" w:hAnsi="Arial"/>
          <w:sz w:val="16"/>
          <w:szCs w:val="16"/>
          <w:color w:val="auto"/>
        </w:rPr>
        <w:t>The Company also has other assets, which under certain conditions, are subject to measurement at fair value. These assets include loans held for sale and mortgage servicing rights. The Company estimated the fair values of these assets utilizing Level 3 inputs, including, the discounted present value of expected future cash flows. At December 31, 2020, the Company estimates that there is no impairment of these assets and therefore, no impairment charge to other expense was required to adjust these assets to their estimated fair values.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Note 18 – Condensed Financial Statements of Parent Company</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1140" w:type="dxa"/>
            <w:vAlign w:val="bottom"/>
          </w:tcPr>
          <w:p>
            <w:pPr>
              <w:spacing w:after="0"/>
              <w:rPr>
                <w:sz w:val="24"/>
                <w:szCs w:val="24"/>
                <w:color w:val="auto"/>
              </w:rPr>
            </w:pPr>
          </w:p>
        </w:tc>
        <w:tc>
          <w:tcPr>
            <w:tcW w:w="5120" w:type="dxa"/>
            <w:vAlign w:val="bottom"/>
          </w:tcPr>
          <w:p>
            <w:pPr>
              <w:ind w:left="2440"/>
              <w:spacing w:after="0"/>
              <w:rPr>
                <w:sz w:val="20"/>
                <w:szCs w:val="20"/>
                <w:color w:val="auto"/>
              </w:rPr>
            </w:pPr>
            <w:r>
              <w:rPr>
                <w:rFonts w:ascii="Arial" w:cs="Arial" w:eastAsia="Arial" w:hAnsi="Arial"/>
                <w:sz w:val="18"/>
                <w:szCs w:val="18"/>
                <w:b w:val="1"/>
                <w:bCs w:val="1"/>
                <w:color w:val="auto"/>
              </w:rPr>
              <w:t>Balance Sheets</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(In Thousands)</w:t>
            </w: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120" w:type="dxa"/>
            <w:vAlign w:val="bottom"/>
            <w:tcBorders>
              <w:bottom w:val="single" w:sz="8" w:color="CFF0FC"/>
            </w:tcBorders>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w w:val="84"/>
              </w:rPr>
              <w:t>2019</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Cash</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5,763</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Related party receivables:</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120" w:type="dxa"/>
            <w:vAlign w:val="bottom"/>
          </w:tcPr>
          <w:p>
            <w:pPr>
              <w:ind w:left="480"/>
              <w:spacing w:after="0"/>
              <w:rPr>
                <w:sz w:val="20"/>
                <w:szCs w:val="20"/>
                <w:color w:val="auto"/>
              </w:rPr>
            </w:pPr>
            <w:r>
              <w:rPr>
                <w:rFonts w:ascii="Arial" w:cs="Arial" w:eastAsia="Arial" w:hAnsi="Arial"/>
                <w:sz w:val="18"/>
                <w:szCs w:val="18"/>
                <w:color w:val="auto"/>
              </w:rPr>
              <w:t>Dividends and accounts receivable from subsidiary</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interest receivable - municipals</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Securities - municipals</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17,885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Certificate of deposits</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Investment in subsidiaries</w:t>
            </w:r>
          </w:p>
        </w:tc>
        <w:tc>
          <w:tcPr>
            <w:tcW w:w="10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222,423</w:t>
            </w:r>
          </w:p>
        </w:tc>
        <w:tc>
          <w:tcPr>
            <w:tcW w:w="2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206,553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251,269</w:t>
            </w:r>
          </w:p>
        </w:tc>
        <w:tc>
          <w:tcPr>
            <w:tcW w:w="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232,159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1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6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Dividends payable</w:t>
            </w:r>
          </w:p>
        </w:tc>
        <w:tc>
          <w:tcPr>
            <w:tcW w:w="10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2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0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2,109</w:t>
            </w:r>
          </w:p>
        </w:tc>
        <w:tc>
          <w:tcPr>
            <w:tcW w:w="22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60" w:type="dxa"/>
            <w:vAlign w:val="bottom"/>
            <w:gridSpan w:val="2"/>
          </w:tcPr>
          <w:p>
            <w:pPr>
              <w:ind w:left="1140"/>
              <w:spacing w:after="0"/>
              <w:rPr>
                <w:sz w:val="20"/>
                <w:szCs w:val="20"/>
                <w:color w:val="auto"/>
              </w:rPr>
            </w:pPr>
            <w:r>
              <w:rPr>
                <w:rFonts w:ascii="Arial" w:cs="Arial" w:eastAsia="Arial" w:hAnsi="Arial"/>
                <w:sz w:val="18"/>
                <w:szCs w:val="18"/>
                <w:b w:val="1"/>
                <w:bCs w:val="1"/>
                <w:color w:val="auto"/>
              </w:rPr>
              <w:t>Stockholders' Equity</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249,160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230,258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12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40" w:type="dxa"/>
            <w:vAlign w:val="bottom"/>
          </w:tcPr>
          <w:p>
            <w:pPr>
              <w:spacing w:after="0"/>
              <w:rPr>
                <w:sz w:val="18"/>
                <w:szCs w:val="18"/>
                <w:color w:val="auto"/>
              </w:rPr>
            </w:pPr>
          </w:p>
        </w:tc>
        <w:tc>
          <w:tcPr>
            <w:tcW w:w="5120" w:type="dxa"/>
            <w:vAlign w:val="bottom"/>
            <w:vMerge w:val="continue"/>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251,269</w:t>
            </w:r>
          </w:p>
        </w:tc>
        <w:tc>
          <w:tcPr>
            <w:tcW w:w="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232,159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1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40" w:type="dxa"/>
            <w:vAlign w:val="bottom"/>
          </w:tcPr>
          <w:p>
            <w:pPr>
              <w:ind w:left="680"/>
              <w:spacing w:after="0"/>
              <w:rPr>
                <w:sz w:val="20"/>
                <w:szCs w:val="20"/>
                <w:color w:val="auto"/>
              </w:rPr>
            </w:pPr>
            <w:r>
              <w:rPr>
                <w:rFonts w:ascii="Arial" w:cs="Arial" w:eastAsia="Arial" w:hAnsi="Arial"/>
                <w:sz w:val="18"/>
                <w:szCs w:val="18"/>
                <w:b w:val="1"/>
                <w:bCs w:val="1"/>
                <w:color w:val="auto"/>
                <w:w w:val="95"/>
              </w:rPr>
              <w:t>Statements of Income and Comprehensive Income</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97"/>
              </w:rPr>
              <w:t>(In Thousands)</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tcBorders>
              <w:bottom w:val="single" w:sz="8" w:color="CFF0FC"/>
            </w:tcBorders>
          </w:tcPr>
          <w:p>
            <w:pPr>
              <w:spacing w:after="0"/>
              <w:rPr>
                <w:sz w:val="18"/>
                <w:szCs w:val="18"/>
                <w:color w:val="auto"/>
              </w:rPr>
            </w:pPr>
          </w:p>
        </w:tc>
        <w:tc>
          <w:tcPr>
            <w:tcW w:w="4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w:t>
            </w: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rPr>
              <w:t>Dividends from subsidiaries</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8,800</w:t>
            </w:r>
          </w:p>
        </w:tc>
        <w:tc>
          <w:tcPr>
            <w:tcW w:w="120" w:type="dxa"/>
            <w:vAlign w:val="bottom"/>
          </w:tcPr>
          <w:p>
            <w:pPr>
              <w:spacing w:after="0"/>
              <w:rPr>
                <w:sz w:val="19"/>
                <w:szCs w:val="19"/>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13,137</w:t>
            </w:r>
          </w:p>
        </w:tc>
        <w:tc>
          <w:tcPr>
            <w:tcW w:w="1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 municipals / certificates of deposit</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rPr>
              <w:t>Loss on sales of available-for-sale securities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tcBorders>
              <w:top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rPr>
              <w:t>Total income</w:t>
            </w:r>
          </w:p>
        </w:tc>
        <w:tc>
          <w:tcPr>
            <w:tcW w:w="4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9,182</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13,511</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8,720</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48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840" w:type="dxa"/>
            <w:vAlign w:val="bottom"/>
          </w:tcPr>
          <w:p>
            <w:pPr>
              <w:spacing w:after="0" w:line="206" w:lineRule="exact"/>
              <w:rPr>
                <w:sz w:val="20"/>
                <w:szCs w:val="20"/>
                <w:color w:val="auto"/>
              </w:rPr>
            </w:pPr>
            <w:r>
              <w:rPr>
                <w:rFonts w:ascii="Arial" w:cs="Arial" w:eastAsia="Arial" w:hAnsi="Arial"/>
                <w:sz w:val="18"/>
                <w:szCs w:val="18"/>
                <w:b w:val="1"/>
                <w:bCs w:val="1"/>
                <w:color w:val="auto"/>
              </w:rPr>
              <w:t>Income Before Income Taxes and Equity in</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Pr>
          <w:p>
            <w:pPr>
              <w:ind w:left="100"/>
              <w:spacing w:after="0"/>
              <w:rPr>
                <w:sz w:val="20"/>
                <w:szCs w:val="20"/>
                <w:color w:val="auto"/>
              </w:rPr>
            </w:pPr>
            <w:r>
              <w:rPr>
                <w:rFonts w:ascii="Arial" w:cs="Arial" w:eastAsia="Arial" w:hAnsi="Arial"/>
                <w:sz w:val="18"/>
                <w:szCs w:val="18"/>
                <w:b w:val="1"/>
                <w:bCs w:val="1"/>
                <w:color w:val="auto"/>
              </w:rPr>
              <w:t>Undistributed Earnings of Subsidiaries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Taxes (Benefit)</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Equity in undistributed earnings of subsidiaries</w:t>
            </w:r>
          </w:p>
        </w:tc>
        <w:tc>
          <w:tcPr>
            <w:tcW w:w="4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w:t>
            </w:r>
          </w:p>
        </w:tc>
        <w:tc>
          <w:tcPr>
            <w:tcW w:w="4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rPr>
              <w:t>Unrealized gains (losses) on securities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Comprehensive Income</w:t>
            </w:r>
          </w:p>
        </w:tc>
        <w:tc>
          <w:tcPr>
            <w:tcW w:w="4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vMerge w:val="continue"/>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24,694</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22,514</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80" w:type="dxa"/>
            <w:vAlign w:val="bottom"/>
          </w:tcPr>
          <w:p>
            <w:pPr>
              <w:spacing w:after="0"/>
              <w:rPr>
                <w:sz w:val="20"/>
                <w:szCs w:val="20"/>
                <w:color w:val="auto"/>
              </w:rPr>
            </w:pPr>
            <w:r>
              <w:rPr>
                <w:rFonts w:ascii="Arial" w:cs="Arial" w:eastAsia="Arial" w:hAnsi="Arial"/>
                <w:sz w:val="18"/>
                <w:szCs w:val="18"/>
                <w:b w:val="1"/>
                <w:bCs w:val="1"/>
                <w:color w:val="auto"/>
              </w:rPr>
              <w:t>Note 18 – Condensed Financial Statements of Parent Company (Continued)</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6680" w:type="dxa"/>
            <w:vAlign w:val="bottom"/>
          </w:tcPr>
          <w:p>
            <w:pPr>
              <w:ind w:left="2300"/>
              <w:spacing w:after="0"/>
              <w:rPr>
                <w:sz w:val="20"/>
                <w:szCs w:val="20"/>
                <w:color w:val="auto"/>
              </w:rPr>
            </w:pPr>
            <w:r>
              <w:rPr>
                <w:rFonts w:ascii="Arial" w:cs="Arial" w:eastAsia="Arial" w:hAnsi="Arial"/>
                <w:sz w:val="18"/>
                <w:szCs w:val="18"/>
                <w:b w:val="1"/>
                <w:bCs w:val="1"/>
                <w:color w:val="auto"/>
              </w:rPr>
              <w:t>Statements of Cash Flows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87"/>
              </w:rPr>
              <w:t>(In Thousands)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20,095</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18,402</w:t>
            </w:r>
          </w:p>
        </w:tc>
        <w:tc>
          <w:tcPr>
            <w:tcW w:w="24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reconcile net income to net cash</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provided by operating activities: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80" w:type="dxa"/>
            <w:vAlign w:val="bottom"/>
          </w:tcPr>
          <w:p>
            <w:pPr>
              <w:ind w:left="240"/>
              <w:spacing w:after="0"/>
              <w:rPr>
                <w:sz w:val="20"/>
                <w:szCs w:val="20"/>
                <w:color w:val="auto"/>
              </w:rPr>
            </w:pPr>
            <w:r>
              <w:rPr>
                <w:rFonts w:ascii="Arial" w:cs="Arial" w:eastAsia="Arial" w:hAnsi="Arial"/>
                <w:sz w:val="18"/>
                <w:szCs w:val="18"/>
                <w:color w:val="auto"/>
              </w:rPr>
              <w:t>Equity in undistributed net income</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(11,652)</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(5,724)</w:t>
            </w:r>
          </w:p>
        </w:tc>
        <w:tc>
          <w:tcPr>
            <w:tcW w:w="2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224"/>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amortization of securities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80" w:type="dxa"/>
            <w:vAlign w:val="bottom"/>
          </w:tcPr>
          <w:p>
            <w:pPr>
              <w:ind w:left="480"/>
              <w:spacing w:after="0"/>
              <w:rPr>
                <w:sz w:val="20"/>
                <w:szCs w:val="20"/>
                <w:color w:val="auto"/>
              </w:rPr>
            </w:pPr>
            <w:r>
              <w:rPr>
                <w:rFonts w:ascii="Arial" w:cs="Arial" w:eastAsia="Arial" w:hAnsi="Arial"/>
                <w:sz w:val="18"/>
                <w:szCs w:val="18"/>
                <w:color w:val="auto"/>
              </w:rPr>
              <w:t>Other assets and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(1,604)</w:t>
            </w:r>
          </w:p>
        </w:tc>
        <w:tc>
          <w:tcPr>
            <w:tcW w:w="2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(6,991)</w:t>
            </w:r>
          </w:p>
        </w:tc>
        <w:tc>
          <w:tcPr>
            <w:tcW w:w="0" w:type="dxa"/>
            <w:vAlign w:val="bottom"/>
          </w:tcPr>
          <w:p>
            <w:pPr>
              <w:spacing w:after="0"/>
              <w:rPr>
                <w:sz w:val="1"/>
                <w:szCs w:val="1"/>
                <w:color w:val="auto"/>
              </w:rPr>
            </w:pPr>
          </w:p>
        </w:tc>
      </w:tr>
      <w:tr>
        <w:trPr>
          <w:trHeight w:val="217"/>
        </w:trPr>
        <w:tc>
          <w:tcPr>
            <w:tcW w:w="668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11,411</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11,173</w:t>
            </w: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Activity in available-for-sale securities: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80" w:type="dxa"/>
            <w:vAlign w:val="bottom"/>
          </w:tcPr>
          <w:p>
            <w:pPr>
              <w:ind w:left="480"/>
              <w:spacing w:after="0"/>
              <w:rPr>
                <w:sz w:val="20"/>
                <w:szCs w:val="20"/>
                <w:color w:val="auto"/>
              </w:rPr>
            </w:pPr>
            <w:r>
              <w:rPr>
                <w:rFonts w:ascii="Arial" w:cs="Arial" w:eastAsia="Arial" w:hAnsi="Arial"/>
                <w:sz w:val="18"/>
                <w:szCs w:val="18"/>
                <w:color w:val="auto"/>
              </w:rPr>
              <w:t>Maturities, prepayments and calls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7,060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Sales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80" w:type="dxa"/>
            <w:vAlign w:val="bottom"/>
          </w:tcPr>
          <w:p>
            <w:pPr>
              <w:ind w:left="480"/>
              <w:spacing w:after="0"/>
              <w:rPr>
                <w:sz w:val="20"/>
                <w:szCs w:val="20"/>
                <w:color w:val="auto"/>
              </w:rPr>
            </w:pPr>
            <w:r>
              <w:rPr>
                <w:rFonts w:ascii="Arial" w:cs="Arial" w:eastAsia="Arial" w:hAnsi="Arial"/>
                <w:sz w:val="18"/>
                <w:szCs w:val="18"/>
                <w:color w:val="auto"/>
              </w:rPr>
              <w:t>Purchases</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(11,453)</w:t>
            </w:r>
          </w:p>
        </w:tc>
        <w:tc>
          <w:tcPr>
            <w:tcW w:w="2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0"/>
        </w:trPr>
        <w:tc>
          <w:tcPr>
            <w:tcW w:w="6680" w:type="dxa"/>
            <w:vAlign w:val="bottom"/>
            <w:vMerge w:val="restart"/>
            <w:shd w:val="clear" w:color="auto" w:fill="CFF0FC"/>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8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(3,893)</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 of dividends</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(7,186)</w:t>
            </w: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(6,345)</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24"/>
        </w:trPr>
        <w:tc>
          <w:tcPr>
            <w:tcW w:w="6680" w:type="dxa"/>
            <w:vAlign w:val="bottom"/>
          </w:tcPr>
          <w:p>
            <w:pPr>
              <w:ind w:left="240"/>
              <w:spacing w:after="0"/>
              <w:rPr>
                <w:sz w:val="20"/>
                <w:szCs w:val="20"/>
                <w:color w:val="auto"/>
              </w:rPr>
            </w:pPr>
            <w:r>
              <w:rPr>
                <w:rFonts w:ascii="Arial" w:cs="Arial" w:eastAsia="Arial" w:hAnsi="Arial"/>
                <w:sz w:val="18"/>
                <w:szCs w:val="18"/>
                <w:color w:val="auto"/>
              </w:rPr>
              <w:t>Purchase of Treasury stock</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(381)</w:t>
            </w:r>
          </w:p>
        </w:tc>
        <w:tc>
          <w:tcPr>
            <w:tcW w:w="2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
        </w:trPr>
        <w:tc>
          <w:tcPr>
            <w:tcW w:w="6680" w:type="dxa"/>
            <w:vAlign w:val="bottom"/>
            <w:vMerge w:val="restart"/>
            <w:shd w:val="clear" w:color="auto" w:fill="CFF0FC"/>
          </w:tcPr>
          <w:p>
            <w:pPr>
              <w:ind w:left="7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8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(7,569)</w:t>
            </w:r>
          </w:p>
        </w:tc>
        <w:tc>
          <w:tcPr>
            <w:tcW w:w="1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(6,726)</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(5,446)</w:t>
            </w:r>
          </w:p>
        </w:tc>
        <w:tc>
          <w:tcPr>
            <w:tcW w:w="0" w:type="dxa"/>
            <w:vAlign w:val="bottom"/>
          </w:tcPr>
          <w:p>
            <w:pPr>
              <w:spacing w:after="0"/>
              <w:rPr>
                <w:sz w:val="1"/>
                <w:szCs w:val="1"/>
                <w:color w:val="auto"/>
              </w:rPr>
            </w:pPr>
          </w:p>
        </w:tc>
      </w:tr>
      <w:tr>
        <w:trPr>
          <w:trHeight w:val="217"/>
        </w:trPr>
        <w:tc>
          <w:tcPr>
            <w:tcW w:w="668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3,482</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8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year</w:t>
            </w: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5,763</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Note 19 – Quarterly Financial Data</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4720" w:type="dxa"/>
            <w:vAlign w:val="bottom"/>
            <w:gridSpan w:val="2"/>
          </w:tcPr>
          <w:p>
            <w:pPr>
              <w:ind w:left="580"/>
              <w:spacing w:after="0"/>
              <w:rPr>
                <w:sz w:val="20"/>
                <w:szCs w:val="20"/>
                <w:color w:val="auto"/>
              </w:rPr>
            </w:pPr>
            <w:r>
              <w:rPr>
                <w:rFonts w:ascii="Arial" w:cs="Arial" w:eastAsia="Arial" w:hAnsi="Arial"/>
                <w:sz w:val="18"/>
                <w:szCs w:val="18"/>
                <w:color w:val="auto"/>
              </w:rPr>
              <w:t>Quarterly Financial Data - UNAUDITED</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8"/>
                <w:szCs w:val="18"/>
                <w:color w:val="auto"/>
                <w:w w:val="95"/>
              </w:rPr>
              <w:t>Quarter Ended in 2020</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Mar 31</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Sep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Dec 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Summary of Income:</w:t>
            </w:r>
          </w:p>
        </w:tc>
        <w:tc>
          <w:tcPr>
            <w:tcW w:w="1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17,464</w:t>
            </w:r>
          </w:p>
        </w:tc>
        <w:tc>
          <w:tcPr>
            <w:tcW w:w="2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17,273</w:t>
            </w:r>
          </w:p>
        </w:tc>
        <w:tc>
          <w:tcPr>
            <w:tcW w:w="14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17,293</w:t>
            </w:r>
          </w:p>
        </w:tc>
        <w:tc>
          <w:tcPr>
            <w:tcW w:w="14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18,139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3,411</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140" w:type="dxa"/>
            <w:vAlign w:val="bottom"/>
          </w:tcPr>
          <w:p>
            <w:pPr>
              <w:ind w:left="480"/>
              <w:spacing w:after="0"/>
              <w:rPr>
                <w:sz w:val="20"/>
                <w:szCs w:val="20"/>
                <w:color w:val="auto"/>
              </w:rPr>
            </w:pPr>
            <w:r>
              <w:rPr>
                <w:rFonts w:ascii="Arial" w:cs="Arial" w:eastAsia="Arial" w:hAnsi="Arial"/>
                <w:sz w:val="18"/>
                <w:szCs w:val="18"/>
                <w:color w:val="auto"/>
              </w:rPr>
              <w:t>Net Interest Income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loan loss</w:t>
            </w:r>
          </w:p>
        </w:tc>
        <w:tc>
          <w:tcPr>
            <w:tcW w:w="1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20" w:type="dxa"/>
            <w:vAlign w:val="bottom"/>
            <w:gridSpan w:val="2"/>
          </w:tcPr>
          <w:p>
            <w:pPr>
              <w:ind w:left="580"/>
              <w:spacing w:after="0"/>
              <w:rPr>
                <w:sz w:val="20"/>
                <w:szCs w:val="20"/>
                <w:color w:val="auto"/>
              </w:rPr>
            </w:pPr>
            <w:r>
              <w:rPr>
                <w:rFonts w:ascii="Arial" w:cs="Arial" w:eastAsia="Arial" w:hAnsi="Arial"/>
                <w:sz w:val="18"/>
                <w:szCs w:val="18"/>
                <w:color w:val="auto"/>
              </w:rPr>
              <w:t>Net interest income after provision of loan loss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14,129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(7,546)</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(7,041)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(7,340)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(5,662)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20" w:type="dxa"/>
            <w:vAlign w:val="bottom"/>
            <w:gridSpan w:val="2"/>
          </w:tcPr>
          <w:p>
            <w:pPr>
              <w:ind w:left="580"/>
              <w:spacing w:after="0"/>
              <w:rPr>
                <w:sz w:val="20"/>
                <w:szCs w:val="20"/>
                <w:color w:val="auto"/>
              </w:rPr>
            </w:pPr>
            <w:r>
              <w:rPr>
                <w:rFonts w:ascii="Arial" w:cs="Arial" w:eastAsia="Arial" w:hAnsi="Arial"/>
                <w:sz w:val="18"/>
                <w:szCs w:val="18"/>
                <w:color w:val="auto"/>
              </w:rPr>
              <w:t>Net income before income taxes</w:t>
            </w:r>
          </w:p>
        </w:tc>
        <w:tc>
          <w:tcPr>
            <w:tcW w:w="1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5,077</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20" w:type="dxa"/>
            <w:vAlign w:val="bottom"/>
            <w:gridSpan w:val="2"/>
          </w:tcPr>
          <w:p>
            <w:pPr>
              <w:ind w:left="580"/>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4,105</w:t>
            </w:r>
          </w:p>
        </w:tc>
        <w:tc>
          <w:tcPr>
            <w:tcW w:w="220" w:type="dxa"/>
            <w:vAlign w:val="bottom"/>
          </w:tcPr>
          <w:p>
            <w:pPr>
              <w:spacing w:after="0"/>
              <w:rPr>
                <w:sz w:val="20"/>
                <w:szCs w:val="20"/>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4,804</w:t>
            </w:r>
          </w:p>
        </w:tc>
        <w:tc>
          <w:tcPr>
            <w:tcW w:w="14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4,410</w:t>
            </w:r>
          </w:p>
        </w:tc>
        <w:tc>
          <w:tcPr>
            <w:tcW w:w="14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6,776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Earnings per Common Share</w:t>
            </w: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Pr>
          <w:p>
            <w:pPr>
              <w:spacing w:after="0"/>
              <w:rPr>
                <w:sz w:val="17"/>
                <w:szCs w:val="17"/>
                <w:color w:val="auto"/>
              </w:rPr>
            </w:pPr>
          </w:p>
        </w:tc>
        <w:tc>
          <w:tcPr>
            <w:tcW w:w="4140" w:type="dxa"/>
            <w:vAlign w:val="bottom"/>
            <w:vMerge w:val="continue"/>
            <w:shd w:val="clear" w:color="auto" w:fill="CFF0FC"/>
          </w:tcPr>
          <w:p>
            <w:pPr>
              <w:spacing w:after="0"/>
              <w:rPr>
                <w:sz w:val="17"/>
                <w:szCs w:val="17"/>
                <w:color w:val="auto"/>
              </w:rPr>
            </w:pPr>
          </w:p>
        </w:tc>
        <w:tc>
          <w:tcPr>
            <w:tcW w:w="126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0.37</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0.43</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0.40</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0.60</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20" w:type="dxa"/>
            <w:vAlign w:val="bottom"/>
            <w:gridSpan w:val="2"/>
            <w:vMerge w:val="restart"/>
          </w:tcPr>
          <w:p>
            <w:pPr>
              <w:ind w:left="580"/>
              <w:spacing w:after="0"/>
              <w:rPr>
                <w:sz w:val="20"/>
                <w:szCs w:val="20"/>
                <w:color w:val="auto"/>
              </w:rPr>
            </w:pPr>
            <w:r>
              <w:rPr>
                <w:rFonts w:ascii="Arial" w:cs="Arial" w:eastAsia="Arial" w:hAnsi="Arial"/>
                <w:sz w:val="18"/>
                <w:szCs w:val="18"/>
                <w:color w:val="auto"/>
              </w:rPr>
              <w:t>Average common shares outstanding</w:t>
            </w: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gridSpan w:val="2"/>
            <w:vMerge w:val="continue"/>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11,134,870</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11,129,341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11,142,797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11,177,765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8"/>
                <w:szCs w:val="18"/>
                <w:color w:val="auto"/>
                <w:w w:val="95"/>
              </w:rPr>
              <w:t>Quarter Ended in 2019</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Mar 31</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Sep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Dec 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Summary of Income:</w:t>
            </w:r>
          </w:p>
        </w:tc>
        <w:tc>
          <w:tcPr>
            <w:tcW w:w="1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15,862</w:t>
            </w:r>
          </w:p>
        </w:tc>
        <w:tc>
          <w:tcPr>
            <w:tcW w:w="2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18,283</w:t>
            </w:r>
          </w:p>
        </w:tc>
        <w:tc>
          <w:tcPr>
            <w:tcW w:w="14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17,012</w:t>
            </w:r>
          </w:p>
        </w:tc>
        <w:tc>
          <w:tcPr>
            <w:tcW w:w="14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17,149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3,085</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140" w:type="dxa"/>
            <w:vAlign w:val="bottom"/>
          </w:tcPr>
          <w:p>
            <w:pPr>
              <w:ind w:left="480"/>
              <w:spacing w:after="0"/>
              <w:rPr>
                <w:sz w:val="20"/>
                <w:szCs w:val="20"/>
                <w:color w:val="auto"/>
              </w:rPr>
            </w:pPr>
            <w:r>
              <w:rPr>
                <w:rFonts w:ascii="Arial" w:cs="Arial" w:eastAsia="Arial" w:hAnsi="Arial"/>
                <w:sz w:val="18"/>
                <w:szCs w:val="18"/>
                <w:color w:val="auto"/>
              </w:rPr>
              <w:t>Net Interest Income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13,336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loan loss</w:t>
            </w:r>
          </w:p>
        </w:tc>
        <w:tc>
          <w:tcPr>
            <w:tcW w:w="1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20" w:type="dxa"/>
            <w:vAlign w:val="bottom"/>
            <w:gridSpan w:val="2"/>
          </w:tcPr>
          <w:p>
            <w:pPr>
              <w:ind w:left="580"/>
              <w:spacing w:after="0"/>
              <w:rPr>
                <w:sz w:val="20"/>
                <w:szCs w:val="20"/>
                <w:color w:val="auto"/>
              </w:rPr>
            </w:pPr>
            <w:r>
              <w:rPr>
                <w:rFonts w:ascii="Arial" w:cs="Arial" w:eastAsia="Arial" w:hAnsi="Arial"/>
                <w:sz w:val="18"/>
                <w:szCs w:val="18"/>
                <w:color w:val="auto"/>
              </w:rPr>
              <w:t>Net interest income after provision for loan loss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12,608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(8,799)</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(6,673)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(7,419)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(6,756)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20" w:type="dxa"/>
            <w:vAlign w:val="bottom"/>
            <w:gridSpan w:val="2"/>
          </w:tcPr>
          <w:p>
            <w:pPr>
              <w:ind w:left="580"/>
              <w:spacing w:after="0"/>
              <w:rPr>
                <w:sz w:val="20"/>
                <w:szCs w:val="20"/>
                <w:color w:val="auto"/>
              </w:rPr>
            </w:pPr>
            <w:r>
              <w:rPr>
                <w:rFonts w:ascii="Arial" w:cs="Arial" w:eastAsia="Arial" w:hAnsi="Arial"/>
                <w:sz w:val="18"/>
                <w:szCs w:val="18"/>
                <w:color w:val="auto"/>
              </w:rPr>
              <w:t>Net income before income taxes</w:t>
            </w:r>
          </w:p>
        </w:tc>
        <w:tc>
          <w:tcPr>
            <w:tcW w:w="1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3,948</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20" w:type="dxa"/>
            <w:vAlign w:val="bottom"/>
            <w:gridSpan w:val="2"/>
          </w:tcPr>
          <w:p>
            <w:pPr>
              <w:ind w:left="580"/>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3,224</w:t>
            </w:r>
          </w:p>
        </w:tc>
        <w:tc>
          <w:tcPr>
            <w:tcW w:w="220" w:type="dxa"/>
            <w:vAlign w:val="bottom"/>
          </w:tcPr>
          <w:p>
            <w:pPr>
              <w:spacing w:after="0"/>
              <w:rPr>
                <w:sz w:val="20"/>
                <w:szCs w:val="20"/>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6,180</w:t>
            </w:r>
          </w:p>
        </w:tc>
        <w:tc>
          <w:tcPr>
            <w:tcW w:w="14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4,275</w:t>
            </w:r>
          </w:p>
        </w:tc>
        <w:tc>
          <w:tcPr>
            <w:tcW w:w="14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4,723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Earnings per Common Share</w:t>
            </w: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Pr>
          <w:p>
            <w:pPr>
              <w:spacing w:after="0"/>
              <w:rPr>
                <w:sz w:val="17"/>
                <w:szCs w:val="17"/>
                <w:color w:val="auto"/>
              </w:rPr>
            </w:pPr>
          </w:p>
        </w:tc>
        <w:tc>
          <w:tcPr>
            <w:tcW w:w="4140" w:type="dxa"/>
            <w:vAlign w:val="bottom"/>
            <w:vMerge w:val="continue"/>
            <w:shd w:val="clear" w:color="auto" w:fill="CFF0FC"/>
          </w:tcPr>
          <w:p>
            <w:pPr>
              <w:spacing w:after="0"/>
              <w:rPr>
                <w:sz w:val="17"/>
                <w:szCs w:val="17"/>
                <w:color w:val="auto"/>
              </w:rPr>
            </w:pPr>
          </w:p>
        </w:tc>
        <w:tc>
          <w:tcPr>
            <w:tcW w:w="126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0.29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0.56</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0.38</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0.43</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20" w:type="dxa"/>
            <w:vAlign w:val="bottom"/>
            <w:gridSpan w:val="2"/>
            <w:vMerge w:val="restart"/>
          </w:tcPr>
          <w:p>
            <w:pPr>
              <w:ind w:left="580"/>
              <w:spacing w:after="0"/>
              <w:rPr>
                <w:sz w:val="20"/>
                <w:szCs w:val="20"/>
                <w:color w:val="auto"/>
              </w:rPr>
            </w:pPr>
            <w:r>
              <w:rPr>
                <w:rFonts w:ascii="Arial" w:cs="Arial" w:eastAsia="Arial" w:hAnsi="Arial"/>
                <w:sz w:val="18"/>
                <w:szCs w:val="18"/>
                <w:color w:val="auto"/>
              </w:rPr>
              <w:t>Average common shares outstanding</w:t>
            </w: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gridSpan w:val="2"/>
            <w:vMerge w:val="continue"/>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11,089,839</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11,106,367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11,121,426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11,137,004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3"/>
        </w:trPr>
        <w:tc>
          <w:tcPr>
            <w:tcW w:w="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80" w:type="dxa"/>
            <w:vAlign w:val="bottom"/>
            <w:tcBorders>
              <w:bottom w:val="single" w:sz="8" w:color="9A9A9A"/>
            </w:tcBorders>
          </w:tcPr>
          <w:p>
            <w:pPr>
              <w:spacing w:after="0"/>
              <w:rPr>
                <w:sz w:val="9"/>
                <w:szCs w:val="9"/>
                <w:color w:val="auto"/>
              </w:rPr>
            </w:pPr>
          </w:p>
        </w:tc>
        <w:tc>
          <w:tcPr>
            <w:tcW w:w="41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2020, 2019, 2018</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Subsequent Events</w:t>
      </w:r>
    </w:p>
    <w:p>
      <w:pPr>
        <w:spacing w:after="0" w:line="11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December 21, 2020, the Company announced they have signed an agreement and plan of reorganization and merger (the Agreement) whereby F&amp;M will acquire Ossian Financial Services, Inc., (OFSI), the holding company for Ossian State Bank, in a cash transaction. OFSI operates two full-service offices in Northeast Indiana and has approximately $122 million in assets, $58 million in loans, $108 million in deposits and $11.9 million in consolidated equity as of September 30, 2020. OFSI is taxed as an S-Corporation.</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Subject to the terms of the Agreement, which has been unanimously approved by the Board of Directors of each company, aggregate cash consideration of the deal is equal to $20 million, representing $67.71 per share. The consideration is subject to potential adjustment, as set forth in the Agreement, in the event that OFSI’s equity capital is less than $12 million at closing.</w:t>
      </w:r>
    </w:p>
    <w:p>
      <w:pPr>
        <w:spacing w:after="0" w:line="189"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transaction represents a natural extension of F&amp;M’s community bank footprint and is a complementary fit with the Company’s 2019 acquisition of the Bank of Geneva and F&amp;M’s 2020 asset purchase of Adams County Financial Resources. OFSI operates offices in the Indiana communities of Ossian and Bluffton. After the transaction, F&amp;M will operate 11 offices in Indiana with total deposits of $462 million and total loans of $445 million.</w:t>
      </w:r>
    </w:p>
    <w:p>
      <w:pPr>
        <w:spacing w:after="0" w:line="153"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On January 15, 2021, the Company announced the authorization by its Board of Directors for the Company’s repurchase, either on the open market, or in privately negotiated transactions, of up to 500,000 shares of its outstanding common stock commencing January 15, 2021 and ending December 31, 2021.</w:t>
      </w:r>
    </w:p>
    <w:p>
      <w:pPr>
        <w:spacing w:after="0" w:line="13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During 2021, the Bank will be consolidating four of its offices as part of the Company’s strategic plan to improve operating efficiencies, reinvest in new remote and electronic banking initiatives and better serve customers. The office realignment plans include the offices at 1313 S. Defiance Street in Archbold, Ohio, 119 N Fulton Street in Wauseon, Ohio 929 E. High Street in Bryan, Ohio and 103 Main Street in Monroeville, Indiana.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auto"/>
        </w:rPr>
        <w:t>ITEM 9. CHANGE IN AND DISAGREEMENTS WITH ACCOUNTING AND FINANCIAL DISCLOSURE</w:t>
      </w:r>
    </w:p>
    <w:p>
      <w:pPr>
        <w:spacing w:after="0" w:line="1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 disagreements exist on accounting and financial disclosures or related matter.</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 REPORT REGARDING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DISCLOSURE CONTROLS AND PROCEDURES</w:t>
      </w:r>
    </w:p>
    <w:p>
      <w:pPr>
        <w:spacing w:after="0" w:line="98" w:lineRule="exact"/>
        <w:rPr>
          <w:sz w:val="20"/>
          <w:szCs w:val="20"/>
          <w:color w:val="auto"/>
        </w:rPr>
      </w:pPr>
    </w:p>
    <w:p>
      <w:pPr>
        <w:jc w:val="both"/>
        <w:ind w:left="800"/>
        <w:spacing w:after="0" w:line="247" w:lineRule="auto"/>
        <w:rPr>
          <w:sz w:val="20"/>
          <w:szCs w:val="20"/>
          <w:color w:val="auto"/>
        </w:rPr>
      </w:pPr>
      <w:r>
        <w:rPr>
          <w:rFonts w:ascii="Arial" w:cs="Arial" w:eastAsia="Arial" w:hAnsi="Arial"/>
          <w:sz w:val="18"/>
          <w:szCs w:val="18"/>
          <w:color w:val="auto"/>
        </w:rPr>
        <w:t>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December 31, 2019, pursuant to Exchange Act 13a-15. Based upon that evaluation, the Chief Executive Officer and Chief Financial Officer concluded that the Company’s disclosure controls and procedures were effective as of December 31, 2019, in timely alerting them to material information relating to the Company (including its consolidated subsidiaries) required to be included in the Company’s periodic SEC filings.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 REPORT REGARDING INTERNAL CONTROL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COMPLIANCE WITH DESIGNATED LAWS AND REGULATIONS</w:t>
      </w:r>
    </w:p>
    <w:p>
      <w:pPr>
        <w:spacing w:after="0" w:line="98" w:lineRule="exact"/>
        <w:rPr>
          <w:sz w:val="20"/>
          <w:szCs w:val="20"/>
          <w:color w:val="auto"/>
        </w:rPr>
      </w:pPr>
    </w:p>
    <w:p>
      <w:pPr>
        <w:jc w:val="both"/>
        <w:ind w:left="800"/>
        <w:spacing w:after="0" w:line="248" w:lineRule="auto"/>
        <w:rPr>
          <w:sz w:val="20"/>
          <w:szCs w:val="20"/>
          <w:color w:val="auto"/>
        </w:rPr>
      </w:pPr>
      <w:r>
        <w:rPr>
          <w:rFonts w:ascii="Arial" w:cs="Arial" w:eastAsia="Arial" w:hAnsi="Arial"/>
          <w:sz w:val="18"/>
          <w:szCs w:val="18"/>
          <w:color w:val="auto"/>
        </w:rPr>
        <w:t>Management of Farmers &amp; Merchants Bancorp, Inc. and its subsidiary is responsible for preparing the Bank’s annual financial statements. Management is also responsible for establishing and maintaining internal control over financial reporting presented in conformity with both generally accepted accounting principles and regulatory reporting in conformity with the Federal Financial Institutions Examination Council Instructions for Consolidated Reports of Condition and Income (call report instructions). The Bank’s internal control contains monitoring mechanisms, and actions are taken to correct deficiencies identified.</w:t>
      </w:r>
    </w:p>
    <w:p>
      <w:pPr>
        <w:spacing w:after="0" w:line="90" w:lineRule="exact"/>
        <w:rPr>
          <w:sz w:val="20"/>
          <w:szCs w:val="20"/>
          <w:color w:val="auto"/>
        </w:rPr>
      </w:pPr>
    </w:p>
    <w:p>
      <w:pPr>
        <w:jc w:val="both"/>
        <w:ind w:left="800"/>
        <w:spacing w:after="0" w:line="300" w:lineRule="auto"/>
        <w:rPr>
          <w:sz w:val="20"/>
          <w:szCs w:val="20"/>
          <w:color w:val="auto"/>
        </w:rPr>
      </w:pPr>
      <w:r>
        <w:rPr>
          <w:rFonts w:ascii="Arial" w:cs="Arial" w:eastAsia="Arial" w:hAnsi="Arial"/>
          <w:sz w:val="16"/>
          <w:szCs w:val="16"/>
          <w:color w:val="auto"/>
        </w:rPr>
        <w:t>There are inherent limitations in the effectiveness of any internal control, including the possibility of human error and the circumvention or overriding of controls. Accordingly, even effective internal control can provide only reasonable assurance with respect to financial statement preparation. Further, because of changes in conditions, the effectiveness of internal control may vary over time.</w:t>
      </w:r>
    </w:p>
    <w:p>
      <w:pPr>
        <w:spacing w:after="0" w:line="48"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It is also management’s responsibility to ensure satisfactory compliance with all designated laws and regulations and in particular, those laws and regulations concerning loans to insiders. The federal laws concerning loans to insiders are codified at 12 USC 375a and 375b, and the federal regulations are set forth at 12 CFR 23.5, 31, and 215.</w:t>
      </w:r>
    </w:p>
    <w:p>
      <w:pPr>
        <w:spacing w:after="0" w:line="83" w:lineRule="exact"/>
        <w:rPr>
          <w:sz w:val="20"/>
          <w:szCs w:val="20"/>
          <w:color w:val="auto"/>
        </w:rPr>
      </w:pPr>
    </w:p>
    <w:p>
      <w:pPr>
        <w:jc w:val="both"/>
        <w:ind w:left="800"/>
        <w:spacing w:after="0" w:line="24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Under the supervision and with the participation of our management, including our Principal Executive Officer and Principal Financial Officer, we conducted an evaluation of the effectiveness of our internal control over financial reporting based on the framework in the 2013 Internal Control – Integrated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2019. The registered public accounting firm that audited the financial statements included in this annual report has issued an attestation report on the Company’s internal control over financial reporting which can be found under Item 8 of this form 10-K.</w:t>
      </w:r>
    </w:p>
    <w:p>
      <w:pPr>
        <w:spacing w:after="0" w:line="94" w:lineRule="exact"/>
        <w:rPr>
          <w:sz w:val="20"/>
          <w:szCs w:val="20"/>
          <w:color w:val="auto"/>
        </w:rPr>
      </w:pPr>
    </w:p>
    <w:p>
      <w:pPr>
        <w:jc w:val="both"/>
        <w:ind w:left="800"/>
        <w:spacing w:after="0" w:line="325" w:lineRule="auto"/>
        <w:rPr>
          <w:sz w:val="20"/>
          <w:szCs w:val="20"/>
          <w:color w:val="auto"/>
        </w:rPr>
      </w:pPr>
      <w:r>
        <w:rPr>
          <w:rFonts w:ascii="Arial" w:cs="Arial" w:eastAsia="Arial" w:hAnsi="Arial"/>
          <w:sz w:val="16"/>
          <w:szCs w:val="16"/>
          <w:color w:val="auto"/>
        </w:rPr>
        <w:t>There was no change in the company’s internal control over financial reporting that occurred during the Company’s fiscal quarter ended December 31, 2019 that has materially affected, or is reasonably likely to materially affect, the Company’s internal control over financial reporting.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auto"/>
        </w:rPr>
        <w:t>PART III</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AND EXECUTIVE OFFICERS OF THE REGISTRANT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80" w:type="dxa"/>
            <w:vAlign w:val="bottom"/>
            <w:gridSpan w:val="2"/>
          </w:tcPr>
          <w:p>
            <w:pPr>
              <w:ind w:left="540"/>
              <w:spacing w:after="0"/>
              <w:rPr>
                <w:sz w:val="20"/>
                <w:szCs w:val="20"/>
                <w:color w:val="auto"/>
              </w:rPr>
            </w:pPr>
            <w:r>
              <w:rPr>
                <w:rFonts w:ascii="Arial" w:cs="Arial" w:eastAsia="Arial" w:hAnsi="Arial"/>
                <w:sz w:val="18"/>
                <w:szCs w:val="18"/>
                <w:b w:val="1"/>
                <w:bCs w:val="1"/>
                <w:color w:val="auto"/>
              </w:rPr>
              <w:t>BOARD OF DIRECTORS</w:t>
            </w:r>
          </w:p>
        </w:tc>
        <w:tc>
          <w:tcPr>
            <w:tcW w:w="1260" w:type="dxa"/>
            <w:vAlign w:val="bottom"/>
          </w:tcPr>
          <w:p>
            <w:pPr>
              <w:spacing w:after="0"/>
              <w:rPr>
                <w:sz w:val="19"/>
                <w:szCs w:val="19"/>
                <w:color w:val="auto"/>
              </w:rPr>
            </w:pPr>
          </w:p>
        </w:tc>
      </w:tr>
      <w:tr>
        <w:trPr>
          <w:trHeight w:val="422"/>
        </w:trPr>
        <w:tc>
          <w:tcPr>
            <w:tcW w:w="3920" w:type="dxa"/>
            <w:vAlign w:val="bottom"/>
            <w:gridSpan w:val="4"/>
          </w:tcPr>
          <w:p>
            <w:pPr>
              <w:spacing w:after="0"/>
              <w:rPr>
                <w:sz w:val="20"/>
                <w:szCs w:val="20"/>
                <w:color w:val="auto"/>
              </w:rPr>
            </w:pPr>
            <w:r>
              <w:rPr>
                <w:rFonts w:ascii="Arial" w:cs="Arial" w:eastAsia="Arial" w:hAnsi="Arial"/>
                <w:sz w:val="18"/>
                <w:szCs w:val="18"/>
                <w:color w:val="auto"/>
                <w:w w:val="93"/>
              </w:rPr>
              <w:t>The information called for herein is presented below:</w:t>
            </w: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4"/>
        </w:trPr>
        <w:tc>
          <w:tcPr>
            <w:tcW w:w="4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b w:val="1"/>
                <w:bCs w:val="1"/>
                <w:color w:val="auto"/>
              </w:rPr>
              <w:t>Principal Occupation or</w:t>
            </w:r>
          </w:p>
        </w:tc>
        <w:tc>
          <w:tcPr>
            <w:tcW w:w="1260" w:type="dxa"/>
            <w:vAlign w:val="bottom"/>
          </w:tcPr>
          <w:p>
            <w:pPr>
              <w:spacing w:after="0"/>
              <w:rPr>
                <w:sz w:val="20"/>
                <w:szCs w:val="20"/>
                <w:color w:val="auto"/>
              </w:rPr>
            </w:pPr>
            <w:r>
              <w:rPr>
                <w:rFonts w:ascii="Arial" w:cs="Arial" w:eastAsia="Arial" w:hAnsi="Arial"/>
                <w:sz w:val="18"/>
                <w:szCs w:val="18"/>
                <w:b w:val="1"/>
                <w:bCs w:val="1"/>
                <w:color w:val="auto"/>
              </w:rPr>
              <w:t>Year First</w:t>
            </w:r>
          </w:p>
        </w:tc>
      </w:tr>
      <w:tr>
        <w:trPr>
          <w:trHeight w:val="190"/>
        </w:trPr>
        <w:tc>
          <w:tcPr>
            <w:tcW w:w="304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Name</w:t>
            </w:r>
          </w:p>
        </w:tc>
        <w:tc>
          <w:tcPr>
            <w:tcW w:w="88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Age</w:t>
            </w:r>
          </w:p>
        </w:tc>
        <w:tc>
          <w:tcPr>
            <w:tcW w:w="5640" w:type="dxa"/>
            <w:vAlign w:val="bottom"/>
            <w:gridSpan w:val="3"/>
          </w:tcPr>
          <w:p>
            <w:pPr>
              <w:ind w:left="160"/>
              <w:spacing w:after="0" w:line="189" w:lineRule="exact"/>
              <w:rPr>
                <w:sz w:val="20"/>
                <w:szCs w:val="20"/>
                <w:color w:val="auto"/>
              </w:rPr>
            </w:pPr>
            <w:r>
              <w:rPr>
                <w:rFonts w:ascii="Arial" w:cs="Arial" w:eastAsia="Arial" w:hAnsi="Arial"/>
                <w:sz w:val="18"/>
                <w:szCs w:val="18"/>
                <w:b w:val="1"/>
                <w:bCs w:val="1"/>
                <w:color w:val="auto"/>
              </w:rPr>
              <w:t>Employment for Past Five Years</w:t>
            </w:r>
          </w:p>
        </w:tc>
        <w:tc>
          <w:tcPr>
            <w:tcW w:w="1260" w:type="dxa"/>
            <w:vAlign w:val="bottom"/>
          </w:tcPr>
          <w:p>
            <w:pPr>
              <w:spacing w:after="0" w:line="189" w:lineRule="exact"/>
              <w:rPr>
                <w:sz w:val="20"/>
                <w:szCs w:val="20"/>
                <w:color w:val="auto"/>
              </w:rPr>
            </w:pPr>
            <w:r>
              <w:rPr>
                <w:rFonts w:ascii="Arial" w:cs="Arial" w:eastAsia="Arial" w:hAnsi="Arial"/>
                <w:sz w:val="18"/>
                <w:szCs w:val="18"/>
                <w:b w:val="1"/>
                <w:bCs w:val="1"/>
                <w:color w:val="auto"/>
                <w:w w:val="86"/>
              </w:rPr>
              <w:t>Became Director</w:t>
            </w:r>
          </w:p>
        </w:tc>
      </w:tr>
      <w:tr>
        <w:trPr>
          <w:trHeight w:val="20"/>
        </w:trPr>
        <w:tc>
          <w:tcPr>
            <w:tcW w:w="4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429"/>
        </w:trPr>
        <w:tc>
          <w:tcPr>
            <w:tcW w:w="3040" w:type="dxa"/>
            <w:vAlign w:val="bottom"/>
            <w:gridSpan w:val="2"/>
          </w:tcPr>
          <w:p>
            <w:pPr>
              <w:spacing w:after="0"/>
              <w:rPr>
                <w:sz w:val="20"/>
                <w:szCs w:val="20"/>
                <w:color w:val="auto"/>
              </w:rPr>
            </w:pPr>
            <w:r>
              <w:rPr>
                <w:rFonts w:ascii="Arial" w:cs="Arial" w:eastAsia="Arial" w:hAnsi="Arial"/>
                <w:sz w:val="18"/>
                <w:szCs w:val="18"/>
                <w:color w:val="auto"/>
              </w:rPr>
              <w:t>Andrew J. Briggs</w:t>
            </w:r>
          </w:p>
        </w:tc>
        <w:tc>
          <w:tcPr>
            <w:tcW w:w="300" w:type="dxa"/>
            <w:vAlign w:val="bottom"/>
          </w:tcPr>
          <w:p>
            <w:pPr>
              <w:spacing w:after="0"/>
              <w:rPr>
                <w:sz w:val="20"/>
                <w:szCs w:val="20"/>
                <w:color w:val="auto"/>
              </w:rPr>
            </w:pPr>
            <w:r>
              <w:rPr>
                <w:rFonts w:ascii="Arial" w:cs="Arial" w:eastAsia="Arial" w:hAnsi="Arial"/>
                <w:sz w:val="18"/>
                <w:szCs w:val="18"/>
                <w:color w:val="auto"/>
              </w:rPr>
              <w:t>66</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First Sr. Vice President of Business Development/Indiana</w:t>
            </w:r>
          </w:p>
        </w:tc>
        <w:tc>
          <w:tcPr>
            <w:tcW w:w="1260" w:type="dxa"/>
            <w:vAlign w:val="bottom"/>
          </w:tcPr>
          <w:p>
            <w:pPr>
              <w:spacing w:after="0"/>
              <w:rPr>
                <w:sz w:val="20"/>
                <w:szCs w:val="20"/>
                <w:color w:val="auto"/>
              </w:rPr>
            </w:pPr>
            <w:r>
              <w:rPr>
                <w:rFonts w:ascii="Arial" w:cs="Arial" w:eastAsia="Arial" w:hAnsi="Arial"/>
                <w:sz w:val="18"/>
                <w:szCs w:val="18"/>
                <w:color w:val="auto"/>
              </w:rPr>
              <w:t>2019</w:t>
            </w:r>
          </w:p>
        </w:tc>
      </w:tr>
      <w:tr>
        <w:trPr>
          <w:trHeight w:val="222"/>
        </w:trPr>
        <w:tc>
          <w:tcPr>
            <w:tcW w:w="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The Farmers &amp; Merchants State Bank</w:t>
            </w:r>
          </w:p>
        </w:tc>
        <w:tc>
          <w:tcPr>
            <w:tcW w:w="1260" w:type="dxa"/>
            <w:vAlign w:val="bottom"/>
          </w:tcPr>
          <w:p>
            <w:pPr>
              <w:spacing w:after="0"/>
              <w:rPr>
                <w:sz w:val="19"/>
                <w:szCs w:val="19"/>
                <w:color w:val="auto"/>
              </w:rPr>
            </w:pPr>
          </w:p>
        </w:tc>
      </w:tr>
      <w:tr>
        <w:trPr>
          <w:trHeight w:val="422"/>
        </w:trPr>
        <w:tc>
          <w:tcPr>
            <w:tcW w:w="3040" w:type="dxa"/>
            <w:vAlign w:val="bottom"/>
            <w:gridSpan w:val="2"/>
          </w:tcPr>
          <w:p>
            <w:pPr>
              <w:spacing w:after="0"/>
              <w:rPr>
                <w:sz w:val="20"/>
                <w:szCs w:val="20"/>
                <w:color w:val="auto"/>
              </w:rPr>
            </w:pPr>
            <w:r>
              <w:rPr>
                <w:rFonts w:ascii="Arial" w:cs="Arial" w:eastAsia="Arial" w:hAnsi="Arial"/>
                <w:sz w:val="18"/>
                <w:szCs w:val="18"/>
                <w:color w:val="auto"/>
              </w:rPr>
              <w:t>Eugene N. Burkholder</w:t>
            </w:r>
          </w:p>
        </w:tc>
        <w:tc>
          <w:tcPr>
            <w:tcW w:w="300" w:type="dxa"/>
            <w:vAlign w:val="bottom"/>
          </w:tcPr>
          <w:p>
            <w:pPr>
              <w:spacing w:after="0"/>
              <w:rPr>
                <w:sz w:val="20"/>
                <w:szCs w:val="20"/>
                <w:color w:val="auto"/>
              </w:rPr>
            </w:pPr>
            <w:r>
              <w:rPr>
                <w:rFonts w:ascii="Arial" w:cs="Arial" w:eastAsia="Arial" w:hAnsi="Arial"/>
                <w:sz w:val="18"/>
                <w:szCs w:val="18"/>
                <w:color w:val="auto"/>
              </w:rPr>
              <w:t>68</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President, Falor Farm Center, Inc.</w:t>
            </w:r>
          </w:p>
        </w:tc>
        <w:tc>
          <w:tcPr>
            <w:tcW w:w="1260" w:type="dxa"/>
            <w:vAlign w:val="bottom"/>
          </w:tcPr>
          <w:p>
            <w:pPr>
              <w:spacing w:after="0"/>
              <w:rPr>
                <w:sz w:val="20"/>
                <w:szCs w:val="20"/>
                <w:color w:val="auto"/>
              </w:rPr>
            </w:pPr>
            <w:r>
              <w:rPr>
                <w:rFonts w:ascii="Arial" w:cs="Arial" w:eastAsia="Arial" w:hAnsi="Arial"/>
                <w:sz w:val="18"/>
                <w:szCs w:val="18"/>
                <w:color w:val="auto"/>
              </w:rPr>
              <w:t>2012</w:t>
            </w:r>
          </w:p>
        </w:tc>
      </w:tr>
      <w:tr>
        <w:trPr>
          <w:trHeight w:val="410"/>
        </w:trPr>
        <w:tc>
          <w:tcPr>
            <w:tcW w:w="3040" w:type="dxa"/>
            <w:vAlign w:val="bottom"/>
            <w:gridSpan w:val="2"/>
          </w:tcPr>
          <w:p>
            <w:pPr>
              <w:spacing w:after="0"/>
              <w:rPr>
                <w:sz w:val="20"/>
                <w:szCs w:val="20"/>
                <w:color w:val="auto"/>
              </w:rPr>
            </w:pPr>
            <w:r>
              <w:rPr>
                <w:rFonts w:ascii="Arial" w:cs="Arial" w:eastAsia="Arial" w:hAnsi="Arial"/>
                <w:sz w:val="18"/>
                <w:szCs w:val="18"/>
                <w:color w:val="auto"/>
              </w:rPr>
              <w:t>Lars B. Eller</w:t>
            </w:r>
          </w:p>
        </w:tc>
        <w:tc>
          <w:tcPr>
            <w:tcW w:w="300" w:type="dxa"/>
            <w:vAlign w:val="bottom"/>
          </w:tcPr>
          <w:p>
            <w:pPr>
              <w:spacing w:after="0"/>
              <w:rPr>
                <w:sz w:val="20"/>
                <w:szCs w:val="20"/>
                <w:color w:val="auto"/>
              </w:rPr>
            </w:pPr>
            <w:r>
              <w:rPr>
                <w:rFonts w:ascii="Arial" w:cs="Arial" w:eastAsia="Arial" w:hAnsi="Arial"/>
                <w:sz w:val="18"/>
                <w:szCs w:val="18"/>
                <w:color w:val="auto"/>
              </w:rPr>
              <w:t>54</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President and CEO of the Company and</w:t>
            </w:r>
          </w:p>
        </w:tc>
        <w:tc>
          <w:tcPr>
            <w:tcW w:w="1260" w:type="dxa"/>
            <w:vAlign w:val="bottom"/>
          </w:tcPr>
          <w:p>
            <w:pPr>
              <w:spacing w:after="0"/>
              <w:rPr>
                <w:sz w:val="20"/>
                <w:szCs w:val="20"/>
                <w:color w:val="auto"/>
              </w:rPr>
            </w:pPr>
            <w:r>
              <w:rPr>
                <w:rFonts w:ascii="Arial" w:cs="Arial" w:eastAsia="Arial" w:hAnsi="Arial"/>
                <w:sz w:val="18"/>
                <w:szCs w:val="18"/>
                <w:color w:val="auto"/>
              </w:rPr>
              <w:t>2018</w:t>
            </w:r>
          </w:p>
        </w:tc>
      </w:tr>
      <w:tr>
        <w:trPr>
          <w:trHeight w:val="222"/>
        </w:trPr>
        <w:tc>
          <w:tcPr>
            <w:tcW w:w="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The Farmers &amp; Merchants State Bank</w:t>
            </w:r>
          </w:p>
        </w:tc>
        <w:tc>
          <w:tcPr>
            <w:tcW w:w="1260" w:type="dxa"/>
            <w:vAlign w:val="bottom"/>
          </w:tcPr>
          <w:p>
            <w:pPr>
              <w:spacing w:after="0"/>
              <w:rPr>
                <w:sz w:val="19"/>
                <w:szCs w:val="19"/>
                <w:color w:val="auto"/>
              </w:rPr>
            </w:pPr>
          </w:p>
        </w:tc>
      </w:tr>
      <w:tr>
        <w:trPr>
          <w:trHeight w:val="422"/>
        </w:trPr>
        <w:tc>
          <w:tcPr>
            <w:tcW w:w="3040" w:type="dxa"/>
            <w:vAlign w:val="bottom"/>
            <w:gridSpan w:val="2"/>
          </w:tcPr>
          <w:p>
            <w:pPr>
              <w:spacing w:after="0"/>
              <w:rPr>
                <w:sz w:val="20"/>
                <w:szCs w:val="20"/>
                <w:color w:val="auto"/>
              </w:rPr>
            </w:pPr>
            <w:r>
              <w:rPr>
                <w:rFonts w:ascii="Arial" w:cs="Arial" w:eastAsia="Arial" w:hAnsi="Arial"/>
                <w:sz w:val="18"/>
                <w:szCs w:val="18"/>
                <w:color w:val="auto"/>
              </w:rPr>
              <w:t>Steven A. Everhart</w:t>
            </w:r>
          </w:p>
        </w:tc>
        <w:tc>
          <w:tcPr>
            <w:tcW w:w="300" w:type="dxa"/>
            <w:vAlign w:val="bottom"/>
          </w:tcPr>
          <w:p>
            <w:pPr>
              <w:spacing w:after="0"/>
              <w:rPr>
                <w:sz w:val="20"/>
                <w:szCs w:val="20"/>
                <w:color w:val="auto"/>
              </w:rPr>
            </w:pPr>
            <w:r>
              <w:rPr>
                <w:rFonts w:ascii="Arial" w:cs="Arial" w:eastAsia="Arial" w:hAnsi="Arial"/>
                <w:sz w:val="18"/>
                <w:szCs w:val="18"/>
                <w:color w:val="auto"/>
              </w:rPr>
              <w:t>66</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Retired, Owner of Everhart Consulting</w:t>
            </w:r>
          </w:p>
        </w:tc>
        <w:tc>
          <w:tcPr>
            <w:tcW w:w="1260" w:type="dxa"/>
            <w:vAlign w:val="bottom"/>
          </w:tcPr>
          <w:p>
            <w:pPr>
              <w:spacing w:after="0"/>
              <w:rPr>
                <w:sz w:val="20"/>
                <w:szCs w:val="20"/>
                <w:color w:val="auto"/>
              </w:rPr>
            </w:pPr>
            <w:r>
              <w:rPr>
                <w:rFonts w:ascii="Arial" w:cs="Arial" w:eastAsia="Arial" w:hAnsi="Arial"/>
                <w:sz w:val="18"/>
                <w:szCs w:val="18"/>
                <w:color w:val="auto"/>
              </w:rPr>
              <w:t>2003</w:t>
            </w:r>
          </w:p>
        </w:tc>
      </w:tr>
      <w:tr>
        <w:trPr>
          <w:trHeight w:val="410"/>
        </w:trPr>
        <w:tc>
          <w:tcPr>
            <w:tcW w:w="3040" w:type="dxa"/>
            <w:vAlign w:val="bottom"/>
            <w:gridSpan w:val="2"/>
          </w:tcPr>
          <w:p>
            <w:pPr>
              <w:spacing w:after="0"/>
              <w:rPr>
                <w:sz w:val="20"/>
                <w:szCs w:val="20"/>
                <w:color w:val="auto"/>
              </w:rPr>
            </w:pPr>
            <w:r>
              <w:rPr>
                <w:rFonts w:ascii="Arial" w:cs="Arial" w:eastAsia="Arial" w:hAnsi="Arial"/>
                <w:sz w:val="18"/>
                <w:szCs w:val="18"/>
                <w:color w:val="auto"/>
              </w:rPr>
              <w:t>Jo Ellen Hornish</w:t>
            </w:r>
          </w:p>
        </w:tc>
        <w:tc>
          <w:tcPr>
            <w:tcW w:w="300" w:type="dxa"/>
            <w:vAlign w:val="bottom"/>
          </w:tcPr>
          <w:p>
            <w:pPr>
              <w:spacing w:after="0"/>
              <w:rPr>
                <w:sz w:val="20"/>
                <w:szCs w:val="20"/>
                <w:color w:val="auto"/>
              </w:rPr>
            </w:pPr>
            <w:r>
              <w:rPr>
                <w:rFonts w:ascii="Arial" w:cs="Arial" w:eastAsia="Arial" w:hAnsi="Arial"/>
                <w:sz w:val="18"/>
                <w:szCs w:val="18"/>
                <w:color w:val="auto"/>
              </w:rPr>
              <w:t>67</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2"/>
              </w:rPr>
              <w:t>CEO, Hornish Bros, Inc. / Fountain City Leasing, Inc. / Advantage Powder</w:t>
            </w:r>
          </w:p>
        </w:tc>
        <w:tc>
          <w:tcPr>
            <w:tcW w:w="1260" w:type="dxa"/>
            <w:vAlign w:val="bottom"/>
          </w:tcPr>
          <w:p>
            <w:pPr>
              <w:spacing w:after="0"/>
              <w:rPr>
                <w:sz w:val="20"/>
                <w:szCs w:val="20"/>
                <w:color w:val="auto"/>
              </w:rPr>
            </w:pPr>
            <w:r>
              <w:rPr>
                <w:rFonts w:ascii="Arial" w:cs="Arial" w:eastAsia="Arial" w:hAnsi="Arial"/>
                <w:sz w:val="18"/>
                <w:szCs w:val="18"/>
                <w:color w:val="auto"/>
              </w:rPr>
              <w:t>2013</w:t>
            </w:r>
          </w:p>
        </w:tc>
      </w:tr>
      <w:tr>
        <w:trPr>
          <w:trHeight w:val="222"/>
        </w:trPr>
        <w:tc>
          <w:tcPr>
            <w:tcW w:w="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Coating, Inc.</w:t>
            </w:r>
          </w:p>
        </w:tc>
        <w:tc>
          <w:tcPr>
            <w:tcW w:w="1260" w:type="dxa"/>
            <w:vAlign w:val="bottom"/>
          </w:tcPr>
          <w:p>
            <w:pPr>
              <w:spacing w:after="0"/>
              <w:rPr>
                <w:sz w:val="19"/>
                <w:szCs w:val="19"/>
                <w:color w:val="auto"/>
              </w:rPr>
            </w:pPr>
          </w:p>
        </w:tc>
      </w:tr>
      <w:tr>
        <w:trPr>
          <w:trHeight w:val="422"/>
        </w:trPr>
        <w:tc>
          <w:tcPr>
            <w:tcW w:w="3040" w:type="dxa"/>
            <w:vAlign w:val="bottom"/>
            <w:gridSpan w:val="2"/>
          </w:tcPr>
          <w:p>
            <w:pPr>
              <w:spacing w:after="0"/>
              <w:rPr>
                <w:sz w:val="20"/>
                <w:szCs w:val="20"/>
                <w:color w:val="auto"/>
              </w:rPr>
            </w:pPr>
            <w:r>
              <w:rPr>
                <w:rFonts w:ascii="Arial" w:cs="Arial" w:eastAsia="Arial" w:hAnsi="Arial"/>
                <w:sz w:val="18"/>
                <w:szCs w:val="18"/>
                <w:color w:val="auto"/>
              </w:rPr>
              <w:t>Jack C. Johnson</w:t>
            </w:r>
          </w:p>
        </w:tc>
        <w:tc>
          <w:tcPr>
            <w:tcW w:w="300" w:type="dxa"/>
            <w:vAlign w:val="bottom"/>
          </w:tcPr>
          <w:p>
            <w:pPr>
              <w:spacing w:after="0"/>
              <w:rPr>
                <w:sz w:val="20"/>
                <w:szCs w:val="20"/>
                <w:color w:val="auto"/>
              </w:rPr>
            </w:pPr>
            <w:r>
              <w:rPr>
                <w:rFonts w:ascii="Arial" w:cs="Arial" w:eastAsia="Arial" w:hAnsi="Arial"/>
                <w:sz w:val="18"/>
                <w:szCs w:val="18"/>
                <w:color w:val="auto"/>
              </w:rPr>
              <w:t>68</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President, Hawk’s Clothing, Inc.</w:t>
            </w:r>
          </w:p>
        </w:tc>
        <w:tc>
          <w:tcPr>
            <w:tcW w:w="1260" w:type="dxa"/>
            <w:vAlign w:val="bottom"/>
          </w:tcPr>
          <w:p>
            <w:pPr>
              <w:spacing w:after="0"/>
              <w:rPr>
                <w:sz w:val="20"/>
                <w:szCs w:val="20"/>
                <w:color w:val="auto"/>
              </w:rPr>
            </w:pPr>
            <w:r>
              <w:rPr>
                <w:rFonts w:ascii="Arial" w:cs="Arial" w:eastAsia="Arial" w:hAnsi="Arial"/>
                <w:sz w:val="18"/>
                <w:szCs w:val="18"/>
                <w:color w:val="auto"/>
              </w:rPr>
              <w:t>1991</w:t>
            </w:r>
          </w:p>
        </w:tc>
      </w:tr>
      <w:tr>
        <w:trPr>
          <w:trHeight w:val="422"/>
        </w:trPr>
        <w:tc>
          <w:tcPr>
            <w:tcW w:w="3040" w:type="dxa"/>
            <w:vAlign w:val="bottom"/>
            <w:gridSpan w:val="2"/>
          </w:tcPr>
          <w:p>
            <w:pPr>
              <w:spacing w:after="0"/>
              <w:rPr>
                <w:sz w:val="20"/>
                <w:szCs w:val="20"/>
                <w:color w:val="auto"/>
              </w:rPr>
            </w:pPr>
            <w:r>
              <w:rPr>
                <w:rFonts w:ascii="Arial" w:cs="Arial" w:eastAsia="Arial" w:hAnsi="Arial"/>
                <w:sz w:val="18"/>
                <w:szCs w:val="18"/>
                <w:color w:val="auto"/>
              </w:rPr>
              <w:t>Lori A. Johnston</w:t>
            </w:r>
          </w:p>
        </w:tc>
        <w:tc>
          <w:tcPr>
            <w:tcW w:w="300" w:type="dxa"/>
            <w:vAlign w:val="bottom"/>
          </w:tcPr>
          <w:p>
            <w:pPr>
              <w:spacing w:after="0"/>
              <w:rPr>
                <w:sz w:val="20"/>
                <w:szCs w:val="20"/>
                <w:color w:val="auto"/>
              </w:rPr>
            </w:pPr>
            <w:r>
              <w:rPr>
                <w:rFonts w:ascii="Arial" w:cs="Arial" w:eastAsia="Arial" w:hAnsi="Arial"/>
                <w:sz w:val="18"/>
                <w:szCs w:val="18"/>
                <w:color w:val="auto"/>
              </w:rPr>
              <w:t>59</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President, ProMedica Insurance Corporation</w:t>
            </w:r>
          </w:p>
        </w:tc>
        <w:tc>
          <w:tcPr>
            <w:tcW w:w="1260" w:type="dxa"/>
            <w:vAlign w:val="bottom"/>
          </w:tcPr>
          <w:p>
            <w:pPr>
              <w:spacing w:after="0"/>
              <w:rPr>
                <w:sz w:val="20"/>
                <w:szCs w:val="20"/>
                <w:color w:val="auto"/>
              </w:rPr>
            </w:pPr>
            <w:r>
              <w:rPr>
                <w:rFonts w:ascii="Arial" w:cs="Arial" w:eastAsia="Arial" w:hAnsi="Arial"/>
                <w:sz w:val="18"/>
                <w:szCs w:val="18"/>
                <w:color w:val="auto"/>
              </w:rPr>
              <w:t>2020</w:t>
            </w:r>
          </w:p>
        </w:tc>
      </w:tr>
      <w:tr>
        <w:trPr>
          <w:trHeight w:val="410"/>
        </w:trPr>
        <w:tc>
          <w:tcPr>
            <w:tcW w:w="3040" w:type="dxa"/>
            <w:vAlign w:val="bottom"/>
            <w:gridSpan w:val="2"/>
          </w:tcPr>
          <w:p>
            <w:pPr>
              <w:spacing w:after="0"/>
              <w:rPr>
                <w:sz w:val="20"/>
                <w:szCs w:val="20"/>
                <w:color w:val="auto"/>
              </w:rPr>
            </w:pPr>
            <w:r>
              <w:rPr>
                <w:rFonts w:ascii="Arial" w:cs="Arial" w:eastAsia="Arial" w:hAnsi="Arial"/>
                <w:sz w:val="18"/>
                <w:szCs w:val="18"/>
                <w:color w:val="auto"/>
              </w:rPr>
              <w:t>Dr. Marcia S. Latta</w:t>
            </w:r>
          </w:p>
        </w:tc>
        <w:tc>
          <w:tcPr>
            <w:tcW w:w="300" w:type="dxa"/>
            <w:vAlign w:val="bottom"/>
          </w:tcPr>
          <w:p>
            <w:pPr>
              <w:spacing w:after="0"/>
              <w:rPr>
                <w:sz w:val="20"/>
                <w:szCs w:val="20"/>
                <w:color w:val="auto"/>
              </w:rPr>
            </w:pPr>
            <w:r>
              <w:rPr>
                <w:rFonts w:ascii="Arial" w:cs="Arial" w:eastAsia="Arial" w:hAnsi="Arial"/>
                <w:sz w:val="18"/>
                <w:szCs w:val="18"/>
                <w:color w:val="auto"/>
              </w:rPr>
              <w:t>59</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Vice President of University Advancement,</w:t>
            </w:r>
          </w:p>
        </w:tc>
        <w:tc>
          <w:tcPr>
            <w:tcW w:w="1260" w:type="dxa"/>
            <w:vAlign w:val="bottom"/>
          </w:tcPr>
          <w:p>
            <w:pPr>
              <w:spacing w:after="0"/>
              <w:rPr>
                <w:sz w:val="20"/>
                <w:szCs w:val="20"/>
                <w:color w:val="auto"/>
              </w:rPr>
            </w:pPr>
            <w:r>
              <w:rPr>
                <w:rFonts w:ascii="Arial" w:cs="Arial" w:eastAsia="Arial" w:hAnsi="Arial"/>
                <w:sz w:val="18"/>
                <w:szCs w:val="18"/>
                <w:color w:val="auto"/>
              </w:rPr>
              <w:t>2009</w:t>
            </w:r>
          </w:p>
        </w:tc>
      </w:tr>
      <w:tr>
        <w:trPr>
          <w:trHeight w:val="222"/>
        </w:trPr>
        <w:tc>
          <w:tcPr>
            <w:tcW w:w="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The University of Findlay</w:t>
            </w:r>
          </w:p>
        </w:tc>
        <w:tc>
          <w:tcPr>
            <w:tcW w:w="1260" w:type="dxa"/>
            <w:vAlign w:val="bottom"/>
          </w:tcPr>
          <w:p>
            <w:pPr>
              <w:spacing w:after="0"/>
              <w:rPr>
                <w:sz w:val="19"/>
                <w:szCs w:val="19"/>
                <w:color w:val="auto"/>
              </w:rPr>
            </w:pPr>
          </w:p>
        </w:tc>
      </w:tr>
      <w:tr>
        <w:trPr>
          <w:trHeight w:val="422"/>
        </w:trPr>
        <w:tc>
          <w:tcPr>
            <w:tcW w:w="3040" w:type="dxa"/>
            <w:vAlign w:val="bottom"/>
            <w:gridSpan w:val="2"/>
          </w:tcPr>
          <w:p>
            <w:pPr>
              <w:spacing w:after="0"/>
              <w:rPr>
                <w:sz w:val="20"/>
                <w:szCs w:val="20"/>
                <w:color w:val="auto"/>
              </w:rPr>
            </w:pPr>
            <w:r>
              <w:rPr>
                <w:rFonts w:ascii="Arial" w:cs="Arial" w:eastAsia="Arial" w:hAnsi="Arial"/>
                <w:sz w:val="18"/>
                <w:szCs w:val="18"/>
                <w:color w:val="auto"/>
              </w:rPr>
              <w:t>Steven J. Planson</w:t>
            </w:r>
          </w:p>
        </w:tc>
        <w:tc>
          <w:tcPr>
            <w:tcW w:w="300" w:type="dxa"/>
            <w:vAlign w:val="bottom"/>
          </w:tcPr>
          <w:p>
            <w:pPr>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President, Planson Farms, Inc.</w:t>
            </w:r>
          </w:p>
        </w:tc>
        <w:tc>
          <w:tcPr>
            <w:tcW w:w="1260" w:type="dxa"/>
            <w:vAlign w:val="bottom"/>
          </w:tcPr>
          <w:p>
            <w:pPr>
              <w:spacing w:after="0"/>
              <w:rPr>
                <w:sz w:val="20"/>
                <w:szCs w:val="20"/>
                <w:color w:val="auto"/>
              </w:rPr>
            </w:pPr>
            <w:r>
              <w:rPr>
                <w:rFonts w:ascii="Arial" w:cs="Arial" w:eastAsia="Arial" w:hAnsi="Arial"/>
                <w:sz w:val="18"/>
                <w:szCs w:val="18"/>
                <w:color w:val="auto"/>
              </w:rPr>
              <w:t>2008</w:t>
            </w:r>
          </w:p>
        </w:tc>
      </w:tr>
      <w:tr>
        <w:trPr>
          <w:trHeight w:val="422"/>
        </w:trPr>
        <w:tc>
          <w:tcPr>
            <w:tcW w:w="3040" w:type="dxa"/>
            <w:vAlign w:val="bottom"/>
            <w:gridSpan w:val="2"/>
          </w:tcPr>
          <w:p>
            <w:pPr>
              <w:spacing w:after="0"/>
              <w:rPr>
                <w:sz w:val="20"/>
                <w:szCs w:val="20"/>
                <w:color w:val="auto"/>
              </w:rPr>
            </w:pPr>
            <w:r>
              <w:rPr>
                <w:rFonts w:ascii="Arial" w:cs="Arial" w:eastAsia="Arial" w:hAnsi="Arial"/>
                <w:sz w:val="18"/>
                <w:szCs w:val="18"/>
                <w:color w:val="auto"/>
              </w:rPr>
              <w:t>Anthony J. Rupp</w:t>
            </w:r>
          </w:p>
        </w:tc>
        <w:tc>
          <w:tcPr>
            <w:tcW w:w="300" w:type="dxa"/>
            <w:vAlign w:val="bottom"/>
          </w:tcPr>
          <w:p>
            <w:pPr>
              <w:spacing w:after="0"/>
              <w:rPr>
                <w:sz w:val="20"/>
                <w:szCs w:val="20"/>
                <w:color w:val="auto"/>
              </w:rPr>
            </w:pPr>
            <w:r>
              <w:rPr>
                <w:rFonts w:ascii="Arial" w:cs="Arial" w:eastAsia="Arial" w:hAnsi="Arial"/>
                <w:sz w:val="18"/>
                <w:szCs w:val="18"/>
                <w:color w:val="auto"/>
              </w:rPr>
              <w:t>71</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Retired, Past President of Rupp Furniture Co.</w:t>
            </w:r>
          </w:p>
        </w:tc>
        <w:tc>
          <w:tcPr>
            <w:tcW w:w="1260" w:type="dxa"/>
            <w:vAlign w:val="bottom"/>
          </w:tcPr>
          <w:p>
            <w:pPr>
              <w:spacing w:after="0"/>
              <w:rPr>
                <w:sz w:val="20"/>
                <w:szCs w:val="20"/>
                <w:color w:val="auto"/>
              </w:rPr>
            </w:pPr>
            <w:r>
              <w:rPr>
                <w:rFonts w:ascii="Arial" w:cs="Arial" w:eastAsia="Arial" w:hAnsi="Arial"/>
                <w:sz w:val="18"/>
                <w:szCs w:val="18"/>
                <w:color w:val="auto"/>
              </w:rPr>
              <w:t>2000</w:t>
            </w:r>
          </w:p>
        </w:tc>
      </w:tr>
      <w:tr>
        <w:trPr>
          <w:trHeight w:val="410"/>
        </w:trPr>
        <w:tc>
          <w:tcPr>
            <w:tcW w:w="3040" w:type="dxa"/>
            <w:vAlign w:val="bottom"/>
            <w:gridSpan w:val="2"/>
          </w:tcPr>
          <w:p>
            <w:pPr>
              <w:spacing w:after="0"/>
              <w:rPr>
                <w:sz w:val="20"/>
                <w:szCs w:val="20"/>
                <w:color w:val="auto"/>
              </w:rPr>
            </w:pPr>
            <w:r>
              <w:rPr>
                <w:rFonts w:ascii="Arial" w:cs="Arial" w:eastAsia="Arial" w:hAnsi="Arial"/>
                <w:sz w:val="18"/>
                <w:szCs w:val="18"/>
                <w:color w:val="auto"/>
              </w:rPr>
              <w:t>Kevin J. Sauder</w:t>
            </w:r>
          </w:p>
        </w:tc>
        <w:tc>
          <w:tcPr>
            <w:tcW w:w="300" w:type="dxa"/>
            <w:vAlign w:val="bottom"/>
          </w:tcPr>
          <w:p>
            <w:pPr>
              <w:spacing w:after="0"/>
              <w:rPr>
                <w:sz w:val="20"/>
                <w:szCs w:val="20"/>
                <w:color w:val="auto"/>
              </w:rPr>
            </w:pPr>
            <w:r>
              <w:rPr>
                <w:rFonts w:ascii="Arial" w:cs="Arial" w:eastAsia="Arial" w:hAnsi="Arial"/>
                <w:sz w:val="18"/>
                <w:szCs w:val="18"/>
                <w:color w:val="auto"/>
              </w:rPr>
              <w:t>60</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President, Chief Executive Officer,</w:t>
            </w:r>
          </w:p>
        </w:tc>
        <w:tc>
          <w:tcPr>
            <w:tcW w:w="1260" w:type="dxa"/>
            <w:vAlign w:val="bottom"/>
          </w:tcPr>
          <w:p>
            <w:pPr>
              <w:spacing w:after="0"/>
              <w:rPr>
                <w:sz w:val="20"/>
                <w:szCs w:val="20"/>
                <w:color w:val="auto"/>
              </w:rPr>
            </w:pPr>
            <w:r>
              <w:rPr>
                <w:rFonts w:ascii="Arial" w:cs="Arial" w:eastAsia="Arial" w:hAnsi="Arial"/>
                <w:sz w:val="18"/>
                <w:szCs w:val="18"/>
                <w:color w:val="auto"/>
              </w:rPr>
              <w:t>2004</w:t>
            </w:r>
          </w:p>
        </w:tc>
      </w:tr>
      <w:tr>
        <w:trPr>
          <w:trHeight w:val="222"/>
        </w:trPr>
        <w:tc>
          <w:tcPr>
            <w:tcW w:w="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Sauder Woodworking Co.</w:t>
            </w:r>
          </w:p>
        </w:tc>
        <w:tc>
          <w:tcPr>
            <w:tcW w:w="1260" w:type="dxa"/>
            <w:vAlign w:val="bottom"/>
          </w:tcPr>
          <w:p>
            <w:pPr>
              <w:spacing w:after="0"/>
              <w:rPr>
                <w:sz w:val="19"/>
                <w:szCs w:val="19"/>
                <w:color w:val="auto"/>
              </w:rPr>
            </w:pPr>
          </w:p>
        </w:tc>
      </w:tr>
      <w:tr>
        <w:trPr>
          <w:trHeight w:val="410"/>
        </w:trPr>
        <w:tc>
          <w:tcPr>
            <w:tcW w:w="3040" w:type="dxa"/>
            <w:vAlign w:val="bottom"/>
            <w:gridSpan w:val="2"/>
          </w:tcPr>
          <w:p>
            <w:pPr>
              <w:spacing w:after="0"/>
              <w:rPr>
                <w:sz w:val="20"/>
                <w:szCs w:val="20"/>
                <w:color w:val="auto"/>
              </w:rPr>
            </w:pPr>
            <w:r>
              <w:rPr>
                <w:rFonts w:ascii="Arial" w:cs="Arial" w:eastAsia="Arial" w:hAnsi="Arial"/>
                <w:sz w:val="18"/>
                <w:szCs w:val="18"/>
                <w:color w:val="auto"/>
              </w:rPr>
              <w:t>Paul S. Siebenmorgen</w:t>
            </w:r>
          </w:p>
        </w:tc>
        <w:tc>
          <w:tcPr>
            <w:tcW w:w="300" w:type="dxa"/>
            <w:vAlign w:val="bottom"/>
          </w:tcPr>
          <w:p>
            <w:pPr>
              <w:spacing w:after="0"/>
              <w:rPr>
                <w:sz w:val="20"/>
                <w:szCs w:val="20"/>
                <w:color w:val="auto"/>
              </w:rPr>
            </w:pPr>
            <w:r>
              <w:rPr>
                <w:rFonts w:ascii="Arial" w:cs="Arial" w:eastAsia="Arial" w:hAnsi="Arial"/>
                <w:sz w:val="18"/>
                <w:szCs w:val="18"/>
                <w:color w:val="auto"/>
              </w:rPr>
              <w:t>71</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Retired, Past President and CEO of the Company and</w:t>
            </w:r>
          </w:p>
        </w:tc>
        <w:tc>
          <w:tcPr>
            <w:tcW w:w="1260" w:type="dxa"/>
            <w:vAlign w:val="bottom"/>
          </w:tcPr>
          <w:p>
            <w:pPr>
              <w:spacing w:after="0"/>
              <w:rPr>
                <w:sz w:val="20"/>
                <w:szCs w:val="20"/>
                <w:color w:val="auto"/>
              </w:rPr>
            </w:pPr>
            <w:r>
              <w:rPr>
                <w:rFonts w:ascii="Arial" w:cs="Arial" w:eastAsia="Arial" w:hAnsi="Arial"/>
                <w:sz w:val="18"/>
                <w:szCs w:val="18"/>
                <w:color w:val="auto"/>
              </w:rPr>
              <w:t>2005</w:t>
            </w:r>
          </w:p>
        </w:tc>
      </w:tr>
      <w:tr>
        <w:trPr>
          <w:trHeight w:val="222"/>
        </w:trPr>
        <w:tc>
          <w:tcPr>
            <w:tcW w:w="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The Farmers &amp; Merchants State Bank</w:t>
            </w:r>
          </w:p>
        </w:tc>
        <w:tc>
          <w:tcPr>
            <w:tcW w:w="1260" w:type="dxa"/>
            <w:vAlign w:val="bottom"/>
          </w:tcPr>
          <w:p>
            <w:pPr>
              <w:spacing w:after="0"/>
              <w:rPr>
                <w:sz w:val="19"/>
                <w:szCs w:val="19"/>
                <w:color w:val="auto"/>
              </w:rPr>
            </w:pPr>
          </w:p>
        </w:tc>
      </w:tr>
      <w:tr>
        <w:trPr>
          <w:trHeight w:val="410"/>
        </w:trPr>
        <w:tc>
          <w:tcPr>
            <w:tcW w:w="3040" w:type="dxa"/>
            <w:vAlign w:val="bottom"/>
            <w:gridSpan w:val="2"/>
          </w:tcPr>
          <w:p>
            <w:pPr>
              <w:spacing w:after="0"/>
              <w:rPr>
                <w:sz w:val="20"/>
                <w:szCs w:val="20"/>
                <w:color w:val="auto"/>
              </w:rPr>
            </w:pPr>
            <w:r>
              <w:rPr>
                <w:rFonts w:ascii="Arial" w:cs="Arial" w:eastAsia="Arial" w:hAnsi="Arial"/>
                <w:sz w:val="18"/>
                <w:szCs w:val="18"/>
                <w:color w:val="auto"/>
              </w:rPr>
              <w:t>Dr. K. Brad Stamm</w:t>
            </w:r>
          </w:p>
        </w:tc>
        <w:tc>
          <w:tcPr>
            <w:tcW w:w="300" w:type="dxa"/>
            <w:vAlign w:val="bottom"/>
          </w:tcPr>
          <w:p>
            <w:pPr>
              <w:spacing w:after="0"/>
              <w:rPr>
                <w:sz w:val="20"/>
                <w:szCs w:val="20"/>
                <w:color w:val="auto"/>
              </w:rPr>
            </w:pPr>
            <w:r>
              <w:rPr>
                <w:rFonts w:ascii="Arial" w:cs="Arial" w:eastAsia="Arial" w:hAnsi="Arial"/>
                <w:sz w:val="18"/>
                <w:szCs w:val="18"/>
                <w:color w:val="auto"/>
              </w:rPr>
              <w:t>68</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President and Educational Consultant of</w:t>
            </w:r>
          </w:p>
        </w:tc>
        <w:tc>
          <w:tcPr>
            <w:tcW w:w="1260" w:type="dxa"/>
            <w:vAlign w:val="bottom"/>
          </w:tcPr>
          <w:p>
            <w:pPr>
              <w:spacing w:after="0"/>
              <w:rPr>
                <w:sz w:val="20"/>
                <w:szCs w:val="20"/>
                <w:color w:val="auto"/>
              </w:rPr>
            </w:pPr>
            <w:r>
              <w:rPr>
                <w:rFonts w:ascii="Arial" w:cs="Arial" w:eastAsia="Arial" w:hAnsi="Arial"/>
                <w:sz w:val="18"/>
                <w:szCs w:val="18"/>
                <w:color w:val="auto"/>
              </w:rPr>
              <w:t>2016</w:t>
            </w:r>
          </w:p>
        </w:tc>
      </w:tr>
      <w:tr>
        <w:trPr>
          <w:trHeight w:val="222"/>
        </w:trPr>
        <w:tc>
          <w:tcPr>
            <w:tcW w:w="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Stamm Management Group</w:t>
            </w:r>
          </w:p>
        </w:tc>
        <w:tc>
          <w:tcPr>
            <w:tcW w:w="1260" w:type="dxa"/>
            <w:vAlign w:val="bottom"/>
          </w:tcPr>
          <w:p>
            <w:pPr>
              <w:spacing w:after="0"/>
              <w:rPr>
                <w:sz w:val="19"/>
                <w:szCs w:val="19"/>
                <w:color w:val="auto"/>
              </w:rPr>
            </w:pPr>
          </w:p>
        </w:tc>
      </w:tr>
    </w:tbl>
    <w:p>
      <w:pPr>
        <w:spacing w:after="0" w:line="30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Directors are elected annually at the annual meeting of shareholders.</w:t>
      </w:r>
    </w:p>
    <w:p>
      <w:pPr>
        <w:spacing w:after="0" w:line="2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820"/>
          </w:cols>
          <w:pgMar w:left="320" w:top="503" w:right="759" w:bottom="1440" w:gutter="0" w:footer="0" w:header="0"/>
        </w:sectPr>
      </w:pPr>
    </w:p>
    <w:bookmarkStart w:id="107" w:name="page108"/>
    <w:bookmarkEnd w:id="107"/>
    <w:tbl>
      <w:tblPr>
        <w:tblLayout w:type="fixed"/>
        <w:tblInd w:w="22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8"/>
              </w:rPr>
              <w:t>EXECUTIVE OFFICERS</w:t>
            </w:r>
          </w:p>
        </w:tc>
        <w:tc>
          <w:tcPr>
            <w:tcW w:w="3340" w:type="dxa"/>
            <w:vAlign w:val="bottom"/>
            <w:gridSpan w:val="2"/>
          </w:tcPr>
          <w:p>
            <w:pPr>
              <w:spacing w:after="0"/>
              <w:rPr>
                <w:sz w:val="17"/>
                <w:szCs w:val="17"/>
                <w:color w:val="auto"/>
              </w:rPr>
            </w:pPr>
          </w:p>
        </w:tc>
      </w:tr>
      <w:tr>
        <w:trPr>
          <w:trHeight w:val="350"/>
        </w:trPr>
        <w:tc>
          <w:tcPr>
            <w:tcW w:w="4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Principal Occupation &amp; Offices Held with</w:t>
            </w:r>
          </w:p>
        </w:tc>
      </w:tr>
      <w:tr>
        <w:trPr>
          <w:trHeight w:val="184"/>
        </w:trPr>
        <w:tc>
          <w:tcPr>
            <w:tcW w:w="420" w:type="dxa"/>
            <w:vAlign w:val="bottom"/>
          </w:tcPr>
          <w:p>
            <w:pPr>
              <w:spacing w:after="0" w:line="183" w:lineRule="exact"/>
              <w:rPr>
                <w:sz w:val="20"/>
                <w:szCs w:val="20"/>
                <w:color w:val="auto"/>
              </w:rPr>
            </w:pPr>
            <w:r>
              <w:rPr>
                <w:rFonts w:ascii="Arial" w:cs="Arial" w:eastAsia="Arial" w:hAnsi="Arial"/>
                <w:sz w:val="18"/>
                <w:szCs w:val="18"/>
                <w:color w:val="auto"/>
                <w:w w:val="83"/>
              </w:rPr>
              <w:t>Name</w:t>
            </w: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line="183" w:lineRule="exact"/>
              <w:rPr>
                <w:sz w:val="20"/>
                <w:szCs w:val="20"/>
                <w:color w:val="auto"/>
              </w:rPr>
            </w:pPr>
            <w:r>
              <w:rPr>
                <w:rFonts w:ascii="Arial" w:cs="Arial" w:eastAsia="Arial" w:hAnsi="Arial"/>
                <w:sz w:val="18"/>
                <w:szCs w:val="18"/>
                <w:color w:val="auto"/>
                <w:w w:val="87"/>
              </w:rPr>
              <w:t>Age</w:t>
            </w:r>
          </w:p>
        </w:tc>
        <w:tc>
          <w:tcPr>
            <w:tcW w:w="640" w:type="dxa"/>
            <w:vAlign w:val="bottom"/>
          </w:tcPr>
          <w:p>
            <w:pPr>
              <w:spacing w:after="0"/>
              <w:rPr>
                <w:sz w:val="15"/>
                <w:szCs w:val="15"/>
                <w:color w:val="auto"/>
              </w:rPr>
            </w:pPr>
          </w:p>
        </w:tc>
        <w:tc>
          <w:tcPr>
            <w:tcW w:w="4200" w:type="dxa"/>
            <w:vAlign w:val="bottom"/>
            <w:gridSpan w:val="3"/>
          </w:tcPr>
          <w:p>
            <w:pPr>
              <w:spacing w:after="0" w:line="183" w:lineRule="exact"/>
              <w:rPr>
                <w:sz w:val="20"/>
                <w:szCs w:val="20"/>
                <w:color w:val="auto"/>
              </w:rPr>
            </w:pPr>
            <w:r>
              <w:rPr>
                <w:rFonts w:ascii="Arial" w:cs="Arial" w:eastAsia="Arial" w:hAnsi="Arial"/>
                <w:sz w:val="18"/>
                <w:szCs w:val="18"/>
                <w:color w:val="auto"/>
              </w:rPr>
              <w:t>Corporation &amp; Bank for Past Five Years</w:t>
            </w:r>
          </w:p>
        </w:tc>
      </w:tr>
      <w:tr>
        <w:trPr>
          <w:trHeight w:val="20"/>
        </w:trPr>
        <w:tc>
          <w:tcPr>
            <w:tcW w:w="42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20" w:type="dxa"/>
            <w:vAlign w:val="bottom"/>
            <w:gridSpan w:val="2"/>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40"/>
        </w:trPr>
        <w:tc>
          <w:tcPr>
            <w:tcW w:w="3620" w:type="dxa"/>
            <w:vAlign w:val="bottom"/>
            <w:gridSpan w:val="2"/>
          </w:tcPr>
          <w:p>
            <w:pPr>
              <w:spacing w:after="0"/>
              <w:rPr>
                <w:sz w:val="20"/>
                <w:szCs w:val="20"/>
                <w:color w:val="auto"/>
              </w:rPr>
            </w:pPr>
            <w:r>
              <w:rPr>
                <w:rFonts w:ascii="Arial" w:cs="Arial" w:eastAsia="Arial" w:hAnsi="Arial"/>
                <w:sz w:val="18"/>
                <w:szCs w:val="18"/>
                <w:color w:val="auto"/>
              </w:rPr>
              <w:t>Jack C. Johnson</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68</w:t>
            </w:r>
          </w:p>
        </w:tc>
        <w:tc>
          <w:tcPr>
            <w:tcW w:w="640" w:type="dxa"/>
            <w:vAlign w:val="bottom"/>
          </w:tcPr>
          <w:p>
            <w:pPr>
              <w:spacing w:after="0"/>
              <w:rPr>
                <w:sz w:val="24"/>
                <w:szCs w:val="24"/>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Chairman</w:t>
            </w:r>
          </w:p>
        </w:tc>
      </w:tr>
      <w:tr>
        <w:trPr>
          <w:trHeight w:val="422"/>
        </w:trPr>
        <w:tc>
          <w:tcPr>
            <w:tcW w:w="3620" w:type="dxa"/>
            <w:vAlign w:val="bottom"/>
            <w:gridSpan w:val="2"/>
          </w:tcPr>
          <w:p>
            <w:pPr>
              <w:spacing w:after="0"/>
              <w:rPr>
                <w:sz w:val="20"/>
                <w:szCs w:val="20"/>
                <w:color w:val="auto"/>
              </w:rPr>
            </w:pPr>
            <w:r>
              <w:rPr>
                <w:rFonts w:ascii="Arial" w:cs="Arial" w:eastAsia="Arial" w:hAnsi="Arial"/>
                <w:sz w:val="18"/>
                <w:szCs w:val="18"/>
                <w:color w:val="auto"/>
              </w:rPr>
              <w:t>Lars B. Eller</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54</w:t>
            </w:r>
          </w:p>
        </w:tc>
        <w:tc>
          <w:tcPr>
            <w:tcW w:w="640" w:type="dxa"/>
            <w:vAlign w:val="bottom"/>
          </w:tcPr>
          <w:p>
            <w:pPr>
              <w:spacing w:after="0"/>
              <w:rPr>
                <w:sz w:val="24"/>
                <w:szCs w:val="24"/>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r>
              <w:rPr>
                <w:rFonts w:ascii="Arial" w:cs="Arial" w:eastAsia="Arial" w:hAnsi="Arial"/>
                <w:sz w:val="14"/>
                <w:szCs w:val="14"/>
                <w:color w:val="auto"/>
              </w:rPr>
              <w:t>(1)</w:t>
            </w:r>
          </w:p>
        </w:tc>
      </w:tr>
      <w:tr>
        <w:trPr>
          <w:trHeight w:val="409"/>
        </w:trPr>
        <w:tc>
          <w:tcPr>
            <w:tcW w:w="3620" w:type="dxa"/>
            <w:vAlign w:val="bottom"/>
            <w:gridSpan w:val="2"/>
          </w:tcPr>
          <w:p>
            <w:pPr>
              <w:spacing w:after="0"/>
              <w:rPr>
                <w:sz w:val="20"/>
                <w:szCs w:val="20"/>
                <w:color w:val="auto"/>
              </w:rPr>
            </w:pPr>
            <w:r>
              <w:rPr>
                <w:rFonts w:ascii="Arial" w:cs="Arial" w:eastAsia="Arial" w:hAnsi="Arial"/>
                <w:sz w:val="18"/>
                <w:szCs w:val="18"/>
                <w:color w:val="auto"/>
              </w:rPr>
              <w:t>Barbara J. Britenriker</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59</w:t>
            </w:r>
          </w:p>
        </w:tc>
        <w:tc>
          <w:tcPr>
            <w:tcW w:w="640" w:type="dxa"/>
            <w:vAlign w:val="bottom"/>
          </w:tcPr>
          <w:p>
            <w:pPr>
              <w:spacing w:after="0"/>
              <w:rPr>
                <w:sz w:val="24"/>
                <w:szCs w:val="24"/>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Executive Vice President</w:t>
            </w:r>
          </w:p>
        </w:tc>
      </w:tr>
      <w:tr>
        <w:trPr>
          <w:trHeight w:val="223"/>
        </w:trPr>
        <w:tc>
          <w:tcPr>
            <w:tcW w:w="4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w w:val="91"/>
              </w:rPr>
              <w:t>Chief Financial Officer and Chief Retail Banking Officer</w:t>
            </w:r>
            <w:r>
              <w:rPr>
                <w:rFonts w:ascii="Arial" w:cs="Arial" w:eastAsia="Arial" w:hAnsi="Arial"/>
                <w:sz w:val="14"/>
                <w:szCs w:val="14"/>
                <w:color w:val="auto"/>
                <w:w w:val="91"/>
              </w:rPr>
              <w:t>(2)</w:t>
            </w:r>
          </w:p>
        </w:tc>
      </w:tr>
      <w:tr>
        <w:trPr>
          <w:trHeight w:val="410"/>
        </w:trPr>
        <w:tc>
          <w:tcPr>
            <w:tcW w:w="3620" w:type="dxa"/>
            <w:vAlign w:val="bottom"/>
            <w:gridSpan w:val="2"/>
          </w:tcPr>
          <w:p>
            <w:pPr>
              <w:spacing w:after="0"/>
              <w:rPr>
                <w:sz w:val="20"/>
                <w:szCs w:val="20"/>
                <w:color w:val="auto"/>
              </w:rPr>
            </w:pPr>
            <w:r>
              <w:rPr>
                <w:rFonts w:ascii="Arial" w:cs="Arial" w:eastAsia="Arial" w:hAnsi="Arial"/>
                <w:sz w:val="18"/>
                <w:szCs w:val="18"/>
                <w:color w:val="auto"/>
              </w:rPr>
              <w:t>Edward A. Leininger</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64</w:t>
            </w:r>
          </w:p>
        </w:tc>
        <w:tc>
          <w:tcPr>
            <w:tcW w:w="640" w:type="dxa"/>
            <w:vAlign w:val="bottom"/>
          </w:tcPr>
          <w:p>
            <w:pPr>
              <w:spacing w:after="0"/>
              <w:rPr>
                <w:sz w:val="24"/>
                <w:szCs w:val="24"/>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Executive Vice President</w:t>
            </w:r>
          </w:p>
        </w:tc>
      </w:tr>
      <w:tr>
        <w:trPr>
          <w:trHeight w:val="222"/>
        </w:trPr>
        <w:tc>
          <w:tcPr>
            <w:tcW w:w="4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Chief Operating Officer</w:t>
            </w:r>
          </w:p>
        </w:tc>
      </w:tr>
      <w:tr>
        <w:trPr>
          <w:trHeight w:val="409"/>
        </w:trPr>
        <w:tc>
          <w:tcPr>
            <w:tcW w:w="3620" w:type="dxa"/>
            <w:vAlign w:val="bottom"/>
            <w:gridSpan w:val="2"/>
          </w:tcPr>
          <w:p>
            <w:pPr>
              <w:spacing w:after="0"/>
              <w:rPr>
                <w:sz w:val="20"/>
                <w:szCs w:val="20"/>
                <w:color w:val="auto"/>
              </w:rPr>
            </w:pPr>
            <w:r>
              <w:rPr>
                <w:rFonts w:ascii="Arial" w:cs="Arial" w:eastAsia="Arial" w:hAnsi="Arial"/>
                <w:sz w:val="18"/>
                <w:szCs w:val="18"/>
                <w:color w:val="auto"/>
              </w:rPr>
              <w:t>Rex D. Rice</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62</w:t>
            </w:r>
          </w:p>
        </w:tc>
        <w:tc>
          <w:tcPr>
            <w:tcW w:w="640" w:type="dxa"/>
            <w:vAlign w:val="bottom"/>
          </w:tcPr>
          <w:p>
            <w:pPr>
              <w:spacing w:after="0"/>
              <w:rPr>
                <w:sz w:val="24"/>
                <w:szCs w:val="24"/>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Executive Vice President</w:t>
            </w:r>
          </w:p>
        </w:tc>
      </w:tr>
      <w:tr>
        <w:trPr>
          <w:trHeight w:val="223"/>
        </w:trPr>
        <w:tc>
          <w:tcPr>
            <w:tcW w:w="4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and Chief Lending Officer</w:t>
            </w:r>
            <w:r>
              <w:rPr>
                <w:rFonts w:ascii="Arial" w:cs="Arial" w:eastAsia="Arial" w:hAnsi="Arial"/>
                <w:sz w:val="14"/>
                <w:szCs w:val="14"/>
                <w:color w:val="auto"/>
              </w:rPr>
              <w:t>(3)</w:t>
            </w:r>
          </w:p>
        </w:tc>
      </w:tr>
    </w:tbl>
    <w:p>
      <w:pPr>
        <w:spacing w:after="0" w:line="19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______________________________________________________________________________________________________________________________________</w:t>
      </w:r>
    </w:p>
    <w:p>
      <w:pPr>
        <w:spacing w:after="0" w:line="34" w:lineRule="exact"/>
        <w:rPr>
          <w:sz w:val="20"/>
          <w:szCs w:val="20"/>
          <w:color w:val="auto"/>
        </w:rPr>
      </w:pPr>
    </w:p>
    <w:p>
      <w:pPr>
        <w:jc w:val="both"/>
        <w:ind w:left="620" w:hanging="186"/>
        <w:spacing w:after="0" w:line="235" w:lineRule="auto"/>
        <w:tabs>
          <w:tab w:leader="none" w:pos="635" w:val="left"/>
        </w:tabs>
        <w:numPr>
          <w:ilvl w:val="0"/>
          <w:numId w:val="23"/>
        </w:numPr>
        <w:rPr>
          <w:rFonts w:ascii="Arial" w:cs="Arial" w:eastAsia="Arial" w:hAnsi="Arial"/>
          <w:sz w:val="24"/>
          <w:szCs w:val="24"/>
          <w:color w:val="auto"/>
          <w:vertAlign w:val="superscript"/>
        </w:rPr>
      </w:pPr>
      <w:r>
        <w:rPr>
          <w:rFonts w:ascii="Arial" w:cs="Arial" w:eastAsia="Arial" w:hAnsi="Arial"/>
          <w:sz w:val="14"/>
          <w:szCs w:val="14"/>
          <w:color w:val="auto"/>
        </w:rPr>
        <w:t>The designation PEO means principal executive officer and PFO means principal financial officer under the rules of the SEC. From 2013-2017, Mr. Eller was Executive Vice President and Chief Retail Banking Officer of Royal Bank America in Philadelphia. From January 1, 2018, until June 30, 2018, Mr. Eller was a consultant for Cambridge Savings Bank in Massachusetts.</w:t>
      </w:r>
    </w:p>
    <w:p>
      <w:pPr>
        <w:spacing w:after="0" w:line="130" w:lineRule="exact"/>
        <w:rPr>
          <w:rFonts w:ascii="Arial" w:cs="Arial" w:eastAsia="Arial" w:hAnsi="Arial"/>
          <w:sz w:val="24"/>
          <w:szCs w:val="24"/>
          <w:color w:val="auto"/>
          <w:vertAlign w:val="superscript"/>
        </w:rPr>
      </w:pPr>
    </w:p>
    <w:p>
      <w:pPr>
        <w:ind w:left="620" w:right="100" w:hanging="186"/>
        <w:spacing w:after="0" w:line="218" w:lineRule="auto"/>
        <w:tabs>
          <w:tab w:leader="none" w:pos="633" w:val="left"/>
        </w:tabs>
        <w:numPr>
          <w:ilvl w:val="0"/>
          <w:numId w:val="23"/>
        </w:numPr>
        <w:rPr>
          <w:rFonts w:ascii="Arial" w:cs="Arial" w:eastAsia="Arial" w:hAnsi="Arial"/>
          <w:sz w:val="24"/>
          <w:szCs w:val="24"/>
          <w:color w:val="auto"/>
          <w:vertAlign w:val="superscript"/>
        </w:rPr>
      </w:pPr>
      <w:r>
        <w:rPr>
          <w:rFonts w:ascii="Arial" w:cs="Arial" w:eastAsia="Arial" w:hAnsi="Arial"/>
          <w:sz w:val="14"/>
          <w:szCs w:val="14"/>
          <w:color w:val="auto"/>
        </w:rPr>
        <w:t>Ms. Britenriker was appointed to serve as the Chief Retail Banking Officer of the Bank on January 7, 2019 and will also remain as the Chief Financial Officer of the Company.</w:t>
      </w:r>
    </w:p>
    <w:p>
      <w:pPr>
        <w:spacing w:after="0" w:line="130" w:lineRule="exact"/>
        <w:rPr>
          <w:rFonts w:ascii="Arial" w:cs="Arial" w:eastAsia="Arial" w:hAnsi="Arial"/>
          <w:sz w:val="24"/>
          <w:szCs w:val="24"/>
          <w:color w:val="auto"/>
          <w:vertAlign w:val="superscript"/>
        </w:rPr>
      </w:pPr>
    </w:p>
    <w:p>
      <w:pPr>
        <w:ind w:left="620" w:right="40" w:hanging="186"/>
        <w:spacing w:after="0" w:line="218" w:lineRule="auto"/>
        <w:tabs>
          <w:tab w:leader="none" w:pos="633" w:val="left"/>
        </w:tabs>
        <w:numPr>
          <w:ilvl w:val="0"/>
          <w:numId w:val="23"/>
        </w:numPr>
        <w:rPr>
          <w:rFonts w:ascii="Arial" w:cs="Arial" w:eastAsia="Arial" w:hAnsi="Arial"/>
          <w:sz w:val="24"/>
          <w:szCs w:val="24"/>
          <w:color w:val="auto"/>
          <w:vertAlign w:val="superscript"/>
        </w:rPr>
      </w:pPr>
      <w:r>
        <w:rPr>
          <w:rFonts w:ascii="Arial" w:cs="Arial" w:eastAsia="Arial" w:hAnsi="Arial"/>
          <w:sz w:val="14"/>
          <w:szCs w:val="14"/>
          <w:color w:val="auto"/>
        </w:rPr>
        <w:t>Mr. Rice was the Executive Vice President and Senior Commercial Banking Manager until January 31, 2020. Mr. Rice assumed the position of Chief Lending Officer of the Bank effective upon the retirement of Todd Graham as of February 1, 2020.</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Any remaining information required by Item 401 of Regulation S-K is presented in the proxy statement to be furnished in connection with the solicitation of proxies on behalf of the Board of Directors of the Registrant for use at its Annual Meeting to be held on April 16, 2020, and is incorporated herein by reference to the sections of the proxy statement captioned ‘Nominations for Members of the Board of Director” and “PROPOSAL ONE – Election of Directors and Information Concerning Directors and Officers.” The information called for under Item 405 of Regulation S-K and called for under paragraphs (d)(4) and (d)(5) of Item 407 is presented in the proxy statement to be furnished in connection with the solicitation of proxies on behalf of the Board of Directors of the Registrant for use at its Annual Meeting to be held on April 16, 2020, and is incorporated herein by reference to the sections of the proxy statement captioned “Delinquent Section 16(a) Reports,” “Audit Committee Report” and “Committees of the Board of Directors.”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Board of Directors of the Company adopted a Code of Business Conduct and Ethics (the “Code”) at its meeting on February 13, 2004. While the Sarbanes-Oxley Act of 2002 mandates the adoption of a code of ethics for the most senior executive officers of all public companies, the Code adopted by the Corporation's Board of Directors is broader in the activities covered and applies to all officers, directors and employees of the Corporation and the Bank, including the chief executive officer, chief financial officer, principal accounting officer and other senior officers performing accounting, auditing, financial management or similar functions. The administration of the Code has been delegated to the Audit Committee of the Board of Directors, a Committee comprised entirely of “independent directors.” The Code addresses topics such as compliance with laws and regulations, honest and ethical conduct, conflicts of interest, confidentiality and protection of Corporation assets, fair dealing and accurate and timely periodic reports, and also provides for enforcement mechanisms. The Board and management of the Corporation intends to continue to monitor not only the developing legal requirements in this area, but also the best practices of comparable companies, to assure that the Corporation maintains sound corporate governance practices in the future. Annual testing and review of the Code is conducted and attested to by signatures of all officers and directors of the Company.</w:t>
      </w:r>
    </w:p>
    <w:p>
      <w:pPr>
        <w:spacing w:after="0" w:line="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copy of the Corporation's Code is available on the website of the Bank (</w:t>
      </w:r>
      <w:r>
        <w:rPr>
          <w:rFonts w:ascii="Arial" w:cs="Arial" w:eastAsia="Arial" w:hAnsi="Arial"/>
          <w:sz w:val="16"/>
          <w:szCs w:val="16"/>
          <w:u w:val="single" w:color="auto"/>
          <w:color w:val="auto"/>
        </w:rPr>
        <w:t>www.fm.bank</w:t>
      </w:r>
      <w:r>
        <w:rPr>
          <w:rFonts w:ascii="Arial" w:cs="Arial" w:eastAsia="Arial" w:hAnsi="Arial"/>
          <w:sz w:val="16"/>
          <w:szCs w:val="16"/>
          <w:color w:val="auto"/>
        </w:rPr>
        <w:t>). In addition, a copy of the Code is available to any shareholder free of charge upon request. Shareholders desiring a copy of the Code should address written requests to Mr. Lars B. Eller, President, Chief Executive Officer and Treasurer of Farmers &amp; Merchants Bancorp, Inc., 307 North Defiance Street, Archbold, Ohio 43502, and are asked to mark Code of Business Conduct and Ethics on the outside of the envelope containing the request.</w:t>
      </w:r>
    </w:p>
    <w:p>
      <w:pPr>
        <w:spacing w:after="0" w:line="16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77470</wp:posOffset>
            </wp:positionV>
            <wp:extent cx="7135495"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440"/>
          </w:cols>
          <w:pgMar w:left="1120" w:top="170"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115" w:lineRule="exact"/>
        <w:rPr>
          <w:sz w:val="20"/>
          <w:szCs w:val="20"/>
          <w:color w:val="auto"/>
        </w:rPr>
      </w:pPr>
    </w:p>
    <w:p>
      <w:pPr>
        <w:jc w:val="both"/>
        <w:ind w:left="800"/>
        <w:spacing w:after="0" w:line="291" w:lineRule="auto"/>
        <w:rPr>
          <w:sz w:val="20"/>
          <w:szCs w:val="20"/>
          <w:color w:val="auto"/>
        </w:rPr>
      </w:pPr>
      <w:r>
        <w:rPr>
          <w:rFonts w:ascii="Arial" w:cs="Arial" w:eastAsia="Arial" w:hAnsi="Arial"/>
          <w:sz w:val="16"/>
          <w:szCs w:val="16"/>
          <w:color w:val="auto"/>
        </w:rPr>
        <w:t>The information called for herein by Item 402 and paragraphs (e)(4) and (e)(5) of Item 407, Regulations S-K is presented in the proxy statement to be furnished in connection with the solicitation of proxies on behalf of the Board of Directors of the Registrant for use at its Annual Meeting to be held on April 15, 2021, and is incorporated herein by reference to the sections of the proxy statement captioned “Compensation Discussion and Analysis,” “Compensation Committee Report on Executive Compensation,” and “Related Party Transactions.”</w:t>
      </w:r>
    </w:p>
    <w:p>
      <w:pPr>
        <w:spacing w:after="0" w:line="261" w:lineRule="exact"/>
        <w:rPr>
          <w:sz w:val="20"/>
          <w:szCs w:val="20"/>
          <w:color w:val="auto"/>
        </w:rPr>
      </w:pPr>
    </w:p>
    <w:p>
      <w:pPr>
        <w:ind w:right="820"/>
        <w:spacing w:after="0" w:line="269" w:lineRule="auto"/>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STOCKHOLDER MATTERS</w:t>
      </w:r>
    </w:p>
    <w:p>
      <w:pPr>
        <w:spacing w:after="0" w:line="69"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The information called for by Item 403 of Regulation S-K is presented in the proxy statement to be furnished in connection with the solicitation of proxies on behalf of the Board of Directors of the Registrant for use at its Annual Meeting to be held Thursday, April 15, 2021 and is incorporated herein by reference to the section of the proxy statement captioned “Security Ownership of Certain Beneficial Owners and Named Executive Officers.”</w:t>
      </w:r>
    </w:p>
    <w:p>
      <w:pPr>
        <w:spacing w:after="0" w:line="86" w:lineRule="exact"/>
        <w:rPr>
          <w:sz w:val="20"/>
          <w:szCs w:val="20"/>
          <w:color w:val="auto"/>
        </w:rPr>
      </w:pPr>
    </w:p>
    <w:p>
      <w:pPr>
        <w:jc w:val="both"/>
        <w:ind w:left="800"/>
        <w:spacing w:after="0" w:line="304" w:lineRule="auto"/>
        <w:rPr>
          <w:sz w:val="20"/>
          <w:szCs w:val="20"/>
          <w:color w:val="auto"/>
        </w:rPr>
      </w:pPr>
      <w:r>
        <w:rPr>
          <w:rFonts w:ascii="Arial" w:cs="Arial" w:eastAsia="Arial" w:hAnsi="Arial"/>
          <w:sz w:val="15"/>
          <w:szCs w:val="15"/>
          <w:color w:val="auto"/>
        </w:rPr>
        <w:t>On April 16, 2015 the Company’s shareholders approved the Farmers &amp; Merchants Bancorp, Inc. 2015 Long-Term Stock Incentive Plan (which replaced the expired 2005 Long-Term Stock Incentive Plan). The plan authorizes the issuance of up to 1,600,000 (adjusted for a two-for-one stock split) of the Company’s common shares in the form of stock options, restricted stock, performance shares, and unrestricted stock to employees of the Company and its subsidiaries. To date, the Company has only made awards of restricted stock under the Plan, which awards are subject to time vesting. This requires the executive or employee to remain employed with the Company or the Bank, as the case may be, until the awards have vested, or such shares of restricted stock will be forfeited. During 2020, 37,382 shares were awarded to 92 employees and 2,175 were forfeited under its long term incentive plan. At year-end, 2020, the Company held 1,032,456 shares in Treasury stock and 88,226 in unearned stock awards.</w:t>
      </w:r>
    </w:p>
    <w:p>
      <w:pPr>
        <w:spacing w:after="0" w:line="51" w:lineRule="exact"/>
        <w:rPr>
          <w:sz w:val="20"/>
          <w:szCs w:val="20"/>
          <w:color w:val="auto"/>
        </w:rPr>
      </w:pPr>
    </w:p>
    <w:p>
      <w:pPr>
        <w:jc w:val="both"/>
        <w:ind w:left="800"/>
        <w:spacing w:after="0" w:line="247" w:lineRule="auto"/>
        <w:rPr>
          <w:sz w:val="20"/>
          <w:szCs w:val="20"/>
          <w:color w:val="auto"/>
        </w:rPr>
      </w:pPr>
      <w:r>
        <w:rPr>
          <w:rFonts w:ascii="Arial" w:cs="Arial" w:eastAsia="Arial" w:hAnsi="Arial"/>
          <w:sz w:val="18"/>
          <w:szCs w:val="18"/>
          <w:color w:val="auto"/>
        </w:rPr>
        <w:t>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approximately $4,000, rounded to the nearest whole Share on an annual basis commencing on June 5, 2020 and thereafter on the first Friday of June in each year. The value for the Shares is to be based upon the closing price for Shares on June 4, 2020 and thereafter on the first Thursday in June each year. On June 5, 2020, each Director received 176 shares. On November 20, 2020, a new director received 20 prorated shares.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20" w:type="dxa"/>
            <w:vAlign w:val="bottom"/>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0"/>
              </w:rPr>
              <w:t>Equity Compensation Plan Information</w:t>
            </w:r>
          </w:p>
        </w:tc>
        <w:tc>
          <w:tcPr>
            <w:tcW w:w="1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50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300"/>
              <w:spacing w:after="0" w:line="205" w:lineRule="exact"/>
              <w:rPr>
                <w:sz w:val="20"/>
                <w:szCs w:val="20"/>
                <w:color w:val="auto"/>
              </w:rPr>
            </w:pPr>
            <w:r>
              <w:rPr>
                <w:rFonts w:ascii="Arial" w:cs="Arial" w:eastAsia="Arial" w:hAnsi="Arial"/>
                <w:sz w:val="18"/>
                <w:szCs w:val="18"/>
                <w:color w:val="auto"/>
                <w:w w:val="90"/>
              </w:rPr>
              <w:t>Number of</w:t>
            </w:r>
          </w:p>
        </w:tc>
      </w:tr>
      <w:tr>
        <w:trPr>
          <w:trHeight w:val="211"/>
        </w:trPr>
        <w:tc>
          <w:tcPr>
            <w:tcW w:w="5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securities remaining</w:t>
            </w:r>
          </w:p>
        </w:tc>
      </w:tr>
      <w:tr>
        <w:trPr>
          <w:trHeight w:val="211"/>
        </w:trPr>
        <w:tc>
          <w:tcPr>
            <w:tcW w:w="5020" w:type="dxa"/>
            <w:vAlign w:val="bottom"/>
          </w:tcPr>
          <w:p>
            <w:pPr>
              <w:spacing w:after="0"/>
              <w:rPr>
                <w:sz w:val="18"/>
                <w:szCs w:val="18"/>
                <w:color w:val="auto"/>
              </w:rPr>
            </w:pPr>
          </w:p>
        </w:tc>
        <w:tc>
          <w:tcPr>
            <w:tcW w:w="1660" w:type="dxa"/>
            <w:vAlign w:val="bottom"/>
          </w:tcPr>
          <w:p>
            <w:pPr>
              <w:jc w:val="center"/>
              <w:ind w:left="92"/>
              <w:spacing w:after="0"/>
              <w:rPr>
                <w:sz w:val="20"/>
                <w:szCs w:val="20"/>
                <w:color w:val="auto"/>
              </w:rPr>
            </w:pPr>
            <w:r>
              <w:rPr>
                <w:rFonts w:ascii="Arial" w:cs="Arial" w:eastAsia="Arial" w:hAnsi="Arial"/>
                <w:sz w:val="18"/>
                <w:szCs w:val="18"/>
                <w:color w:val="auto"/>
                <w:w w:val="90"/>
              </w:rPr>
              <w:t>Number of</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available for future</w:t>
            </w:r>
          </w:p>
        </w:tc>
      </w:tr>
      <w:tr>
        <w:trPr>
          <w:trHeight w:val="211"/>
        </w:trPr>
        <w:tc>
          <w:tcPr>
            <w:tcW w:w="5020" w:type="dxa"/>
            <w:vAlign w:val="bottom"/>
          </w:tcPr>
          <w:p>
            <w:pPr>
              <w:spacing w:after="0"/>
              <w:rPr>
                <w:sz w:val="18"/>
                <w:szCs w:val="18"/>
                <w:color w:val="auto"/>
              </w:rPr>
            </w:pPr>
          </w:p>
        </w:tc>
        <w:tc>
          <w:tcPr>
            <w:tcW w:w="1660" w:type="dxa"/>
            <w:vAlign w:val="bottom"/>
          </w:tcPr>
          <w:p>
            <w:pPr>
              <w:jc w:val="center"/>
              <w:ind w:left="72"/>
              <w:spacing w:after="0"/>
              <w:rPr>
                <w:sz w:val="20"/>
                <w:szCs w:val="20"/>
                <w:color w:val="auto"/>
              </w:rPr>
            </w:pPr>
            <w:r>
              <w:rPr>
                <w:rFonts w:ascii="Arial" w:cs="Arial" w:eastAsia="Arial" w:hAnsi="Arial"/>
                <w:sz w:val="18"/>
                <w:szCs w:val="18"/>
                <w:color w:val="auto"/>
                <w:w w:val="87"/>
              </w:rPr>
              <w:t>securities to be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issuance under</w:t>
            </w:r>
          </w:p>
        </w:tc>
      </w:tr>
      <w:tr>
        <w:trPr>
          <w:trHeight w:val="211"/>
        </w:trPr>
        <w:tc>
          <w:tcPr>
            <w:tcW w:w="5020" w:type="dxa"/>
            <w:vAlign w:val="bottom"/>
          </w:tcPr>
          <w:p>
            <w:pPr>
              <w:spacing w:after="0"/>
              <w:rPr>
                <w:sz w:val="18"/>
                <w:szCs w:val="18"/>
                <w:color w:val="auto"/>
              </w:rPr>
            </w:pPr>
          </w:p>
        </w:tc>
        <w:tc>
          <w:tcPr>
            <w:tcW w:w="1660" w:type="dxa"/>
            <w:vAlign w:val="bottom"/>
          </w:tcPr>
          <w:p>
            <w:pPr>
              <w:jc w:val="center"/>
              <w:ind w:left="72"/>
              <w:spacing w:after="0"/>
              <w:rPr>
                <w:sz w:val="20"/>
                <w:szCs w:val="20"/>
                <w:color w:val="auto"/>
              </w:rPr>
            </w:pPr>
            <w:r>
              <w:rPr>
                <w:rFonts w:ascii="Arial" w:cs="Arial" w:eastAsia="Arial" w:hAnsi="Arial"/>
                <w:sz w:val="18"/>
                <w:szCs w:val="18"/>
                <w:color w:val="auto"/>
                <w:w w:val="86"/>
              </w:rPr>
              <w:t>issued upon exercise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Weighted-average</w:t>
            </w: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equity compensation</w:t>
            </w:r>
          </w:p>
        </w:tc>
      </w:tr>
      <w:tr>
        <w:trPr>
          <w:trHeight w:val="211"/>
        </w:trPr>
        <w:tc>
          <w:tcPr>
            <w:tcW w:w="5020" w:type="dxa"/>
            <w:vAlign w:val="bottom"/>
          </w:tcPr>
          <w:p>
            <w:pPr>
              <w:spacing w:after="0"/>
              <w:rPr>
                <w:sz w:val="18"/>
                <w:szCs w:val="18"/>
                <w:color w:val="auto"/>
              </w:rPr>
            </w:pPr>
          </w:p>
        </w:tc>
        <w:tc>
          <w:tcPr>
            <w:tcW w:w="1660" w:type="dxa"/>
            <w:vAlign w:val="bottom"/>
          </w:tcPr>
          <w:p>
            <w:pPr>
              <w:jc w:val="center"/>
              <w:ind w:left="72"/>
              <w:spacing w:after="0"/>
              <w:rPr>
                <w:sz w:val="20"/>
                <w:szCs w:val="20"/>
                <w:color w:val="auto"/>
              </w:rPr>
            </w:pPr>
            <w:r>
              <w:rPr>
                <w:rFonts w:ascii="Arial" w:cs="Arial" w:eastAsia="Arial" w:hAnsi="Arial"/>
                <w:sz w:val="18"/>
                <w:szCs w:val="18"/>
                <w:color w:val="auto"/>
                <w:w w:val="90"/>
              </w:rPr>
              <w:t>of outstanding</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3"/>
          </w:tcPr>
          <w:p>
            <w:pPr>
              <w:jc w:val="center"/>
              <w:ind w:right="620"/>
              <w:spacing w:after="0"/>
              <w:rPr>
                <w:sz w:val="20"/>
                <w:szCs w:val="20"/>
                <w:color w:val="auto"/>
              </w:rPr>
            </w:pPr>
            <w:r>
              <w:rPr>
                <w:rFonts w:ascii="Arial" w:cs="Arial" w:eastAsia="Arial" w:hAnsi="Arial"/>
                <w:sz w:val="18"/>
                <w:szCs w:val="18"/>
                <w:color w:val="auto"/>
                <w:w w:val="88"/>
              </w:rPr>
              <w:t>exercise price of</w:t>
            </w: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plans (excluding</w:t>
            </w:r>
          </w:p>
        </w:tc>
      </w:tr>
      <w:tr>
        <w:trPr>
          <w:trHeight w:val="211"/>
        </w:trPr>
        <w:tc>
          <w:tcPr>
            <w:tcW w:w="5020" w:type="dxa"/>
            <w:vAlign w:val="bottom"/>
          </w:tcPr>
          <w:p>
            <w:pPr>
              <w:spacing w:after="0"/>
              <w:rPr>
                <w:sz w:val="18"/>
                <w:szCs w:val="18"/>
                <w:color w:val="auto"/>
              </w:rPr>
            </w:pPr>
          </w:p>
        </w:tc>
        <w:tc>
          <w:tcPr>
            <w:tcW w:w="1660" w:type="dxa"/>
            <w:vAlign w:val="bottom"/>
          </w:tcPr>
          <w:p>
            <w:pPr>
              <w:jc w:val="center"/>
              <w:ind w:left="72"/>
              <w:spacing w:after="0"/>
              <w:rPr>
                <w:sz w:val="20"/>
                <w:szCs w:val="20"/>
                <w:color w:val="auto"/>
              </w:rPr>
            </w:pPr>
            <w:r>
              <w:rPr>
                <w:rFonts w:ascii="Arial" w:cs="Arial" w:eastAsia="Arial" w:hAnsi="Arial"/>
                <w:sz w:val="18"/>
                <w:szCs w:val="18"/>
                <w:color w:val="auto"/>
                <w:w w:val="88"/>
              </w:rPr>
              <w:t>options, warrants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3"/>
          </w:tcPr>
          <w:p>
            <w:pPr>
              <w:jc w:val="center"/>
              <w:ind w:right="620"/>
              <w:spacing w:after="0"/>
              <w:rPr>
                <w:sz w:val="20"/>
                <w:szCs w:val="20"/>
                <w:color w:val="auto"/>
              </w:rPr>
            </w:pPr>
            <w:r>
              <w:rPr>
                <w:rFonts w:ascii="Arial" w:cs="Arial" w:eastAsia="Arial" w:hAnsi="Arial"/>
                <w:sz w:val="18"/>
                <w:szCs w:val="18"/>
                <w:color w:val="auto"/>
                <w:w w:val="89"/>
              </w:rPr>
              <w:t>outstanding options,</w:t>
            </w: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securities reflected</w:t>
            </w:r>
          </w:p>
        </w:tc>
      </w:tr>
      <w:tr>
        <w:trPr>
          <w:trHeight w:val="223"/>
        </w:trPr>
        <w:tc>
          <w:tcPr>
            <w:tcW w:w="5020" w:type="dxa"/>
            <w:vAlign w:val="bottom"/>
          </w:tcPr>
          <w:p>
            <w:pPr>
              <w:spacing w:after="0"/>
              <w:rPr>
                <w:sz w:val="19"/>
                <w:szCs w:val="19"/>
                <w:color w:val="auto"/>
              </w:rPr>
            </w:pPr>
          </w:p>
        </w:tc>
        <w:tc>
          <w:tcPr>
            <w:tcW w:w="166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color w:val="auto"/>
                <w:w w:val="88"/>
              </w:rPr>
              <w:t>and rights</w:t>
            </w:r>
          </w:p>
        </w:tc>
        <w:tc>
          <w:tcPr>
            <w:tcW w:w="1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8"/>
              </w:rPr>
              <w:t>warrants and rights</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90"/>
              </w:rPr>
              <w:t>in column (a))</w:t>
            </w:r>
          </w:p>
        </w:tc>
        <w:tc>
          <w:tcPr>
            <w:tcW w:w="100" w:type="dxa"/>
            <w:vAlign w:val="bottom"/>
          </w:tcPr>
          <w:p>
            <w:pPr>
              <w:spacing w:after="0"/>
              <w:rPr>
                <w:sz w:val="19"/>
                <w:szCs w:val="19"/>
                <w:color w:val="auto"/>
              </w:rPr>
            </w:pPr>
          </w:p>
        </w:tc>
      </w:tr>
      <w:tr>
        <w:trPr>
          <w:trHeight w:val="217"/>
        </w:trPr>
        <w:tc>
          <w:tcPr>
            <w:tcW w:w="5020" w:type="dxa"/>
            <w:vAlign w:val="bottom"/>
            <w:tcBorders>
              <w:bottom w:val="single" w:sz="8" w:color="CFF0FC"/>
            </w:tcBorders>
          </w:tcPr>
          <w:p>
            <w:pPr>
              <w:spacing w:after="0"/>
              <w:rPr>
                <w:sz w:val="18"/>
                <w:szCs w:val="18"/>
                <w:color w:val="auto"/>
              </w:rPr>
            </w:pPr>
          </w:p>
        </w:tc>
        <w:tc>
          <w:tcPr>
            <w:tcW w:w="166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w w:val="87"/>
              </w:rPr>
              <w:t>( a )</w:t>
            </w: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7"/>
              </w:rPr>
              <w:t>( b )</w:t>
            </w:r>
          </w:p>
        </w:tc>
        <w:tc>
          <w:tcPr>
            <w:tcW w:w="2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90"/>
              </w:rPr>
              <w:t>( c )</w:t>
            </w:r>
          </w:p>
        </w:tc>
        <w:tc>
          <w:tcPr>
            <w:tcW w:w="100" w:type="dxa"/>
            <w:vAlign w:val="bottom"/>
            <w:tcBorders>
              <w:bottom w:val="single" w:sz="8" w:color="CFF0FC"/>
            </w:tcBorders>
          </w:tcPr>
          <w:p>
            <w:pPr>
              <w:spacing w:after="0"/>
              <w:rPr>
                <w:sz w:val="18"/>
                <w:szCs w:val="18"/>
                <w:color w:val="auto"/>
              </w:rPr>
            </w:pPr>
          </w:p>
        </w:tc>
      </w:tr>
      <w:tr>
        <w:trPr>
          <w:trHeight w:val="205"/>
        </w:trPr>
        <w:tc>
          <w:tcPr>
            <w:tcW w:w="6680" w:type="dxa"/>
            <w:vAlign w:val="bottom"/>
            <w:gridSpan w:val="2"/>
            <w:shd w:val="clear" w:color="auto" w:fill="CFF0FC"/>
          </w:tcPr>
          <w:p>
            <w:pPr>
              <w:spacing w:after="0" w:line="205" w:lineRule="exact"/>
              <w:rPr>
                <w:sz w:val="20"/>
                <w:szCs w:val="20"/>
                <w:color w:val="auto"/>
              </w:rPr>
            </w:pPr>
            <w:r>
              <w:rPr>
                <w:rFonts w:ascii="Arial" w:cs="Arial" w:eastAsia="Arial" w:hAnsi="Arial"/>
                <w:sz w:val="18"/>
                <w:szCs w:val="18"/>
                <w:color w:val="auto"/>
              </w:rPr>
              <w:t>Equity compensation plans approved by</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3"/>
        </w:trPr>
        <w:tc>
          <w:tcPr>
            <w:tcW w:w="66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security holders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1,403,421</w:t>
            </w:r>
          </w:p>
        </w:tc>
        <w:tc>
          <w:tcPr>
            <w:tcW w:w="100" w:type="dxa"/>
            <w:vAlign w:val="bottom"/>
            <w:shd w:val="clear" w:color="auto" w:fill="CFF0FC"/>
          </w:tcPr>
          <w:p>
            <w:pPr>
              <w:spacing w:after="0"/>
              <w:rPr>
                <w:sz w:val="19"/>
                <w:szCs w:val="19"/>
                <w:color w:val="auto"/>
              </w:rPr>
            </w:pPr>
          </w:p>
        </w:tc>
      </w:tr>
      <w:tr>
        <w:trPr>
          <w:trHeight w:val="212"/>
        </w:trPr>
        <w:tc>
          <w:tcPr>
            <w:tcW w:w="66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680" w:type="dxa"/>
            <w:vAlign w:val="bottom"/>
            <w:gridSpan w:val="2"/>
          </w:tcPr>
          <w:p>
            <w:pPr>
              <w:ind w:left="140"/>
              <w:spacing w:after="0"/>
              <w:rPr>
                <w:sz w:val="20"/>
                <w:szCs w:val="20"/>
                <w:color w:val="auto"/>
              </w:rPr>
            </w:pPr>
            <w:r>
              <w:rPr>
                <w:rFonts w:ascii="Arial" w:cs="Arial" w:eastAsia="Arial" w:hAnsi="Arial"/>
                <w:sz w:val="18"/>
                <w:szCs w:val="18"/>
                <w:color w:val="auto"/>
              </w:rPr>
              <w:t>security holders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4"/>
        </w:trPr>
        <w:tc>
          <w:tcPr>
            <w:tcW w:w="6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1,403,421</w:t>
            </w:r>
          </w:p>
        </w:tc>
        <w:tc>
          <w:tcPr>
            <w:tcW w:w="100" w:type="dxa"/>
            <w:vAlign w:val="bottom"/>
            <w:shd w:val="clear" w:color="auto" w:fill="CFF0FC"/>
          </w:tcPr>
          <w:p>
            <w:pPr>
              <w:spacing w:after="0"/>
              <w:rPr>
                <w:sz w:val="19"/>
                <w:szCs w:val="19"/>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w:t>
      </w:r>
    </w:p>
    <w:p>
      <w:pPr>
        <w:spacing w:after="0" w:line="115" w:lineRule="exact"/>
        <w:rPr>
          <w:sz w:val="20"/>
          <w:szCs w:val="20"/>
          <w:color w:val="auto"/>
        </w:rPr>
      </w:pPr>
    </w:p>
    <w:p>
      <w:pPr>
        <w:jc w:val="both"/>
        <w:ind w:left="800"/>
        <w:spacing w:after="0" w:line="300" w:lineRule="auto"/>
        <w:rPr>
          <w:sz w:val="20"/>
          <w:szCs w:val="20"/>
          <w:color w:val="auto"/>
        </w:rPr>
      </w:pPr>
      <w:r>
        <w:rPr>
          <w:rFonts w:ascii="Arial" w:cs="Arial" w:eastAsia="Arial" w:hAnsi="Arial"/>
          <w:sz w:val="16"/>
          <w:szCs w:val="16"/>
          <w:color w:val="auto"/>
        </w:rPr>
        <w:t>The information called for herein by Item 404 and paragraph (a) of Item 407 is presented in the proxy statement to be furnished in connection with the solicitation of proxies on behalf of the Board of Directors of the Registrant for use at its Annual Meeting to be held on April 15, 2021, and is incorporated herein by reference to the sections of the proxy statement captioned “Related Party Transactions.”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p>
    <w:p>
      <w:pPr>
        <w:spacing w:after="0" w:line="115" w:lineRule="exact"/>
        <w:rPr>
          <w:sz w:val="20"/>
          <w:szCs w:val="20"/>
          <w:color w:val="auto"/>
        </w:rPr>
      </w:pPr>
    </w:p>
    <w:p>
      <w:pPr>
        <w:jc w:val="both"/>
        <w:ind w:left="800"/>
        <w:spacing w:after="0" w:line="300" w:lineRule="auto"/>
        <w:rPr>
          <w:sz w:val="20"/>
          <w:szCs w:val="20"/>
          <w:color w:val="auto"/>
        </w:rPr>
      </w:pPr>
      <w:r>
        <w:rPr>
          <w:rFonts w:ascii="Arial" w:cs="Arial" w:eastAsia="Arial" w:hAnsi="Arial"/>
          <w:sz w:val="16"/>
          <w:szCs w:val="16"/>
          <w:color w:val="auto"/>
        </w:rPr>
        <w:t>The information called for by this Item is presented in the proxy statement to be furnished in connection with the solicitation of proxies on behalf of the Board of Directors of the Registrant for use at its Annual Meeting to be held on April 15, 2021, and is incorporated herein by reference to the section of the proxy statement captioned “Selection of Auditors/Principal Accounting Firm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auto"/>
        </w:rPr>
        <w:t>PART IV</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STATEMENTS SCHEDULES</w:t>
      </w:r>
    </w:p>
    <w:p>
      <w:pPr>
        <w:spacing w:after="0" w:line="128" w:lineRule="exact"/>
        <w:rPr>
          <w:sz w:val="20"/>
          <w:szCs w:val="20"/>
          <w:color w:val="auto"/>
        </w:rPr>
      </w:pPr>
    </w:p>
    <w:p>
      <w:pPr>
        <w:ind w:left="1360" w:hanging="446"/>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82" w:lineRule="exact"/>
        <w:rPr>
          <w:rFonts w:ascii="Arial" w:cs="Arial" w:eastAsia="Arial" w:hAnsi="Arial"/>
          <w:sz w:val="18"/>
          <w:szCs w:val="18"/>
          <w:color w:val="auto"/>
        </w:rPr>
      </w:pPr>
    </w:p>
    <w:p>
      <w:pPr>
        <w:ind w:left="2360" w:right="4920" w:hanging="998"/>
        <w:spacing w:after="0" w:line="251" w:lineRule="auto"/>
        <w:tabs>
          <w:tab w:leader="none" w:pos="2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Financial Statements (included in this 10-K under Item 8) Report of Independent Accountants</w:t>
      </w:r>
    </w:p>
    <w:p>
      <w:pPr>
        <w:ind w:left="2360" w:right="6480"/>
        <w:spacing w:after="0" w:line="293" w:lineRule="auto"/>
        <w:rPr>
          <w:rFonts w:ascii="Arial" w:cs="Arial" w:eastAsia="Arial" w:hAnsi="Arial"/>
          <w:sz w:val="18"/>
          <w:szCs w:val="18"/>
          <w:color w:val="auto"/>
        </w:rPr>
      </w:pPr>
      <w:r>
        <w:rPr>
          <w:rFonts w:ascii="Arial" w:cs="Arial" w:eastAsia="Arial" w:hAnsi="Arial"/>
          <w:sz w:val="15"/>
          <w:szCs w:val="15"/>
          <w:color w:val="auto"/>
        </w:rPr>
        <w:t>Consolidated Balance Sheets Consolidated Statements of Income</w:t>
      </w:r>
    </w:p>
    <w:p>
      <w:pPr>
        <w:ind w:left="2360" w:right="4680"/>
        <w:spacing w:after="0" w:line="274" w:lineRule="auto"/>
        <w:rPr>
          <w:rFonts w:ascii="Arial" w:cs="Arial" w:eastAsia="Arial" w:hAnsi="Arial"/>
          <w:sz w:val="18"/>
          <w:szCs w:val="18"/>
          <w:color w:val="auto"/>
        </w:rPr>
      </w:pPr>
      <w:r>
        <w:rPr>
          <w:rFonts w:ascii="Arial" w:cs="Arial" w:eastAsia="Arial" w:hAnsi="Arial"/>
          <w:sz w:val="16"/>
          <w:szCs w:val="16"/>
          <w:color w:val="auto"/>
        </w:rPr>
        <w:t>Consolidated Statements of Changes in Shareholders’ Equity Consolidated Statements of Cash Flows</w:t>
      </w:r>
    </w:p>
    <w:p>
      <w:pPr>
        <w:spacing w:after="0" w:line="1" w:lineRule="exact"/>
        <w:rPr>
          <w:rFonts w:ascii="Arial" w:cs="Arial" w:eastAsia="Arial" w:hAnsi="Arial"/>
          <w:sz w:val="18"/>
          <w:szCs w:val="18"/>
          <w:color w:val="auto"/>
        </w:rPr>
      </w:pPr>
    </w:p>
    <w:p>
      <w:pPr>
        <w:ind w:left="2360"/>
        <w:spacing w:after="0"/>
        <w:rPr>
          <w:rFonts w:ascii="Arial" w:cs="Arial" w:eastAsia="Arial" w:hAnsi="Arial"/>
          <w:sz w:val="18"/>
          <w:szCs w:val="18"/>
          <w:color w:val="auto"/>
        </w:rPr>
      </w:pPr>
      <w:r>
        <w:rPr>
          <w:rFonts w:ascii="Arial" w:cs="Arial" w:eastAsia="Arial" w:hAnsi="Arial"/>
          <w:sz w:val="18"/>
          <w:szCs w:val="18"/>
          <w:color w:val="auto"/>
        </w:rPr>
        <w:t>Note to Consolidated Financial Statements</w:t>
      </w:r>
    </w:p>
    <w:p>
      <w:pPr>
        <w:spacing w:after="0" w:line="71" w:lineRule="exact"/>
        <w:rPr>
          <w:rFonts w:ascii="Arial" w:cs="Arial" w:eastAsia="Arial" w:hAnsi="Arial"/>
          <w:sz w:val="18"/>
          <w:szCs w:val="18"/>
          <w:color w:val="auto"/>
        </w:rPr>
      </w:pPr>
    </w:p>
    <w:p>
      <w:pPr>
        <w:ind w:left="2360" w:right="6560" w:hanging="998"/>
        <w:spacing w:after="0" w:line="325" w:lineRule="auto"/>
        <w:tabs>
          <w:tab w:leader="none" w:pos="23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Financial Statement Schedules Five Year Summary of Operations</w:t>
      </w:r>
    </w:p>
    <w:p>
      <w:pPr>
        <w:spacing w:after="0" w:line="2" w:lineRule="exact"/>
        <w:rPr>
          <w:rFonts w:ascii="Arial" w:cs="Arial" w:eastAsia="Arial" w:hAnsi="Arial"/>
          <w:sz w:val="16"/>
          <w:szCs w:val="16"/>
          <w:color w:val="auto"/>
        </w:rPr>
      </w:pPr>
    </w:p>
    <w:p>
      <w:pPr>
        <w:ind w:left="1360" w:hanging="446"/>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Exhibits Required by Item 601 of Regulation S-K</w:t>
      </w:r>
    </w:p>
    <w:p>
      <w:pPr>
        <w:spacing w:after="0" w:line="59"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(3.1)</w:t>
            </w:r>
          </w:p>
        </w:tc>
        <w:tc>
          <w:tcPr>
            <w:tcW w:w="8980" w:type="dxa"/>
            <w:vAlign w:val="bottom"/>
            <w:tcBorders>
              <w:bottom w:val="single" w:sz="8" w:color="0000EE"/>
            </w:tcBorders>
            <w:gridSpan w:val="5"/>
          </w:tcPr>
          <w:p>
            <w:pP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Amended Articles of Incorporation of the Registrant (incorporated by reference to Exhibit 3.1 to Registrant's Quarterly Repor</w:t>
              </w:r>
            </w:hyperlink>
          </w:p>
        </w:tc>
      </w:tr>
      <w:tr>
        <w:trPr>
          <w:trHeight w:val="191"/>
        </w:trPr>
        <w:tc>
          <w:tcPr>
            <w:tcW w:w="1000" w:type="dxa"/>
            <w:vAlign w:val="bottom"/>
          </w:tcPr>
          <w:p>
            <w:pPr>
              <w:spacing w:after="0"/>
              <w:rPr>
                <w:sz w:val="16"/>
                <w:szCs w:val="16"/>
                <w:color w:val="auto"/>
              </w:rPr>
            </w:pPr>
          </w:p>
        </w:tc>
        <w:tc>
          <w:tcPr>
            <w:tcW w:w="4300" w:type="dxa"/>
            <w:vAlign w:val="bottom"/>
            <w:tcBorders>
              <w:bottom w:val="single" w:sz="8" w:color="0000EE"/>
            </w:tcBorders>
            <w:gridSpan w:val="4"/>
          </w:tcPr>
          <w:p>
            <w:pPr>
              <w:spacing w:after="0" w:line="191" w:lineRule="exact"/>
              <w:rPr>
                <w:rFonts w:ascii="Arial" w:cs="Arial" w:eastAsia="Arial" w:hAnsi="Arial"/>
                <w:sz w:val="18"/>
                <w:szCs w:val="18"/>
                <w:color w:val="0000EE"/>
                <w:w w:val="89"/>
              </w:rPr>
            </w:pPr>
            <w:hyperlink r:id="rId143">
              <w:r>
                <w:rPr>
                  <w:rFonts w:ascii="Arial" w:cs="Arial" w:eastAsia="Arial" w:hAnsi="Arial"/>
                  <w:sz w:val="18"/>
                  <w:szCs w:val="18"/>
                  <w:color w:val="0000EE"/>
                  <w:w w:val="89"/>
                </w:rPr>
                <w:t>Form 10-Q filed with the Commission on October 25, 2017).</w:t>
              </w:r>
            </w:hyperlink>
          </w:p>
        </w:tc>
        <w:tc>
          <w:tcPr>
            <w:tcW w:w="4680" w:type="dxa"/>
            <w:vAlign w:val="bottom"/>
          </w:tcPr>
          <w:p>
            <w:pPr>
              <w:spacing w:after="0"/>
              <w:rPr>
                <w:sz w:val="16"/>
                <w:szCs w:val="16"/>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(3.2)</w:t>
            </w:r>
          </w:p>
        </w:tc>
        <w:tc>
          <w:tcPr>
            <w:tcW w:w="8980" w:type="dxa"/>
            <w:vAlign w:val="bottom"/>
            <w:tcBorders>
              <w:bottom w:val="single" w:sz="8" w:color="0000EE"/>
            </w:tcBorders>
            <w:gridSpan w:val="5"/>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Code of Regulations of the Registrant (incorporated by reference to Exhibit 3.2 to the Company’s Quarterly Report on Form 1</w:t>
              </w:r>
            </w:hyperlink>
          </w:p>
        </w:tc>
      </w:tr>
      <w:tr>
        <w:trPr>
          <w:trHeight w:val="191"/>
        </w:trPr>
        <w:tc>
          <w:tcPr>
            <w:tcW w:w="1000" w:type="dxa"/>
            <w:vAlign w:val="bottom"/>
          </w:tcPr>
          <w:p>
            <w:pPr>
              <w:spacing w:after="0"/>
              <w:rPr>
                <w:sz w:val="16"/>
                <w:szCs w:val="16"/>
                <w:color w:val="auto"/>
              </w:rPr>
            </w:pPr>
          </w:p>
        </w:tc>
        <w:tc>
          <w:tcPr>
            <w:tcW w:w="3820" w:type="dxa"/>
            <w:vAlign w:val="bottom"/>
            <w:tcBorders>
              <w:bottom w:val="single" w:sz="8" w:color="0000EE"/>
            </w:tcBorders>
            <w:gridSpan w:val="3"/>
          </w:tcPr>
          <w:p>
            <w:pPr>
              <w:spacing w:after="0" w:line="191" w:lineRule="exact"/>
              <w:rPr>
                <w:rFonts w:ascii="Arial" w:cs="Arial" w:eastAsia="Arial" w:hAnsi="Arial"/>
                <w:sz w:val="18"/>
                <w:szCs w:val="18"/>
                <w:color w:val="0000EE"/>
                <w:w w:val="89"/>
              </w:rPr>
            </w:pPr>
            <w:hyperlink r:id="rId144">
              <w:r>
                <w:rPr>
                  <w:rFonts w:ascii="Arial" w:cs="Arial" w:eastAsia="Arial" w:hAnsi="Arial"/>
                  <w:sz w:val="18"/>
                  <w:szCs w:val="18"/>
                  <w:color w:val="0000EE"/>
                  <w:w w:val="89"/>
                </w:rPr>
                <w:t>that was filed with the Commission on July 26, 2017).</w:t>
              </w:r>
            </w:hyperlink>
          </w:p>
        </w:tc>
        <w:tc>
          <w:tcPr>
            <w:tcW w:w="5160" w:type="dxa"/>
            <w:vAlign w:val="bottom"/>
            <w:gridSpan w:val="2"/>
          </w:tcPr>
          <w:p>
            <w:pPr>
              <w:spacing w:after="0"/>
              <w:rPr>
                <w:sz w:val="16"/>
                <w:szCs w:val="16"/>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(4.1)</w:t>
            </w:r>
          </w:p>
        </w:tc>
        <w:tc>
          <w:tcPr>
            <w:tcW w:w="8980" w:type="dxa"/>
            <w:vAlign w:val="bottom"/>
            <w:tcBorders>
              <w:bottom w:val="single" w:sz="8" w:color="0000EE"/>
            </w:tcBorders>
            <w:gridSpan w:val="5"/>
          </w:tcPr>
          <w:p>
            <w:pPr>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Description of Registrant's Common Stock (incorporated by reference to Exhibit 4.1 to Registrant's Annual Report on Form 1</w:t>
              </w:r>
            </w:hyperlink>
          </w:p>
        </w:tc>
      </w:tr>
      <w:tr>
        <w:trPr>
          <w:trHeight w:val="191"/>
        </w:trPr>
        <w:tc>
          <w:tcPr>
            <w:tcW w:w="1000" w:type="dxa"/>
            <w:vAlign w:val="bottom"/>
          </w:tcPr>
          <w:p>
            <w:pPr>
              <w:spacing w:after="0"/>
              <w:rPr>
                <w:sz w:val="16"/>
                <w:szCs w:val="16"/>
                <w:color w:val="auto"/>
              </w:rPr>
            </w:pPr>
          </w:p>
        </w:tc>
        <w:tc>
          <w:tcPr>
            <w:tcW w:w="8980" w:type="dxa"/>
            <w:vAlign w:val="bottom"/>
            <w:gridSpan w:val="5"/>
          </w:tcPr>
          <w:p>
            <w:pPr>
              <w:spacing w:after="0" w:line="191" w:lineRule="exact"/>
              <w:rPr>
                <w:rFonts w:ascii="Arial" w:cs="Arial" w:eastAsia="Arial" w:hAnsi="Arial"/>
                <w:sz w:val="18"/>
                <w:szCs w:val="18"/>
                <w:color w:val="0000EE"/>
              </w:rPr>
            </w:pPr>
            <w:hyperlink r:id="rId145">
              <w:r>
                <w:rPr>
                  <w:rFonts w:ascii="Arial" w:cs="Arial" w:eastAsia="Arial" w:hAnsi="Arial"/>
                  <w:sz w:val="18"/>
                  <w:szCs w:val="18"/>
                  <w:color w:val="0000EE"/>
                </w:rPr>
                <w:t>filed with the Commission on February 26, 2020).</w:t>
              </w:r>
            </w:hyperlink>
          </w:p>
        </w:tc>
      </w:tr>
      <w:tr>
        <w:trPr>
          <w:trHeight w:val="20"/>
        </w:trPr>
        <w:tc>
          <w:tcPr>
            <w:tcW w:w="100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8980" w:type="dxa"/>
            <w:vAlign w:val="bottom"/>
            <w:tcBorders>
              <w:bottom w:val="single" w:sz="8" w:color="0000EE"/>
            </w:tcBorders>
            <w:gridSpan w:val="5"/>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Form of Change in Control Agreement executed by and between the Company and Barbara J. Britenriker on December 26, 2</w:t>
              </w:r>
            </w:hyperlink>
          </w:p>
        </w:tc>
      </w:tr>
      <w:tr>
        <w:trPr>
          <w:trHeight w:val="230"/>
        </w:trPr>
        <w:tc>
          <w:tcPr>
            <w:tcW w:w="1000" w:type="dxa"/>
            <w:vAlign w:val="bottom"/>
          </w:tcPr>
          <w:p>
            <w:pPr>
              <w:spacing w:after="0"/>
              <w:rPr>
                <w:sz w:val="19"/>
                <w:szCs w:val="19"/>
                <w:color w:val="auto"/>
              </w:rPr>
            </w:pPr>
          </w:p>
        </w:tc>
        <w:tc>
          <w:tcPr>
            <w:tcW w:w="8980" w:type="dxa"/>
            <w:vAlign w:val="bottom"/>
            <w:gridSpan w:val="5"/>
          </w:tcPr>
          <w:p>
            <w:pPr>
              <w:spacing w:after="0"/>
              <w:rPr>
                <w:rFonts w:ascii="Arial" w:cs="Arial" w:eastAsia="Arial" w:hAnsi="Arial"/>
                <w:sz w:val="18"/>
                <w:szCs w:val="18"/>
                <w:u w:val="single" w:color="auto"/>
                <w:color w:val="0000EE"/>
                <w:w w:val="89"/>
              </w:rPr>
            </w:pPr>
            <w:hyperlink r:id="rId146">
              <w:r>
                <w:rPr>
                  <w:rFonts w:ascii="Arial" w:cs="Arial" w:eastAsia="Arial" w:hAnsi="Arial"/>
                  <w:sz w:val="18"/>
                  <w:szCs w:val="18"/>
                  <w:u w:val="single" w:color="auto"/>
                  <w:color w:val="0000EE"/>
                  <w:w w:val="89"/>
                </w:rPr>
                <w:t>(incorporated by reference to Exhibit 10.1 to the Annual Report on Form 10-K filed with the Commission on February 25, 2013</w:t>
              </w:r>
            </w:hyperlink>
          </w:p>
        </w:tc>
      </w:tr>
      <w:tr>
        <w:trPr>
          <w:trHeight w:val="251"/>
        </w:trPr>
        <w:tc>
          <w:tcPr>
            <w:tcW w:w="1000" w:type="dxa"/>
            <w:vAlign w:val="bottom"/>
          </w:tcPr>
          <w:p>
            <w:pPr>
              <w:spacing w:after="0"/>
              <w:rPr>
                <w:sz w:val="20"/>
                <w:szCs w:val="20"/>
                <w:color w:val="auto"/>
              </w:rPr>
            </w:pPr>
            <w:r>
              <w:rPr>
                <w:rFonts w:ascii="Arial" w:cs="Arial" w:eastAsia="Arial" w:hAnsi="Arial"/>
                <w:sz w:val="18"/>
                <w:szCs w:val="18"/>
                <w:color w:val="auto"/>
              </w:rPr>
              <w:t>(10.2)</w:t>
            </w:r>
          </w:p>
        </w:tc>
        <w:tc>
          <w:tcPr>
            <w:tcW w:w="8980" w:type="dxa"/>
            <w:vAlign w:val="bottom"/>
            <w:tcBorders>
              <w:bottom w:val="single" w:sz="8" w:color="0000EE"/>
            </w:tcBorders>
            <w:gridSpan w:val="5"/>
          </w:tcPr>
          <w:p>
            <w:pPr>
              <w:spacing w:after="0"/>
              <w:rPr>
                <w:rFonts w:ascii="Arial" w:cs="Arial" w:eastAsia="Arial" w:hAnsi="Arial"/>
                <w:sz w:val="18"/>
                <w:szCs w:val="18"/>
                <w:color w:val="0000EE"/>
                <w:w w:val="89"/>
              </w:rPr>
            </w:pPr>
            <w:hyperlink r:id="rId147">
              <w:r>
                <w:rPr>
                  <w:rFonts w:ascii="Arial" w:cs="Arial" w:eastAsia="Arial" w:hAnsi="Arial"/>
                  <w:sz w:val="18"/>
                  <w:szCs w:val="18"/>
                  <w:color w:val="0000EE"/>
                  <w:w w:val="89"/>
                </w:rPr>
                <w:t>Form of Change in Control Agreement executed by and between the Company and each of Edward A. Leininger and Rex D. R</w:t>
              </w:r>
            </w:hyperlink>
          </w:p>
        </w:tc>
      </w:tr>
      <w:tr>
        <w:trPr>
          <w:trHeight w:val="191"/>
        </w:trPr>
        <w:tc>
          <w:tcPr>
            <w:tcW w:w="1000" w:type="dxa"/>
            <w:vAlign w:val="bottom"/>
          </w:tcPr>
          <w:p>
            <w:pPr>
              <w:spacing w:after="0"/>
              <w:rPr>
                <w:sz w:val="16"/>
                <w:szCs w:val="16"/>
                <w:color w:val="auto"/>
              </w:rPr>
            </w:pPr>
          </w:p>
        </w:tc>
        <w:tc>
          <w:tcPr>
            <w:tcW w:w="8980" w:type="dxa"/>
            <w:vAlign w:val="bottom"/>
            <w:tcBorders>
              <w:bottom w:val="single" w:sz="8" w:color="0000EE"/>
            </w:tcBorders>
            <w:gridSpan w:val="5"/>
          </w:tcPr>
          <w:p>
            <w:pPr>
              <w:spacing w:after="0" w:line="191"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respectively, on December 26, 2012 (incorporated by reference to Exhibit 10.2 to the Annual Report on Form 10-K filed with</w:t>
              </w:r>
            </w:hyperlink>
          </w:p>
        </w:tc>
      </w:tr>
      <w:tr>
        <w:trPr>
          <w:trHeight w:val="191"/>
        </w:trPr>
        <w:tc>
          <w:tcPr>
            <w:tcW w:w="1000" w:type="dxa"/>
            <w:vAlign w:val="bottom"/>
          </w:tcPr>
          <w:p>
            <w:pPr>
              <w:spacing w:after="0"/>
              <w:rPr>
                <w:sz w:val="16"/>
                <w:szCs w:val="16"/>
                <w:color w:val="auto"/>
              </w:rPr>
            </w:pPr>
          </w:p>
        </w:tc>
        <w:tc>
          <w:tcPr>
            <w:tcW w:w="2500" w:type="dxa"/>
            <w:vAlign w:val="bottom"/>
            <w:tcBorders>
              <w:bottom w:val="single" w:sz="8" w:color="0000EE"/>
            </w:tcBorders>
          </w:tcPr>
          <w:p>
            <w:pPr>
              <w:spacing w:after="0" w:line="191" w:lineRule="exact"/>
              <w:rPr>
                <w:rFonts w:ascii="Arial" w:cs="Arial" w:eastAsia="Arial" w:hAnsi="Arial"/>
                <w:sz w:val="18"/>
                <w:szCs w:val="18"/>
                <w:color w:val="0000EE"/>
                <w:w w:val="86"/>
              </w:rPr>
            </w:pPr>
            <w:hyperlink r:id="rId147">
              <w:r>
                <w:rPr>
                  <w:rFonts w:ascii="Arial" w:cs="Arial" w:eastAsia="Arial" w:hAnsi="Arial"/>
                  <w:sz w:val="18"/>
                  <w:szCs w:val="18"/>
                  <w:color w:val="0000EE"/>
                  <w:w w:val="86"/>
                </w:rPr>
                <w:t>Commission on February 25, 2013).</w:t>
              </w:r>
            </w:hyperlink>
          </w:p>
        </w:tc>
        <w:tc>
          <w:tcPr>
            <w:tcW w:w="6480" w:type="dxa"/>
            <w:vAlign w:val="bottom"/>
            <w:gridSpan w:val="4"/>
          </w:tcPr>
          <w:p>
            <w:pPr>
              <w:spacing w:after="0"/>
              <w:rPr>
                <w:sz w:val="16"/>
                <w:szCs w:val="16"/>
                <w:color w:val="auto"/>
              </w:rPr>
            </w:pPr>
          </w:p>
        </w:tc>
      </w:tr>
    </w:tbl>
    <w:p>
      <w:pPr>
        <w:spacing w:after="0" w:line="93" w:lineRule="exact"/>
        <w:rPr>
          <w:sz w:val="20"/>
          <w:szCs w:val="20"/>
          <w:color w:val="auto"/>
        </w:rPr>
      </w:pPr>
    </w:p>
    <w:p>
      <w:pPr>
        <w:sectPr>
          <w:pgSz w:w="11900" w:h="16838" w:orient="portrait"/>
          <w:cols w:equalWidth="0" w:num="1">
            <w:col w:w="11340"/>
          </w:cols>
          <w:pgMar w:left="320" w:top="187" w:right="239" w:bottom="1440" w:gutter="0" w:footer="0" w:header="0"/>
        </w:sectPr>
      </w:pPr>
    </w:p>
    <w:p>
      <w:pPr>
        <w:ind w:left="1360"/>
        <w:spacing w:after="0"/>
        <w:rPr>
          <w:sz w:val="20"/>
          <w:szCs w:val="20"/>
          <w:color w:val="auto"/>
        </w:rPr>
      </w:pPr>
      <w:r>
        <w:rPr>
          <w:rFonts w:ascii="Arial" w:cs="Arial" w:eastAsia="Arial" w:hAnsi="Arial"/>
          <w:sz w:val="16"/>
          <w:szCs w:val="16"/>
          <w:color w:val="auto"/>
        </w:rPr>
        <w:t>(10.3)</w:t>
      </w:r>
    </w:p>
    <w:p>
      <w:pPr>
        <w:spacing w:after="0" w:line="396"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348" w:lineRule="auto"/>
        <w:rPr>
          <w:rFonts w:ascii="Arial" w:cs="Arial" w:eastAsia="Arial" w:hAnsi="Arial"/>
          <w:sz w:val="15"/>
          <w:szCs w:val="15"/>
          <w:u w:val="single" w:color="auto"/>
          <w:color w:val="0000EE"/>
        </w:rPr>
      </w:pPr>
      <w:hyperlink r:id="rId148">
        <w:r>
          <w:rPr>
            <w:rFonts w:ascii="Arial" w:cs="Arial" w:eastAsia="Arial" w:hAnsi="Arial"/>
            <w:sz w:val="15"/>
            <w:szCs w:val="15"/>
            <w:u w:val="single" w:color="auto"/>
            <w:color w:val="0000EE"/>
          </w:rPr>
          <w:t>Employment Agreement executed by and between The Farmers &amp; Merchants State Bank and Lars B. Eller on September 13, 2</w:t>
        </w:r>
      </w:hyperlink>
      <w:r>
        <w:rPr>
          <w:rFonts w:ascii="Arial" w:cs="Arial" w:eastAsia="Arial" w:hAnsi="Arial"/>
          <w:sz w:val="15"/>
          <w:szCs w:val="15"/>
          <w:u w:val="single" w:color="auto"/>
          <w:color w:val="0000EE"/>
        </w:rPr>
        <w:t xml:space="preserve"> </w:t>
      </w:r>
      <w:hyperlink r:id="rId148">
        <w:r>
          <w:rPr>
            <w:rFonts w:ascii="Arial" w:cs="Arial" w:eastAsia="Arial" w:hAnsi="Arial"/>
            <w:sz w:val="15"/>
            <w:szCs w:val="15"/>
            <w:u w:val="single" w:color="auto"/>
            <w:color w:val="0000EE"/>
          </w:rPr>
          <w:t>(incorporated by reference to Exhibit 10.1 to Registrant’s Report on Form 8-K filed with the Commission on September 13, 201</w:t>
        </w:r>
      </w:hyperlink>
    </w:p>
    <w:p>
      <w:pPr>
        <w:spacing w:after="0" w:line="325" w:lineRule="auto"/>
        <w:rPr>
          <w:rFonts w:ascii="Arial" w:cs="Arial" w:eastAsia="Arial" w:hAnsi="Arial"/>
          <w:sz w:val="16"/>
          <w:szCs w:val="16"/>
          <w:u w:val="single" w:color="auto"/>
          <w:color w:val="0000EE"/>
        </w:rPr>
      </w:pPr>
      <w:hyperlink r:id="rId149">
        <w:r>
          <w:rPr>
            <w:rFonts w:ascii="Arial" w:cs="Arial" w:eastAsia="Arial" w:hAnsi="Arial"/>
            <w:sz w:val="16"/>
            <w:szCs w:val="16"/>
            <w:u w:val="single" w:color="auto"/>
            <w:color w:val="0000EE"/>
          </w:rPr>
          <w:t>Farmers &amp; Merchants Bancorp, Inc. 2015 Long-Term Stock Incentive Plan (incorporated by reference to Appendix A</w:t>
        </w:r>
      </w:hyperlink>
      <w:r>
        <w:rPr>
          <w:rFonts w:ascii="Arial" w:cs="Arial" w:eastAsia="Arial" w:hAnsi="Arial"/>
          <w:sz w:val="16"/>
          <w:szCs w:val="16"/>
          <w:u w:val="single" w:color="auto"/>
          <w:color w:val="0000EE"/>
        </w:rPr>
        <w:t xml:space="preserve"> </w:t>
      </w:r>
      <w:hyperlink r:id="rId149">
        <w:r>
          <w:rPr>
            <w:rFonts w:ascii="Arial" w:cs="Arial" w:eastAsia="Arial" w:hAnsi="Arial"/>
            <w:sz w:val="16"/>
            <w:szCs w:val="16"/>
            <w:u w:val="single" w:color="auto"/>
            <w:color w:val="0000EE"/>
          </w:rPr>
          <w:t>Registrant’s Definitive 14A Proxy Statement, File No. 000-14492, filed with the Commission on March 16, 2015).</w:t>
        </w:r>
      </w:hyperlink>
    </w:p>
    <w:p>
      <w:pPr>
        <w:spacing w:after="0" w:line="2" w:lineRule="exact"/>
        <w:rPr>
          <w:sz w:val="20"/>
          <w:szCs w:val="20"/>
          <w:color w:val="auto"/>
        </w:rPr>
      </w:pPr>
    </w:p>
    <w:p>
      <w:pPr>
        <w:sectPr>
          <w:pgSz w:w="11900" w:h="16838" w:orient="portrait"/>
          <w:cols w:equalWidth="0" w:num="2">
            <w:col w:w="1780" w:space="580"/>
            <w:col w:w="8980"/>
          </w:cols>
          <w:pgMar w:left="320" w:top="187" w:right="239" w:bottom="1440" w:gutter="0" w:footer="0" w:header="0"/>
          <w:type w:val="continuous"/>
        </w:sectPr>
      </w:pPr>
    </w:p>
    <w:p>
      <w:pPr>
        <w:ind w:left="2360" w:right="80" w:hanging="1000"/>
        <w:spacing w:after="0" w:line="262" w:lineRule="auto"/>
        <w:tabs>
          <w:tab w:leader="none" w:pos="234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50">
        <w:r>
          <w:rPr>
            <w:rFonts w:ascii="Arial" w:cs="Arial" w:eastAsia="Arial" w:hAnsi="Arial"/>
            <w:sz w:val="18"/>
            <w:szCs w:val="18"/>
            <w:color w:val="0000EE"/>
          </w:rPr>
          <w:t>Form on Restricted Stock Agreement (incorporated by reference to Exhibit 10.2 to the Quarterly Report on Form 10-Q filed</w:t>
        </w:r>
      </w:hyperlink>
      <w:r>
        <w:rPr>
          <w:rFonts w:ascii="Arial" w:cs="Arial" w:eastAsia="Arial" w:hAnsi="Arial"/>
          <w:sz w:val="18"/>
          <w:szCs w:val="18"/>
          <w:color w:val="0000EE"/>
        </w:rPr>
        <w:t xml:space="preserve"> </w:t>
      </w:r>
      <w:hyperlink r:id="rId150">
        <w:r>
          <w:rPr>
            <w:rFonts w:ascii="Arial" w:cs="Arial" w:eastAsia="Arial" w:hAnsi="Arial"/>
            <w:sz w:val="18"/>
            <w:szCs w:val="18"/>
            <w:u w:val="single" w:color="auto"/>
            <w:color w:val="0000EE"/>
          </w:rPr>
          <w:t>the Commission on October 27, 2005).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1500505</wp:posOffset>
            </wp:positionH>
            <wp:positionV relativeFrom="paragraph">
              <wp:posOffset>-169545</wp:posOffset>
            </wp:positionV>
            <wp:extent cx="57003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9" w:lineRule="exact"/>
        <w:rPr>
          <w:sz w:val="20"/>
          <w:szCs w:val="20"/>
          <w:color w:val="auto"/>
        </w:rPr>
      </w:pPr>
    </w:p>
    <w:p>
      <w:pPr>
        <w:ind w:left="2360" w:hanging="998"/>
        <w:spacing w:after="0"/>
        <w:tabs>
          <w:tab w:leader="none" w:pos="2360" w:val="left"/>
        </w:tabs>
        <w:numPr>
          <w:ilvl w:val="0"/>
          <w:numId w:val="25"/>
        </w:numPr>
        <w:rPr>
          <w:rFonts w:ascii="Arial" w:cs="Arial" w:eastAsia="Arial" w:hAnsi="Arial"/>
          <w:sz w:val="18"/>
          <w:szCs w:val="18"/>
          <w:color w:val="0000EE"/>
        </w:rPr>
      </w:pPr>
      <w:hyperlink w:anchor="page114">
        <w:r>
          <w:rPr>
            <w:rFonts w:ascii="Arial" w:cs="Arial" w:eastAsia="Arial" w:hAnsi="Arial"/>
            <w:sz w:val="18"/>
            <w:szCs w:val="18"/>
            <w:u w:val="single" w:color="auto"/>
            <w:color w:val="0000EE"/>
          </w:rPr>
          <w:t>Subsidiaries of Farmers &amp; Merchants Bancorp, Inc</w:t>
        </w:r>
        <w:r>
          <w:rPr>
            <w:rFonts w:ascii="Arial" w:cs="Arial" w:eastAsia="Arial" w:hAnsi="Arial"/>
            <w:sz w:val="18"/>
            <w:szCs w:val="18"/>
            <w:color w:val="0000EE"/>
          </w:rPr>
          <w:t>.</w:t>
        </w:r>
      </w:hyperlink>
    </w:p>
    <w:p>
      <w:pPr>
        <w:spacing w:after="0" w:line="83" w:lineRule="exact"/>
        <w:rPr>
          <w:sz w:val="20"/>
          <w:szCs w:val="20"/>
          <w:color w:val="auto"/>
        </w:rPr>
      </w:pPr>
    </w:p>
    <w:tbl>
      <w:tblPr>
        <w:tblLayout w:type="fixed"/>
        <w:tblInd w:w="136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9140" w:type="dxa"/>
            <w:vAlign w:val="bottom"/>
          </w:tcPr>
          <w:p>
            <w:pPr>
              <w:ind w:left="160"/>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Certification of the Chief Executive Officer Required under Rule 13(a)-14(a)/15d-14(a)</w:t>
              </w:r>
            </w:hyperlink>
          </w:p>
        </w:tc>
      </w:tr>
      <w:tr>
        <w:trPr>
          <w:trHeight w:val="290"/>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9140" w:type="dxa"/>
            <w:vAlign w:val="bottom"/>
          </w:tcPr>
          <w:p>
            <w:pPr>
              <w:ind w:left="160"/>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Certification of the Chief Financial Officer Required under Rule 13(a)-14(a)/15d-14(a)</w:t>
              </w:r>
            </w:hyperlink>
          </w:p>
        </w:tc>
      </w:tr>
      <w:tr>
        <w:trPr>
          <w:trHeight w:val="290"/>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9140" w:type="dxa"/>
            <w:vAlign w:val="bottom"/>
          </w:tcPr>
          <w:p>
            <w:pPr>
              <w:ind w:left="16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Certification of the Chief Executive Officer Pursuant to Section 906 of the Sarbanes-Oxley Act of 2002.</w:t>
              </w:r>
            </w:hyperlink>
          </w:p>
        </w:tc>
      </w:tr>
      <w:tr>
        <w:trPr>
          <w:trHeight w:val="290"/>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9140" w:type="dxa"/>
            <w:vAlign w:val="bottom"/>
          </w:tcPr>
          <w:p>
            <w:pPr>
              <w:ind w:left="16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Certification of the Chief Financial Officer Pursuant to Section 906 of the Sarbanes-Oxley Act of 2002.</w:t>
              </w:r>
            </w:hyperlink>
          </w:p>
        </w:tc>
      </w:tr>
      <w:tr>
        <w:trPr>
          <w:trHeight w:val="277"/>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9140" w:type="dxa"/>
            <w:vAlign w:val="bottom"/>
          </w:tcPr>
          <w:p>
            <w:pPr>
              <w:ind w:left="160"/>
              <w:spacing w:after="0"/>
              <w:rPr>
                <w:sz w:val="20"/>
                <w:szCs w:val="20"/>
                <w:color w:val="auto"/>
              </w:rPr>
            </w:pPr>
            <w:r>
              <w:rPr>
                <w:rFonts w:ascii="Arial" w:cs="Arial" w:eastAsia="Arial" w:hAnsi="Arial"/>
                <w:sz w:val="18"/>
                <w:szCs w:val="18"/>
                <w:color w:val="auto"/>
                <w:w w:val="89"/>
              </w:rPr>
              <w:t>Inline XBRL Instance Document – The instance document does not appear in the Interactive Data File because its XBRL tags</w:t>
            </w:r>
          </w:p>
        </w:tc>
      </w:tr>
      <w:tr>
        <w:trPr>
          <w:trHeight w:val="223"/>
        </w:trPr>
        <w:tc>
          <w:tcPr>
            <w:tcW w:w="840" w:type="dxa"/>
            <w:vAlign w:val="bottom"/>
          </w:tcPr>
          <w:p>
            <w:pPr>
              <w:spacing w:after="0"/>
              <w:rPr>
                <w:sz w:val="19"/>
                <w:szCs w:val="19"/>
                <w:color w:val="auto"/>
              </w:rPr>
            </w:pPr>
          </w:p>
        </w:tc>
        <w:tc>
          <w:tcPr>
            <w:tcW w:w="9140" w:type="dxa"/>
            <w:vAlign w:val="bottom"/>
          </w:tcPr>
          <w:p>
            <w:pPr>
              <w:ind w:left="160"/>
              <w:spacing w:after="0"/>
              <w:rPr>
                <w:sz w:val="20"/>
                <w:szCs w:val="20"/>
                <w:color w:val="auto"/>
              </w:rPr>
            </w:pPr>
            <w:r>
              <w:rPr>
                <w:rFonts w:ascii="Arial" w:cs="Arial" w:eastAsia="Arial" w:hAnsi="Arial"/>
                <w:sz w:val="18"/>
                <w:szCs w:val="18"/>
                <w:color w:val="auto"/>
              </w:rPr>
              <w:t xml:space="preserve">embedded within the Inline XBRL document. </w:t>
            </w:r>
            <w:r>
              <w:rPr>
                <w:rFonts w:ascii="Arial" w:cs="Arial" w:eastAsia="Arial" w:hAnsi="Arial"/>
                <w:sz w:val="14"/>
                <w:szCs w:val="14"/>
                <w:color w:val="auto"/>
              </w:rPr>
              <w:t>(1)</w:t>
            </w:r>
          </w:p>
        </w:tc>
      </w:tr>
      <w:tr>
        <w:trPr>
          <w:trHeight w:val="290"/>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9140" w:type="dxa"/>
            <w:vAlign w:val="bottom"/>
          </w:tcPr>
          <w:p>
            <w:pPr>
              <w:ind w:left="160"/>
              <w:spacing w:after="0"/>
              <w:rPr>
                <w:sz w:val="20"/>
                <w:szCs w:val="20"/>
                <w:color w:val="auto"/>
              </w:rPr>
            </w:pPr>
            <w:r>
              <w:rPr>
                <w:rFonts w:ascii="Arial" w:cs="Arial" w:eastAsia="Arial" w:hAnsi="Arial"/>
                <w:sz w:val="18"/>
                <w:szCs w:val="18"/>
                <w:color w:val="auto"/>
              </w:rPr>
              <w:t xml:space="preserve">Inline XBRL Taxonomy Extension Schema Document </w:t>
            </w:r>
            <w:r>
              <w:rPr>
                <w:rFonts w:ascii="Arial" w:cs="Arial" w:eastAsia="Arial" w:hAnsi="Arial"/>
                <w:sz w:val="14"/>
                <w:szCs w:val="14"/>
                <w:color w:val="auto"/>
              </w:rPr>
              <w:t>(1)</w:t>
            </w:r>
          </w:p>
        </w:tc>
      </w:tr>
      <w:tr>
        <w:trPr>
          <w:trHeight w:val="290"/>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9140" w:type="dxa"/>
            <w:vAlign w:val="bottom"/>
          </w:tcPr>
          <w:p>
            <w:pPr>
              <w:ind w:left="160"/>
              <w:spacing w:after="0"/>
              <w:rPr>
                <w:sz w:val="20"/>
                <w:szCs w:val="20"/>
                <w:color w:val="auto"/>
              </w:rPr>
            </w:pPr>
            <w:r>
              <w:rPr>
                <w:rFonts w:ascii="Arial" w:cs="Arial" w:eastAsia="Arial" w:hAnsi="Arial"/>
                <w:sz w:val="18"/>
                <w:szCs w:val="18"/>
                <w:color w:val="auto"/>
              </w:rPr>
              <w:t xml:space="preserve">Inline XBRL Taxonomy Extension Calculation Linkbase Document </w:t>
            </w:r>
            <w:r>
              <w:rPr>
                <w:rFonts w:ascii="Arial" w:cs="Arial" w:eastAsia="Arial" w:hAnsi="Arial"/>
                <w:sz w:val="14"/>
                <w:szCs w:val="14"/>
                <w:color w:val="auto"/>
              </w:rPr>
              <w:t>(1)</w:t>
            </w:r>
          </w:p>
        </w:tc>
      </w:tr>
      <w:tr>
        <w:trPr>
          <w:trHeight w:val="290"/>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9140" w:type="dxa"/>
            <w:vAlign w:val="bottom"/>
          </w:tcPr>
          <w:p>
            <w:pPr>
              <w:ind w:left="160"/>
              <w:spacing w:after="0"/>
              <w:rPr>
                <w:sz w:val="20"/>
                <w:szCs w:val="20"/>
                <w:color w:val="auto"/>
              </w:rPr>
            </w:pPr>
            <w:r>
              <w:rPr>
                <w:rFonts w:ascii="Arial" w:cs="Arial" w:eastAsia="Arial" w:hAnsi="Arial"/>
                <w:sz w:val="18"/>
                <w:szCs w:val="18"/>
                <w:color w:val="auto"/>
              </w:rPr>
              <w:t xml:space="preserve">Inline XBRL Taxonomy Extension Definition Linkbase Document </w:t>
            </w:r>
            <w:r>
              <w:rPr>
                <w:rFonts w:ascii="Arial" w:cs="Arial" w:eastAsia="Arial" w:hAnsi="Arial"/>
                <w:sz w:val="14"/>
                <w:szCs w:val="14"/>
                <w:color w:val="auto"/>
              </w:rPr>
              <w:t>(1)</w:t>
            </w:r>
          </w:p>
        </w:tc>
      </w:tr>
      <w:tr>
        <w:trPr>
          <w:trHeight w:val="290"/>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9140" w:type="dxa"/>
            <w:vAlign w:val="bottom"/>
          </w:tcPr>
          <w:p>
            <w:pPr>
              <w:ind w:left="160"/>
              <w:spacing w:after="0"/>
              <w:rPr>
                <w:sz w:val="20"/>
                <w:szCs w:val="20"/>
                <w:color w:val="auto"/>
              </w:rPr>
            </w:pPr>
            <w:r>
              <w:rPr>
                <w:rFonts w:ascii="Arial" w:cs="Arial" w:eastAsia="Arial" w:hAnsi="Arial"/>
                <w:sz w:val="18"/>
                <w:szCs w:val="18"/>
                <w:color w:val="auto"/>
              </w:rPr>
              <w:t xml:space="preserve">Inline XBRL Taxonomy Extension Label Linkbase Document </w:t>
            </w:r>
            <w:r>
              <w:rPr>
                <w:rFonts w:ascii="Arial" w:cs="Arial" w:eastAsia="Arial" w:hAnsi="Arial"/>
                <w:sz w:val="14"/>
                <w:szCs w:val="14"/>
                <w:color w:val="auto"/>
              </w:rPr>
              <w:t>(1)</w:t>
            </w:r>
          </w:p>
        </w:tc>
      </w:tr>
      <w:tr>
        <w:trPr>
          <w:trHeight w:val="290"/>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9140" w:type="dxa"/>
            <w:vAlign w:val="bottom"/>
          </w:tcPr>
          <w:p>
            <w:pPr>
              <w:ind w:left="160"/>
              <w:spacing w:after="0"/>
              <w:rPr>
                <w:sz w:val="20"/>
                <w:szCs w:val="20"/>
                <w:color w:val="auto"/>
              </w:rPr>
            </w:pPr>
            <w:r>
              <w:rPr>
                <w:rFonts w:ascii="Arial" w:cs="Arial" w:eastAsia="Arial" w:hAnsi="Arial"/>
                <w:sz w:val="18"/>
                <w:szCs w:val="18"/>
                <w:color w:val="auto"/>
              </w:rPr>
              <w:t xml:space="preserve">Inline XBRL Taxonomy Extension Presentation Linkbase Document </w:t>
            </w:r>
            <w:r>
              <w:rPr>
                <w:rFonts w:ascii="Arial" w:cs="Arial" w:eastAsia="Arial" w:hAnsi="Arial"/>
                <w:sz w:val="14"/>
                <w:szCs w:val="14"/>
                <w:color w:val="auto"/>
              </w:rPr>
              <w:t>(1)</w:t>
            </w:r>
          </w:p>
        </w:tc>
      </w:tr>
    </w:tbl>
    <w:p>
      <w:pPr>
        <w:ind w:left="2360" w:hanging="998"/>
        <w:spacing w:after="0" w:line="248" w:lineRule="auto"/>
        <w:tabs>
          <w:tab w:leader="none" w:pos="2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cover page from the Company’s Annual Report on Form 10-K for the year ended December 31, 2020, has been formatte Inline XBRL.</w:t>
      </w: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340"/>
          </w:cols>
          <w:pgMar w:left="320" w:top="187" w:right="239" w:bottom="1440" w:gutter="0" w:footer="0" w:header="0"/>
          <w:type w:val="continuous"/>
        </w:sectPr>
      </w:pPr>
    </w:p>
    <w:bookmarkStart w:id="111" w:name="page112"/>
    <w:bookmarkEnd w:id="111"/>
    <w:p>
      <w:pPr>
        <w:ind w:firstLine="5"/>
        <w:spacing w:after="0" w:line="253" w:lineRule="auto"/>
        <w:tabs>
          <w:tab w:leader="none" w:pos="218" w:val="left"/>
        </w:tabs>
        <w:numPr>
          <w:ilvl w:val="0"/>
          <w:numId w:val="27"/>
        </w:numPr>
        <w:rPr>
          <w:rFonts w:ascii="Arial" w:cs="Arial" w:eastAsia="Arial" w:hAnsi="Arial"/>
          <w:sz w:val="15"/>
          <w:szCs w:val="15"/>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5495"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60"/>
          </w:cols>
          <w:pgMar w:left="320" w:top="193" w:right="41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FARMERS &amp; MERCHANTS BANCORP,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0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40" w:type="dxa"/>
            <w:vAlign w:val="bottom"/>
            <w:gridSpan w:val="2"/>
          </w:tcPr>
          <w:p>
            <w:pPr>
              <w:spacing w:after="0"/>
              <w:rPr>
                <w:sz w:val="20"/>
                <w:szCs w:val="20"/>
                <w:color w:val="auto"/>
              </w:rPr>
            </w:pPr>
            <w:r>
              <w:rPr>
                <w:rFonts w:ascii="Arial" w:cs="Arial" w:eastAsia="Arial" w:hAnsi="Arial"/>
                <w:sz w:val="18"/>
                <w:szCs w:val="18"/>
                <w:color w:val="auto"/>
              </w:rPr>
              <w:t>By  /s/ Lars B. Eller</w:t>
            </w:r>
          </w:p>
        </w:tc>
        <w:tc>
          <w:tcPr>
            <w:tcW w:w="720" w:type="dxa"/>
            <w:vAlign w:val="bottom"/>
          </w:tcPr>
          <w:p>
            <w:pPr>
              <w:ind w:left="100"/>
              <w:spacing w:after="0"/>
              <w:rPr>
                <w:sz w:val="20"/>
                <w:szCs w:val="20"/>
                <w:color w:val="auto"/>
              </w:rPr>
            </w:pPr>
            <w:r>
              <w:rPr>
                <w:rFonts w:ascii="Arial" w:cs="Arial" w:eastAsia="Arial" w:hAnsi="Arial"/>
                <w:sz w:val="18"/>
                <w:szCs w:val="18"/>
                <w:color w:val="auto"/>
              </w:rPr>
              <w:t>Date:</w:t>
            </w:r>
          </w:p>
        </w:tc>
        <w:tc>
          <w:tcPr>
            <w:tcW w:w="1820" w:type="dxa"/>
            <w:vAlign w:val="bottom"/>
          </w:tcPr>
          <w:p>
            <w:pPr>
              <w:spacing w:after="0"/>
              <w:rPr>
                <w:sz w:val="20"/>
                <w:szCs w:val="20"/>
                <w:color w:val="auto"/>
              </w:rPr>
            </w:pPr>
            <w:r>
              <w:rPr>
                <w:rFonts w:ascii="Arial" w:cs="Arial" w:eastAsia="Arial" w:hAnsi="Arial"/>
                <w:sz w:val="18"/>
                <w:szCs w:val="18"/>
                <w:color w:val="auto"/>
              </w:rPr>
              <w:t>February 19, 2021</w:t>
            </w:r>
          </w:p>
        </w:tc>
      </w:tr>
      <w:tr>
        <w:trPr>
          <w:trHeight w:val="192"/>
        </w:trPr>
        <w:tc>
          <w:tcPr>
            <w:tcW w:w="360" w:type="dxa"/>
            <w:vAlign w:val="bottom"/>
          </w:tcPr>
          <w:p>
            <w:pPr>
              <w:spacing w:after="0"/>
              <w:rPr>
                <w:sz w:val="16"/>
                <w:szCs w:val="16"/>
                <w:color w:val="auto"/>
              </w:rPr>
            </w:pPr>
          </w:p>
        </w:tc>
        <w:tc>
          <w:tcPr>
            <w:tcW w:w="328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Lars B. Eller</w:t>
            </w:r>
          </w:p>
        </w:tc>
        <w:tc>
          <w:tcPr>
            <w:tcW w:w="72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r>
      <w:tr>
        <w:trPr>
          <w:trHeight w:val="211"/>
        </w:trPr>
        <w:tc>
          <w:tcPr>
            <w:tcW w:w="3640" w:type="dxa"/>
            <w:vAlign w:val="bottom"/>
            <w:gridSpan w:val="2"/>
          </w:tcPr>
          <w:p>
            <w:pPr>
              <w:ind w:left="360"/>
              <w:spacing w:after="0"/>
              <w:rPr>
                <w:sz w:val="20"/>
                <w:szCs w:val="20"/>
                <w:color w:val="auto"/>
              </w:rPr>
            </w:pPr>
            <w:r>
              <w:rPr>
                <w:rFonts w:ascii="Arial" w:cs="Arial" w:eastAsia="Arial" w:hAnsi="Arial"/>
                <w:sz w:val="18"/>
                <w:szCs w:val="18"/>
                <w:color w:val="auto"/>
              </w:rPr>
              <w:t>Chief Executive Officer</w:t>
            </w:r>
          </w:p>
        </w:tc>
        <w:tc>
          <w:tcPr>
            <w:tcW w:w="7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2"/>
        </w:trPr>
        <w:tc>
          <w:tcPr>
            <w:tcW w:w="3640" w:type="dxa"/>
            <w:vAlign w:val="bottom"/>
            <w:gridSpan w:val="2"/>
          </w:tcPr>
          <w:p>
            <w:pPr>
              <w:ind w:left="360"/>
              <w:spacing w:after="0"/>
              <w:rPr>
                <w:sz w:val="20"/>
                <w:szCs w:val="20"/>
                <w:color w:val="auto"/>
              </w:rPr>
            </w:pPr>
            <w:r>
              <w:rPr>
                <w:rFonts w:ascii="Arial" w:cs="Arial" w:eastAsia="Arial" w:hAnsi="Arial"/>
                <w:sz w:val="18"/>
                <w:szCs w:val="18"/>
                <w:color w:val="auto"/>
              </w:rPr>
              <w:t>President</w:t>
            </w:r>
          </w:p>
        </w:tc>
        <w:tc>
          <w:tcPr>
            <w:tcW w:w="720" w:type="dxa"/>
            <w:vAlign w:val="bottom"/>
          </w:tcPr>
          <w:p>
            <w:pPr>
              <w:spacing w:after="0"/>
              <w:rPr>
                <w:sz w:val="19"/>
                <w:szCs w:val="19"/>
                <w:color w:val="auto"/>
              </w:rPr>
            </w:pPr>
          </w:p>
        </w:tc>
        <w:tc>
          <w:tcPr>
            <w:tcW w:w="1820" w:type="dxa"/>
            <w:vAlign w:val="bottom"/>
          </w:tcPr>
          <w:p>
            <w:pPr>
              <w:spacing w:after="0"/>
              <w:rPr>
                <w:sz w:val="19"/>
                <w:szCs w:val="19"/>
                <w:color w:val="auto"/>
              </w:rPr>
            </w:pPr>
          </w:p>
        </w:tc>
      </w:tr>
    </w:tbl>
    <w:p>
      <w:pPr>
        <w:spacing w:after="0" w:line="19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920" w:type="dxa"/>
            <w:vAlign w:val="bottom"/>
            <w:gridSpan w:val="2"/>
          </w:tcPr>
          <w:p>
            <w:pPr>
              <w:spacing w:after="0"/>
              <w:rPr>
                <w:sz w:val="20"/>
                <w:szCs w:val="20"/>
                <w:color w:val="auto"/>
              </w:rPr>
            </w:pPr>
            <w:r>
              <w:rPr>
                <w:rFonts w:ascii="Arial" w:cs="Arial" w:eastAsia="Arial" w:hAnsi="Arial"/>
                <w:sz w:val="18"/>
                <w:szCs w:val="18"/>
                <w:color w:val="auto"/>
              </w:rPr>
              <w:t>/s/ Lars B. Eller</w:t>
            </w:r>
          </w:p>
        </w:tc>
        <w:tc>
          <w:tcPr>
            <w:tcW w:w="540" w:type="dxa"/>
            <w:vAlign w:val="bottom"/>
          </w:tcPr>
          <w:p>
            <w:pPr>
              <w:ind w:left="80"/>
              <w:spacing w:after="0"/>
              <w:rPr>
                <w:sz w:val="20"/>
                <w:szCs w:val="20"/>
                <w:color w:val="auto"/>
              </w:rPr>
            </w:pPr>
            <w:r>
              <w:rPr>
                <w:rFonts w:ascii="Arial" w:cs="Arial" w:eastAsia="Arial" w:hAnsi="Arial"/>
                <w:sz w:val="18"/>
                <w:szCs w:val="18"/>
                <w:color w:val="auto"/>
              </w:rPr>
              <w:t>Date:</w:t>
            </w:r>
          </w:p>
        </w:tc>
        <w:tc>
          <w:tcPr>
            <w:tcW w:w="1980" w:type="dxa"/>
            <w:vAlign w:val="bottom"/>
            <w:gridSpan w:val="2"/>
          </w:tcPr>
          <w:p>
            <w:pPr>
              <w:ind w:left="80"/>
              <w:spacing w:after="0"/>
              <w:rPr>
                <w:sz w:val="20"/>
                <w:szCs w:val="20"/>
                <w:color w:val="auto"/>
              </w:rPr>
            </w:pPr>
            <w:r>
              <w:rPr>
                <w:rFonts w:ascii="Arial" w:cs="Arial" w:eastAsia="Arial" w:hAnsi="Arial"/>
                <w:sz w:val="18"/>
                <w:szCs w:val="18"/>
                <w:color w:val="auto"/>
              </w:rPr>
              <w:t>February 19, 2021</w:t>
            </w:r>
          </w:p>
        </w:tc>
        <w:tc>
          <w:tcPr>
            <w:tcW w:w="2980" w:type="dxa"/>
            <w:vAlign w:val="bottom"/>
            <w:gridSpan w:val="2"/>
          </w:tcPr>
          <w:p>
            <w:pPr>
              <w:ind w:left="80"/>
              <w:spacing w:after="0"/>
              <w:rPr>
                <w:sz w:val="20"/>
                <w:szCs w:val="20"/>
                <w:color w:val="auto"/>
              </w:rPr>
            </w:pPr>
            <w:r>
              <w:rPr>
                <w:rFonts w:ascii="Arial" w:cs="Arial" w:eastAsia="Arial" w:hAnsi="Arial"/>
                <w:sz w:val="18"/>
                <w:szCs w:val="18"/>
                <w:color w:val="auto"/>
              </w:rPr>
              <w:t>/s/ Barbara J. Britenriker</w:t>
            </w:r>
          </w:p>
        </w:tc>
        <w:tc>
          <w:tcPr>
            <w:tcW w:w="560" w:type="dxa"/>
            <w:vAlign w:val="bottom"/>
          </w:tcPr>
          <w:p>
            <w:pPr>
              <w:ind w:left="60"/>
              <w:spacing w:after="0"/>
              <w:rPr>
                <w:sz w:val="20"/>
                <w:szCs w:val="20"/>
                <w:color w:val="auto"/>
              </w:rPr>
            </w:pPr>
            <w:r>
              <w:rPr>
                <w:rFonts w:ascii="Arial" w:cs="Arial" w:eastAsia="Arial" w:hAnsi="Arial"/>
                <w:sz w:val="18"/>
                <w:szCs w:val="18"/>
                <w:color w:val="auto"/>
              </w:rPr>
              <w:t>Date:</w:t>
            </w:r>
          </w:p>
        </w:tc>
        <w:tc>
          <w:tcPr>
            <w:tcW w:w="2060" w:type="dxa"/>
            <w:vAlign w:val="bottom"/>
            <w:gridSpan w:val="2"/>
          </w:tcPr>
          <w:p>
            <w:pPr>
              <w:ind w:left="140"/>
              <w:spacing w:after="0"/>
              <w:rPr>
                <w:sz w:val="20"/>
                <w:szCs w:val="20"/>
                <w:color w:val="auto"/>
              </w:rPr>
            </w:pPr>
            <w:r>
              <w:rPr>
                <w:rFonts w:ascii="Arial" w:cs="Arial" w:eastAsia="Arial" w:hAnsi="Arial"/>
                <w:sz w:val="18"/>
                <w:szCs w:val="18"/>
                <w:color w:val="auto"/>
              </w:rPr>
              <w:t>February 19, 2021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0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Lars B. Eller</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Barbara J. Britenriker</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440" w:type="dxa"/>
            <w:vAlign w:val="bottom"/>
            <w:gridSpan w:val="5"/>
          </w:tcPr>
          <w:p>
            <w:pPr>
              <w:spacing w:after="0"/>
              <w:rPr>
                <w:sz w:val="20"/>
                <w:szCs w:val="20"/>
                <w:color w:val="auto"/>
              </w:rPr>
            </w:pPr>
            <w:r>
              <w:rPr>
                <w:rFonts w:ascii="Arial" w:cs="Arial" w:eastAsia="Arial" w:hAnsi="Arial"/>
                <w:sz w:val="18"/>
                <w:szCs w:val="18"/>
                <w:color w:val="auto"/>
              </w:rPr>
              <w:t>Chief Executive Officer (Principal Executive Officer)</w:t>
            </w:r>
          </w:p>
        </w:tc>
        <w:tc>
          <w:tcPr>
            <w:tcW w:w="2980" w:type="dxa"/>
            <w:vAlign w:val="bottom"/>
            <w:gridSpan w:val="2"/>
          </w:tcPr>
          <w:p>
            <w:pPr>
              <w:ind w:left="80"/>
              <w:spacing w:after="0"/>
              <w:rPr>
                <w:sz w:val="20"/>
                <w:szCs w:val="20"/>
                <w:color w:val="auto"/>
              </w:rPr>
            </w:pPr>
            <w:r>
              <w:rPr>
                <w:rFonts w:ascii="Arial" w:cs="Arial" w:eastAsia="Arial" w:hAnsi="Arial"/>
                <w:sz w:val="18"/>
                <w:szCs w:val="18"/>
                <w:color w:val="auto"/>
              </w:rPr>
              <w:t>Chief Financial Officer</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gridSpan w:val="2"/>
            <w:vMerge w:val="restart"/>
          </w:tcPr>
          <w:p>
            <w:pPr>
              <w:spacing w:after="0"/>
              <w:rPr>
                <w:sz w:val="20"/>
                <w:szCs w:val="20"/>
                <w:color w:val="auto"/>
              </w:rPr>
            </w:pPr>
            <w:r>
              <w:rPr>
                <w:rFonts w:ascii="Arial" w:cs="Arial" w:eastAsia="Arial" w:hAnsi="Arial"/>
                <w:sz w:val="18"/>
                <w:szCs w:val="18"/>
                <w:color w:val="auto"/>
              </w:rPr>
              <w:t>/s/ Andrew J. Briggs</w:t>
            </w:r>
          </w:p>
        </w:tc>
        <w:tc>
          <w:tcPr>
            <w:tcW w:w="540" w:type="dxa"/>
            <w:vAlign w:val="bottom"/>
            <w:vMerge w:val="restart"/>
          </w:tcPr>
          <w:p>
            <w:pPr>
              <w:ind w:left="80"/>
              <w:spacing w:after="0"/>
              <w:rPr>
                <w:sz w:val="20"/>
                <w:szCs w:val="20"/>
                <w:color w:val="auto"/>
              </w:rPr>
            </w:pPr>
            <w:r>
              <w:rPr>
                <w:rFonts w:ascii="Arial" w:cs="Arial" w:eastAsia="Arial" w:hAnsi="Arial"/>
                <w:sz w:val="18"/>
                <w:szCs w:val="18"/>
                <w:color w:val="auto"/>
              </w:rPr>
              <w:t>Date:</w:t>
            </w:r>
          </w:p>
        </w:tc>
        <w:tc>
          <w:tcPr>
            <w:tcW w:w="1980" w:type="dxa"/>
            <w:vAlign w:val="bottom"/>
            <w:gridSpan w:val="2"/>
            <w:vMerge w:val="restart"/>
          </w:tcPr>
          <w:p>
            <w:pPr>
              <w:ind w:left="80"/>
              <w:spacing w:after="0"/>
              <w:rPr>
                <w:sz w:val="20"/>
                <w:szCs w:val="20"/>
                <w:color w:val="auto"/>
              </w:rPr>
            </w:pPr>
            <w:r>
              <w:rPr>
                <w:rFonts w:ascii="Arial" w:cs="Arial" w:eastAsia="Arial" w:hAnsi="Arial"/>
                <w:sz w:val="18"/>
                <w:szCs w:val="18"/>
                <w:color w:val="auto"/>
              </w:rPr>
              <w:t>February 19, 2021</w:t>
            </w:r>
          </w:p>
        </w:tc>
        <w:tc>
          <w:tcPr>
            <w:tcW w:w="5600" w:type="dxa"/>
            <w:vAlign w:val="bottom"/>
            <w:gridSpan w:val="5"/>
          </w:tcPr>
          <w:p>
            <w:pPr>
              <w:ind w:left="80"/>
              <w:spacing w:after="0"/>
              <w:rPr>
                <w:sz w:val="20"/>
                <w:szCs w:val="20"/>
                <w:color w:val="auto"/>
              </w:rPr>
            </w:pPr>
            <w:r>
              <w:rPr>
                <w:rFonts w:ascii="Arial" w:cs="Arial" w:eastAsia="Arial" w:hAnsi="Arial"/>
                <w:sz w:val="18"/>
                <w:szCs w:val="18"/>
                <w:color w:val="auto"/>
              </w:rPr>
              <w:t>(Principal Financial Officer/Principal Accounting Officer)</w:t>
            </w:r>
          </w:p>
        </w:tc>
        <w:tc>
          <w:tcPr>
            <w:tcW w:w="0" w:type="dxa"/>
            <w:vAlign w:val="bottom"/>
          </w:tcPr>
          <w:p>
            <w:pPr>
              <w:spacing w:after="0"/>
              <w:rPr>
                <w:sz w:val="1"/>
                <w:szCs w:val="1"/>
                <w:color w:val="auto"/>
              </w:rPr>
            </w:pPr>
          </w:p>
        </w:tc>
      </w:tr>
      <w:tr>
        <w:trPr>
          <w:trHeight w:val="199"/>
        </w:trPr>
        <w:tc>
          <w:tcPr>
            <w:tcW w:w="2920" w:type="dxa"/>
            <w:vAlign w:val="bottom"/>
            <w:gridSpan w:val="2"/>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920" w:type="dxa"/>
            <w:vAlign w:val="bottom"/>
            <w:gridSpan w:val="2"/>
          </w:tcPr>
          <w:p>
            <w:pPr>
              <w:spacing w:after="0"/>
              <w:rPr>
                <w:sz w:val="20"/>
                <w:szCs w:val="20"/>
                <w:color w:val="auto"/>
              </w:rPr>
            </w:pPr>
            <w:r>
              <w:rPr>
                <w:rFonts w:ascii="Arial" w:cs="Arial" w:eastAsia="Arial" w:hAnsi="Arial"/>
                <w:sz w:val="18"/>
                <w:szCs w:val="18"/>
                <w:color w:val="auto"/>
              </w:rPr>
              <w:t>Andrew J. Briggs, Director</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2920" w:type="dxa"/>
            <w:vAlign w:val="bottom"/>
            <w:gridSpan w:val="2"/>
          </w:tcPr>
          <w:p>
            <w:pPr>
              <w:spacing w:after="0"/>
              <w:rPr>
                <w:sz w:val="20"/>
                <w:szCs w:val="20"/>
                <w:color w:val="auto"/>
              </w:rPr>
            </w:pPr>
            <w:r>
              <w:rPr>
                <w:rFonts w:ascii="Arial" w:cs="Arial" w:eastAsia="Arial" w:hAnsi="Arial"/>
                <w:sz w:val="18"/>
                <w:szCs w:val="18"/>
                <w:color w:val="auto"/>
              </w:rPr>
              <w:t>/s/ Eugene N. Burkholder</w:t>
            </w:r>
          </w:p>
        </w:tc>
        <w:tc>
          <w:tcPr>
            <w:tcW w:w="540" w:type="dxa"/>
            <w:vAlign w:val="bottom"/>
          </w:tcPr>
          <w:p>
            <w:pPr>
              <w:ind w:left="80"/>
              <w:spacing w:after="0"/>
              <w:rPr>
                <w:sz w:val="20"/>
                <w:szCs w:val="20"/>
                <w:color w:val="auto"/>
              </w:rPr>
            </w:pPr>
            <w:r>
              <w:rPr>
                <w:rFonts w:ascii="Arial" w:cs="Arial" w:eastAsia="Arial" w:hAnsi="Arial"/>
                <w:sz w:val="18"/>
                <w:szCs w:val="18"/>
                <w:color w:val="auto"/>
              </w:rPr>
              <w:t>Date:</w:t>
            </w:r>
          </w:p>
        </w:tc>
        <w:tc>
          <w:tcPr>
            <w:tcW w:w="1980" w:type="dxa"/>
            <w:vAlign w:val="bottom"/>
            <w:gridSpan w:val="2"/>
          </w:tcPr>
          <w:p>
            <w:pPr>
              <w:ind w:left="80"/>
              <w:spacing w:after="0"/>
              <w:rPr>
                <w:sz w:val="20"/>
                <w:szCs w:val="20"/>
                <w:color w:val="auto"/>
              </w:rPr>
            </w:pPr>
            <w:r>
              <w:rPr>
                <w:rFonts w:ascii="Arial" w:cs="Arial" w:eastAsia="Arial" w:hAnsi="Arial"/>
                <w:sz w:val="18"/>
                <w:szCs w:val="18"/>
                <w:color w:val="auto"/>
              </w:rPr>
              <w:t>February 19, 2021</w:t>
            </w:r>
          </w:p>
        </w:tc>
        <w:tc>
          <w:tcPr>
            <w:tcW w:w="2980" w:type="dxa"/>
            <w:vAlign w:val="bottom"/>
            <w:gridSpan w:val="2"/>
          </w:tcPr>
          <w:p>
            <w:pPr>
              <w:ind w:left="80"/>
              <w:spacing w:after="0"/>
              <w:rPr>
                <w:sz w:val="20"/>
                <w:szCs w:val="20"/>
                <w:color w:val="auto"/>
              </w:rPr>
            </w:pPr>
            <w:r>
              <w:rPr>
                <w:rFonts w:ascii="Arial" w:cs="Arial" w:eastAsia="Arial" w:hAnsi="Arial"/>
                <w:sz w:val="18"/>
                <w:szCs w:val="18"/>
                <w:color w:val="auto"/>
              </w:rPr>
              <w:t>/s/ Jo Ellen Hornish</w:t>
            </w:r>
          </w:p>
        </w:tc>
        <w:tc>
          <w:tcPr>
            <w:tcW w:w="560" w:type="dxa"/>
            <w:vAlign w:val="bottom"/>
          </w:tcPr>
          <w:p>
            <w:pPr>
              <w:ind w:left="60"/>
              <w:spacing w:after="0"/>
              <w:rPr>
                <w:sz w:val="20"/>
                <w:szCs w:val="20"/>
                <w:color w:val="auto"/>
              </w:rPr>
            </w:pPr>
            <w:r>
              <w:rPr>
                <w:rFonts w:ascii="Arial" w:cs="Arial" w:eastAsia="Arial" w:hAnsi="Arial"/>
                <w:sz w:val="18"/>
                <w:szCs w:val="18"/>
                <w:color w:val="auto"/>
              </w:rPr>
              <w:t>Date:</w:t>
            </w:r>
          </w:p>
        </w:tc>
        <w:tc>
          <w:tcPr>
            <w:tcW w:w="2060" w:type="dxa"/>
            <w:vAlign w:val="bottom"/>
            <w:gridSpan w:val="2"/>
          </w:tcPr>
          <w:p>
            <w:pPr>
              <w:ind w:left="140"/>
              <w:spacing w:after="0"/>
              <w:rPr>
                <w:sz w:val="20"/>
                <w:szCs w:val="20"/>
                <w:color w:val="auto"/>
              </w:rPr>
            </w:pPr>
            <w:r>
              <w:rPr>
                <w:rFonts w:ascii="Arial" w:cs="Arial" w:eastAsia="Arial" w:hAnsi="Arial"/>
                <w:sz w:val="18"/>
                <w:szCs w:val="18"/>
                <w:color w:val="auto"/>
              </w:rPr>
              <w:t>February 19,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Eugene N. Burkholder, Director</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 Ellen Hornish, Director</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920" w:type="dxa"/>
            <w:vAlign w:val="bottom"/>
            <w:gridSpan w:val="2"/>
          </w:tcPr>
          <w:p>
            <w:pPr>
              <w:spacing w:after="0"/>
              <w:rPr>
                <w:sz w:val="20"/>
                <w:szCs w:val="20"/>
                <w:color w:val="auto"/>
              </w:rPr>
            </w:pPr>
            <w:r>
              <w:rPr>
                <w:rFonts w:ascii="Arial" w:cs="Arial" w:eastAsia="Arial" w:hAnsi="Arial"/>
                <w:sz w:val="18"/>
                <w:szCs w:val="18"/>
                <w:color w:val="auto"/>
              </w:rPr>
              <w:t>/s/ Jack C. Johnson</w:t>
            </w:r>
          </w:p>
        </w:tc>
        <w:tc>
          <w:tcPr>
            <w:tcW w:w="540" w:type="dxa"/>
            <w:vAlign w:val="bottom"/>
          </w:tcPr>
          <w:p>
            <w:pPr>
              <w:ind w:left="80"/>
              <w:spacing w:after="0"/>
              <w:rPr>
                <w:sz w:val="20"/>
                <w:szCs w:val="20"/>
                <w:color w:val="auto"/>
              </w:rPr>
            </w:pPr>
            <w:r>
              <w:rPr>
                <w:rFonts w:ascii="Arial" w:cs="Arial" w:eastAsia="Arial" w:hAnsi="Arial"/>
                <w:sz w:val="18"/>
                <w:szCs w:val="18"/>
                <w:color w:val="auto"/>
              </w:rPr>
              <w:t>Date:</w:t>
            </w:r>
          </w:p>
        </w:tc>
        <w:tc>
          <w:tcPr>
            <w:tcW w:w="1980" w:type="dxa"/>
            <w:vAlign w:val="bottom"/>
            <w:gridSpan w:val="2"/>
          </w:tcPr>
          <w:p>
            <w:pPr>
              <w:ind w:left="80"/>
              <w:spacing w:after="0"/>
              <w:rPr>
                <w:sz w:val="20"/>
                <w:szCs w:val="20"/>
                <w:color w:val="auto"/>
              </w:rPr>
            </w:pPr>
            <w:r>
              <w:rPr>
                <w:rFonts w:ascii="Arial" w:cs="Arial" w:eastAsia="Arial" w:hAnsi="Arial"/>
                <w:sz w:val="18"/>
                <w:szCs w:val="18"/>
                <w:color w:val="auto"/>
              </w:rPr>
              <w:t>February 19, 2021</w:t>
            </w:r>
          </w:p>
        </w:tc>
        <w:tc>
          <w:tcPr>
            <w:tcW w:w="2980" w:type="dxa"/>
            <w:vAlign w:val="bottom"/>
            <w:gridSpan w:val="2"/>
          </w:tcPr>
          <w:p>
            <w:pPr>
              <w:ind w:left="80"/>
              <w:spacing w:after="0"/>
              <w:rPr>
                <w:sz w:val="20"/>
                <w:szCs w:val="20"/>
                <w:color w:val="auto"/>
              </w:rPr>
            </w:pPr>
            <w:r>
              <w:rPr>
                <w:rFonts w:ascii="Arial" w:cs="Arial" w:eastAsia="Arial" w:hAnsi="Arial"/>
                <w:sz w:val="18"/>
                <w:szCs w:val="18"/>
                <w:color w:val="auto"/>
              </w:rPr>
              <w:t>/s/ Lori A. Johnston</w:t>
            </w:r>
          </w:p>
        </w:tc>
        <w:tc>
          <w:tcPr>
            <w:tcW w:w="560" w:type="dxa"/>
            <w:vAlign w:val="bottom"/>
          </w:tcPr>
          <w:p>
            <w:pPr>
              <w:ind w:left="60"/>
              <w:spacing w:after="0"/>
              <w:rPr>
                <w:sz w:val="20"/>
                <w:szCs w:val="20"/>
                <w:color w:val="auto"/>
              </w:rPr>
            </w:pPr>
            <w:r>
              <w:rPr>
                <w:rFonts w:ascii="Arial" w:cs="Arial" w:eastAsia="Arial" w:hAnsi="Arial"/>
                <w:sz w:val="18"/>
                <w:szCs w:val="18"/>
                <w:color w:val="auto"/>
              </w:rPr>
              <w:t>Date:</w:t>
            </w:r>
          </w:p>
        </w:tc>
        <w:tc>
          <w:tcPr>
            <w:tcW w:w="2060" w:type="dxa"/>
            <w:vAlign w:val="bottom"/>
            <w:gridSpan w:val="2"/>
          </w:tcPr>
          <w:p>
            <w:pPr>
              <w:ind w:left="140"/>
              <w:spacing w:after="0"/>
              <w:rPr>
                <w:sz w:val="20"/>
                <w:szCs w:val="20"/>
                <w:color w:val="auto"/>
              </w:rPr>
            </w:pPr>
            <w:r>
              <w:rPr>
                <w:rFonts w:ascii="Arial" w:cs="Arial" w:eastAsia="Arial" w:hAnsi="Arial"/>
                <w:sz w:val="18"/>
                <w:szCs w:val="18"/>
                <w:color w:val="auto"/>
              </w:rPr>
              <w:t>February 19,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Jack C. Johnson, Director</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Lori A. Johnston, Director</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920" w:type="dxa"/>
            <w:vAlign w:val="bottom"/>
            <w:gridSpan w:val="2"/>
          </w:tcPr>
          <w:p>
            <w:pPr>
              <w:spacing w:after="0"/>
              <w:rPr>
                <w:sz w:val="20"/>
                <w:szCs w:val="20"/>
                <w:color w:val="auto"/>
              </w:rPr>
            </w:pPr>
            <w:r>
              <w:rPr>
                <w:rFonts w:ascii="Arial" w:cs="Arial" w:eastAsia="Arial" w:hAnsi="Arial"/>
                <w:sz w:val="18"/>
                <w:szCs w:val="18"/>
                <w:color w:val="auto"/>
              </w:rPr>
              <w:t>/s/ Marcia S. Latta</w:t>
            </w:r>
          </w:p>
        </w:tc>
        <w:tc>
          <w:tcPr>
            <w:tcW w:w="540" w:type="dxa"/>
            <w:vAlign w:val="bottom"/>
          </w:tcPr>
          <w:p>
            <w:pPr>
              <w:ind w:left="80"/>
              <w:spacing w:after="0"/>
              <w:rPr>
                <w:sz w:val="20"/>
                <w:szCs w:val="20"/>
                <w:color w:val="auto"/>
              </w:rPr>
            </w:pPr>
            <w:r>
              <w:rPr>
                <w:rFonts w:ascii="Arial" w:cs="Arial" w:eastAsia="Arial" w:hAnsi="Arial"/>
                <w:sz w:val="18"/>
                <w:szCs w:val="18"/>
                <w:color w:val="auto"/>
              </w:rPr>
              <w:t>Date:</w:t>
            </w:r>
          </w:p>
        </w:tc>
        <w:tc>
          <w:tcPr>
            <w:tcW w:w="1980" w:type="dxa"/>
            <w:vAlign w:val="bottom"/>
            <w:gridSpan w:val="2"/>
          </w:tcPr>
          <w:p>
            <w:pPr>
              <w:ind w:left="80"/>
              <w:spacing w:after="0"/>
              <w:rPr>
                <w:sz w:val="20"/>
                <w:szCs w:val="20"/>
                <w:color w:val="auto"/>
              </w:rPr>
            </w:pPr>
            <w:r>
              <w:rPr>
                <w:rFonts w:ascii="Arial" w:cs="Arial" w:eastAsia="Arial" w:hAnsi="Arial"/>
                <w:sz w:val="18"/>
                <w:szCs w:val="18"/>
                <w:color w:val="auto"/>
              </w:rPr>
              <w:t>February 19, 2021</w:t>
            </w:r>
          </w:p>
        </w:tc>
        <w:tc>
          <w:tcPr>
            <w:tcW w:w="2980" w:type="dxa"/>
            <w:vAlign w:val="bottom"/>
            <w:gridSpan w:val="2"/>
          </w:tcPr>
          <w:p>
            <w:pPr>
              <w:ind w:left="80"/>
              <w:spacing w:after="0"/>
              <w:rPr>
                <w:sz w:val="20"/>
                <w:szCs w:val="20"/>
                <w:color w:val="auto"/>
              </w:rPr>
            </w:pPr>
            <w:r>
              <w:rPr>
                <w:rFonts w:ascii="Arial" w:cs="Arial" w:eastAsia="Arial" w:hAnsi="Arial"/>
                <w:sz w:val="18"/>
                <w:szCs w:val="18"/>
                <w:color w:val="auto"/>
              </w:rPr>
              <w:t>/s/ Steven J. Planson</w:t>
            </w:r>
          </w:p>
        </w:tc>
        <w:tc>
          <w:tcPr>
            <w:tcW w:w="560" w:type="dxa"/>
            <w:vAlign w:val="bottom"/>
          </w:tcPr>
          <w:p>
            <w:pPr>
              <w:ind w:left="60"/>
              <w:spacing w:after="0"/>
              <w:rPr>
                <w:sz w:val="20"/>
                <w:szCs w:val="20"/>
                <w:color w:val="auto"/>
              </w:rPr>
            </w:pPr>
            <w:r>
              <w:rPr>
                <w:rFonts w:ascii="Arial" w:cs="Arial" w:eastAsia="Arial" w:hAnsi="Arial"/>
                <w:sz w:val="18"/>
                <w:szCs w:val="18"/>
                <w:color w:val="auto"/>
              </w:rPr>
              <w:t>Date:</w:t>
            </w:r>
          </w:p>
        </w:tc>
        <w:tc>
          <w:tcPr>
            <w:tcW w:w="2060" w:type="dxa"/>
            <w:vAlign w:val="bottom"/>
            <w:gridSpan w:val="2"/>
          </w:tcPr>
          <w:p>
            <w:pPr>
              <w:ind w:left="140"/>
              <w:spacing w:after="0"/>
              <w:rPr>
                <w:sz w:val="20"/>
                <w:szCs w:val="20"/>
                <w:color w:val="auto"/>
              </w:rPr>
            </w:pPr>
            <w:r>
              <w:rPr>
                <w:rFonts w:ascii="Arial" w:cs="Arial" w:eastAsia="Arial" w:hAnsi="Arial"/>
                <w:sz w:val="18"/>
                <w:szCs w:val="18"/>
                <w:color w:val="auto"/>
              </w:rPr>
              <w:t>February 19,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Marcia S. Latta, Director</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J. Planson, Director</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920" w:type="dxa"/>
            <w:vAlign w:val="bottom"/>
            <w:gridSpan w:val="2"/>
          </w:tcPr>
          <w:p>
            <w:pPr>
              <w:spacing w:after="0"/>
              <w:rPr>
                <w:sz w:val="20"/>
                <w:szCs w:val="20"/>
                <w:color w:val="auto"/>
              </w:rPr>
            </w:pPr>
            <w:r>
              <w:rPr>
                <w:rFonts w:ascii="Arial" w:cs="Arial" w:eastAsia="Arial" w:hAnsi="Arial"/>
                <w:sz w:val="18"/>
                <w:szCs w:val="18"/>
                <w:color w:val="auto"/>
              </w:rPr>
              <w:t>/s/ Anthony J. Rupp</w:t>
            </w:r>
          </w:p>
        </w:tc>
        <w:tc>
          <w:tcPr>
            <w:tcW w:w="540" w:type="dxa"/>
            <w:vAlign w:val="bottom"/>
          </w:tcPr>
          <w:p>
            <w:pPr>
              <w:ind w:left="80"/>
              <w:spacing w:after="0"/>
              <w:rPr>
                <w:sz w:val="20"/>
                <w:szCs w:val="20"/>
                <w:color w:val="auto"/>
              </w:rPr>
            </w:pPr>
            <w:r>
              <w:rPr>
                <w:rFonts w:ascii="Arial" w:cs="Arial" w:eastAsia="Arial" w:hAnsi="Arial"/>
                <w:sz w:val="18"/>
                <w:szCs w:val="18"/>
                <w:color w:val="auto"/>
              </w:rPr>
              <w:t>Date:</w:t>
            </w:r>
          </w:p>
        </w:tc>
        <w:tc>
          <w:tcPr>
            <w:tcW w:w="1980" w:type="dxa"/>
            <w:vAlign w:val="bottom"/>
            <w:gridSpan w:val="2"/>
          </w:tcPr>
          <w:p>
            <w:pPr>
              <w:ind w:left="80"/>
              <w:spacing w:after="0"/>
              <w:rPr>
                <w:sz w:val="20"/>
                <w:szCs w:val="20"/>
                <w:color w:val="auto"/>
              </w:rPr>
            </w:pPr>
            <w:r>
              <w:rPr>
                <w:rFonts w:ascii="Arial" w:cs="Arial" w:eastAsia="Arial" w:hAnsi="Arial"/>
                <w:sz w:val="18"/>
                <w:szCs w:val="18"/>
                <w:color w:val="auto"/>
              </w:rPr>
              <w:t>February 19, 2021</w:t>
            </w:r>
          </w:p>
        </w:tc>
        <w:tc>
          <w:tcPr>
            <w:tcW w:w="2980" w:type="dxa"/>
            <w:vAlign w:val="bottom"/>
            <w:gridSpan w:val="2"/>
          </w:tcPr>
          <w:p>
            <w:pPr>
              <w:ind w:left="80"/>
              <w:spacing w:after="0"/>
              <w:rPr>
                <w:sz w:val="20"/>
                <w:szCs w:val="20"/>
                <w:color w:val="auto"/>
              </w:rPr>
            </w:pPr>
            <w:r>
              <w:rPr>
                <w:rFonts w:ascii="Arial" w:cs="Arial" w:eastAsia="Arial" w:hAnsi="Arial"/>
                <w:sz w:val="18"/>
                <w:szCs w:val="18"/>
                <w:color w:val="auto"/>
              </w:rPr>
              <w:t>/s/ Kevin J. Sauder</w:t>
            </w:r>
          </w:p>
        </w:tc>
        <w:tc>
          <w:tcPr>
            <w:tcW w:w="560" w:type="dxa"/>
            <w:vAlign w:val="bottom"/>
          </w:tcPr>
          <w:p>
            <w:pPr>
              <w:ind w:left="60"/>
              <w:spacing w:after="0"/>
              <w:rPr>
                <w:sz w:val="20"/>
                <w:szCs w:val="20"/>
                <w:color w:val="auto"/>
              </w:rPr>
            </w:pPr>
            <w:r>
              <w:rPr>
                <w:rFonts w:ascii="Arial" w:cs="Arial" w:eastAsia="Arial" w:hAnsi="Arial"/>
                <w:sz w:val="18"/>
                <w:szCs w:val="18"/>
                <w:color w:val="auto"/>
              </w:rPr>
              <w:t>Date:</w:t>
            </w:r>
          </w:p>
        </w:tc>
        <w:tc>
          <w:tcPr>
            <w:tcW w:w="2060" w:type="dxa"/>
            <w:vAlign w:val="bottom"/>
            <w:gridSpan w:val="2"/>
          </w:tcPr>
          <w:p>
            <w:pPr>
              <w:ind w:left="140"/>
              <w:spacing w:after="0"/>
              <w:rPr>
                <w:sz w:val="20"/>
                <w:szCs w:val="20"/>
                <w:color w:val="auto"/>
              </w:rPr>
            </w:pPr>
            <w:r>
              <w:rPr>
                <w:rFonts w:ascii="Arial" w:cs="Arial" w:eastAsia="Arial" w:hAnsi="Arial"/>
                <w:sz w:val="18"/>
                <w:szCs w:val="18"/>
                <w:color w:val="auto"/>
              </w:rPr>
              <w:t>February 19,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Anthony J. Rupp, Director</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Kevin J. Sauder, Director</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920" w:type="dxa"/>
            <w:vAlign w:val="bottom"/>
            <w:gridSpan w:val="2"/>
          </w:tcPr>
          <w:p>
            <w:pPr>
              <w:spacing w:after="0"/>
              <w:rPr>
                <w:sz w:val="20"/>
                <w:szCs w:val="20"/>
                <w:color w:val="auto"/>
              </w:rPr>
            </w:pPr>
            <w:r>
              <w:rPr>
                <w:rFonts w:ascii="Arial" w:cs="Arial" w:eastAsia="Arial" w:hAnsi="Arial"/>
                <w:sz w:val="18"/>
                <w:szCs w:val="18"/>
                <w:color w:val="auto"/>
              </w:rPr>
              <w:t>/s/ Paul S. Siebenmorgen</w:t>
            </w:r>
          </w:p>
        </w:tc>
        <w:tc>
          <w:tcPr>
            <w:tcW w:w="540" w:type="dxa"/>
            <w:vAlign w:val="bottom"/>
          </w:tcPr>
          <w:p>
            <w:pPr>
              <w:ind w:left="80"/>
              <w:spacing w:after="0"/>
              <w:rPr>
                <w:sz w:val="20"/>
                <w:szCs w:val="20"/>
                <w:color w:val="auto"/>
              </w:rPr>
            </w:pPr>
            <w:r>
              <w:rPr>
                <w:rFonts w:ascii="Arial" w:cs="Arial" w:eastAsia="Arial" w:hAnsi="Arial"/>
                <w:sz w:val="18"/>
                <w:szCs w:val="18"/>
                <w:color w:val="auto"/>
              </w:rPr>
              <w:t>Date:</w:t>
            </w:r>
          </w:p>
        </w:tc>
        <w:tc>
          <w:tcPr>
            <w:tcW w:w="1980" w:type="dxa"/>
            <w:vAlign w:val="bottom"/>
            <w:gridSpan w:val="2"/>
          </w:tcPr>
          <w:p>
            <w:pPr>
              <w:ind w:left="80"/>
              <w:spacing w:after="0"/>
              <w:rPr>
                <w:sz w:val="20"/>
                <w:szCs w:val="20"/>
                <w:color w:val="auto"/>
              </w:rPr>
            </w:pPr>
            <w:r>
              <w:rPr>
                <w:rFonts w:ascii="Arial" w:cs="Arial" w:eastAsia="Arial" w:hAnsi="Arial"/>
                <w:sz w:val="18"/>
                <w:szCs w:val="18"/>
                <w:color w:val="auto"/>
              </w:rPr>
              <w:t>February 19, 2021</w:t>
            </w:r>
          </w:p>
        </w:tc>
        <w:tc>
          <w:tcPr>
            <w:tcW w:w="2980" w:type="dxa"/>
            <w:vAlign w:val="bottom"/>
            <w:gridSpan w:val="2"/>
          </w:tcPr>
          <w:p>
            <w:pPr>
              <w:ind w:left="80"/>
              <w:spacing w:after="0"/>
              <w:rPr>
                <w:sz w:val="20"/>
                <w:szCs w:val="20"/>
                <w:color w:val="auto"/>
              </w:rPr>
            </w:pPr>
            <w:r>
              <w:rPr>
                <w:rFonts w:ascii="Arial" w:cs="Arial" w:eastAsia="Arial" w:hAnsi="Arial"/>
                <w:sz w:val="18"/>
                <w:szCs w:val="18"/>
                <w:color w:val="auto"/>
              </w:rPr>
              <w:t>/s/ K. Brad Stamm</w:t>
            </w:r>
          </w:p>
        </w:tc>
        <w:tc>
          <w:tcPr>
            <w:tcW w:w="560" w:type="dxa"/>
            <w:vAlign w:val="bottom"/>
          </w:tcPr>
          <w:p>
            <w:pPr>
              <w:ind w:left="60"/>
              <w:spacing w:after="0"/>
              <w:rPr>
                <w:sz w:val="20"/>
                <w:szCs w:val="20"/>
                <w:color w:val="auto"/>
              </w:rPr>
            </w:pPr>
            <w:r>
              <w:rPr>
                <w:rFonts w:ascii="Arial" w:cs="Arial" w:eastAsia="Arial" w:hAnsi="Arial"/>
                <w:sz w:val="18"/>
                <w:szCs w:val="18"/>
                <w:color w:val="auto"/>
              </w:rPr>
              <w:t>Date:</w:t>
            </w:r>
          </w:p>
        </w:tc>
        <w:tc>
          <w:tcPr>
            <w:tcW w:w="2060" w:type="dxa"/>
            <w:vAlign w:val="bottom"/>
            <w:gridSpan w:val="2"/>
          </w:tcPr>
          <w:p>
            <w:pPr>
              <w:ind w:left="140"/>
              <w:spacing w:after="0"/>
              <w:rPr>
                <w:sz w:val="20"/>
                <w:szCs w:val="20"/>
                <w:color w:val="auto"/>
              </w:rPr>
            </w:pPr>
            <w:r>
              <w:rPr>
                <w:rFonts w:ascii="Arial" w:cs="Arial" w:eastAsia="Arial" w:hAnsi="Arial"/>
                <w:sz w:val="18"/>
                <w:szCs w:val="18"/>
                <w:color w:val="auto"/>
              </w:rPr>
              <w:t>February 19,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Paul S. Siebenmorgen, Director</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 Brad Stamm, Director</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87"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Exhibit 21</w:t>
      </w:r>
    </w:p>
    <w:p>
      <w:pPr>
        <w:spacing w:after="0" w:line="21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SUBSIDIAIRIES OF FARMERS &amp; MERCHANTS BANCORP, INC</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FARMERS &amp; MERCHANTS STATE BANK</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FARMERS &amp; MERCHANTS RISK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ind w:right="2799"/>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139"/>
          </w:cols>
          <w:pgMar w:left="320" w:top="319" w:right="1440"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 Lars B. Eller, President and Chief Executive Officer of Farmers &amp; Merchants Bancorp, Inc., certify that:</w:t>
      </w:r>
    </w:p>
    <w:p>
      <w:pPr>
        <w:spacing w:after="0" w:line="215" w:lineRule="exact"/>
        <w:rPr>
          <w:sz w:val="20"/>
          <w:szCs w:val="20"/>
          <w:color w:val="auto"/>
        </w:rPr>
      </w:pPr>
    </w:p>
    <w:p>
      <w:pPr>
        <w:ind w:left="400" w:hanging="395"/>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Farmers &amp; Merchants Bancorp, Inc.;</w:t>
      </w:r>
    </w:p>
    <w:p>
      <w:pPr>
        <w:spacing w:after="0" w:line="214" w:lineRule="exact"/>
        <w:rPr>
          <w:rFonts w:ascii="Arial" w:cs="Arial" w:eastAsia="Arial" w:hAnsi="Arial"/>
          <w:sz w:val="18"/>
          <w:szCs w:val="18"/>
          <w:color w:val="auto"/>
        </w:rPr>
      </w:pPr>
    </w:p>
    <w:p>
      <w:pPr>
        <w:ind w:left="400" w:hanging="395"/>
        <w:spacing w:after="0" w:line="325" w:lineRule="auto"/>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6"/>
          <w:szCs w:val="16"/>
          <w:color w:val="auto"/>
        </w:rPr>
      </w:pPr>
    </w:p>
    <w:p>
      <w:pPr>
        <w:ind w:left="400" w:hanging="395"/>
        <w:spacing w:after="0" w:line="262" w:lineRule="auto"/>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jc w:val="both"/>
        <w:ind w:left="400" w:hanging="395"/>
        <w:spacing w:after="0" w:line="253" w:lineRule="auto"/>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jc w:val="both"/>
        <w:ind w:left="600" w:firstLine="8"/>
        <w:spacing w:after="0" w:line="253" w:lineRule="auto"/>
        <w:tabs>
          <w:tab w:leader="none" w:pos="8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600" w:firstLine="8"/>
        <w:spacing w:after="0" w:line="253" w:lineRule="auto"/>
        <w:tabs>
          <w:tab w:leader="none" w:pos="88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600" w:firstLine="8"/>
        <w:spacing w:after="0" w:line="325" w:lineRule="auto"/>
        <w:tabs>
          <w:tab w:leader="none" w:pos="887"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6"/>
          <w:szCs w:val="16"/>
          <w:color w:val="auto"/>
        </w:rPr>
      </w:pPr>
    </w:p>
    <w:p>
      <w:pPr>
        <w:jc w:val="both"/>
        <w:ind w:left="600" w:firstLine="8"/>
        <w:spacing w:after="0" w:line="253" w:lineRule="auto"/>
        <w:tabs>
          <w:tab w:leader="none" w:pos="86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400" w:hanging="395"/>
        <w:spacing w:after="0" w:line="325" w:lineRule="auto"/>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600" w:firstLine="8"/>
        <w:spacing w:after="0" w:line="262" w:lineRule="auto"/>
        <w:tabs>
          <w:tab w:leader="none" w:pos="85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600" w:firstLine="8"/>
        <w:spacing w:after="0" w:line="262" w:lineRule="auto"/>
        <w:tabs>
          <w:tab w:leader="none" w:pos="861"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2021</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2540</wp:posOffset>
            </wp:positionV>
            <wp:extent cx="35636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Lars B. Eller</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CEO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19"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Chief Financial Officer of Farmers &amp; Merchants Bancorp, Inc., certify that:</w:t>
      </w:r>
    </w:p>
    <w:p>
      <w:pPr>
        <w:spacing w:after="0" w:line="215" w:lineRule="exact"/>
        <w:rPr>
          <w:sz w:val="20"/>
          <w:szCs w:val="20"/>
          <w:color w:val="auto"/>
        </w:rPr>
      </w:pPr>
    </w:p>
    <w:p>
      <w:pPr>
        <w:ind w:left="400" w:hanging="395"/>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Farmers &amp; Merchants Bancorp, Inc.;</w:t>
      </w:r>
    </w:p>
    <w:p>
      <w:pPr>
        <w:spacing w:after="0" w:line="214" w:lineRule="exact"/>
        <w:rPr>
          <w:rFonts w:ascii="Arial" w:cs="Arial" w:eastAsia="Arial" w:hAnsi="Arial"/>
          <w:sz w:val="18"/>
          <w:szCs w:val="18"/>
          <w:color w:val="auto"/>
        </w:rPr>
      </w:pPr>
    </w:p>
    <w:p>
      <w:pPr>
        <w:ind w:left="400" w:hanging="395"/>
        <w:spacing w:after="0" w:line="325" w:lineRule="auto"/>
        <w:tabs>
          <w:tab w:leader="none" w:pos="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6"/>
          <w:szCs w:val="16"/>
          <w:color w:val="auto"/>
        </w:rPr>
      </w:pPr>
    </w:p>
    <w:p>
      <w:pPr>
        <w:ind w:left="400" w:hanging="395"/>
        <w:spacing w:after="0" w:line="262" w:lineRule="auto"/>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jc w:val="both"/>
        <w:ind w:left="400" w:hanging="395"/>
        <w:spacing w:after="0" w:line="253" w:lineRule="auto"/>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jc w:val="both"/>
        <w:ind w:left="600" w:firstLine="8"/>
        <w:spacing w:after="0" w:line="253" w:lineRule="auto"/>
        <w:tabs>
          <w:tab w:leader="none" w:pos="8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600" w:firstLine="8"/>
        <w:spacing w:after="0" w:line="253" w:lineRule="auto"/>
        <w:tabs>
          <w:tab w:leader="none" w:pos="889"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600" w:firstLine="8"/>
        <w:spacing w:after="0" w:line="325" w:lineRule="auto"/>
        <w:tabs>
          <w:tab w:leader="none" w:pos="887"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6"/>
          <w:szCs w:val="16"/>
          <w:color w:val="auto"/>
        </w:rPr>
      </w:pPr>
    </w:p>
    <w:p>
      <w:pPr>
        <w:jc w:val="both"/>
        <w:ind w:left="600" w:firstLine="8"/>
        <w:spacing w:after="0" w:line="253" w:lineRule="auto"/>
        <w:tabs>
          <w:tab w:leader="none" w:pos="8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400" w:hanging="395"/>
        <w:spacing w:after="0" w:line="325" w:lineRule="auto"/>
        <w:tabs>
          <w:tab w:leader="none" w:pos="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600" w:firstLine="8"/>
        <w:spacing w:after="0" w:line="262" w:lineRule="auto"/>
        <w:tabs>
          <w:tab w:leader="none" w:pos="85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600" w:firstLine="8"/>
        <w:spacing w:after="0" w:line="262" w:lineRule="auto"/>
        <w:tabs>
          <w:tab w:leader="none" w:pos="861"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Date: February 24, 2021</w:t>
            </w:r>
          </w:p>
        </w:tc>
        <w:tc>
          <w:tcPr>
            <w:tcW w:w="196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192"/>
        </w:trPr>
        <w:tc>
          <w:tcPr>
            <w:tcW w:w="3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600" w:type="dxa"/>
            <w:vAlign w:val="bottom"/>
          </w:tcPr>
          <w:p>
            <w:pPr>
              <w:spacing w:after="0" w:line="192" w:lineRule="exact"/>
              <w:rPr>
                <w:sz w:val="20"/>
                <w:szCs w:val="20"/>
                <w:color w:val="auto"/>
              </w:rPr>
            </w:pPr>
            <w:r>
              <w:rPr>
                <w:rFonts w:ascii="Arial" w:cs="Arial" w:eastAsia="Arial" w:hAnsi="Arial"/>
                <w:sz w:val="18"/>
                <w:szCs w:val="18"/>
                <w:color w:val="auto"/>
              </w:rPr>
              <w:t>Barbara J. Britenriker</w:t>
            </w:r>
          </w:p>
        </w:tc>
      </w:tr>
      <w:tr>
        <w:trPr>
          <w:trHeight w:val="222"/>
        </w:trPr>
        <w:tc>
          <w:tcPr>
            <w:tcW w:w="36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32"/>
        </w:trPr>
        <w:tc>
          <w:tcPr>
            <w:tcW w:w="3680" w:type="dxa"/>
            <w:vAlign w:val="bottom"/>
          </w:tcPr>
          <w:p>
            <w:pPr>
              <w:spacing w:after="0"/>
              <w:rPr>
                <w:sz w:val="24"/>
                <w:szCs w:val="24"/>
                <w:color w:val="auto"/>
              </w:rPr>
            </w:pPr>
          </w:p>
        </w:tc>
        <w:tc>
          <w:tcPr>
            <w:tcW w:w="7560" w:type="dxa"/>
            <w:vAlign w:val="bottom"/>
            <w:gridSpan w:val="2"/>
          </w:tcPr>
          <w:p>
            <w:pPr>
              <w:jc w:val="right"/>
              <w:ind w:right="5492"/>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240"/>
          </w:cols>
          <w:pgMar w:left="320" w:top="319"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ENACTED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FARMERS &amp; MERCHANTS BANCORP, INC.</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Annual Report on Form 10-K of Farmers &amp; Merchants Bancorp, Inc. for the year ended December 31, 2020, as filed with the Securities and Exchange Commission (the “Report”), I, Lars B. Eller, Chief Executive Officer, of the Company, certify, pursuant to 18 U.S.C. 1350, as added by 906 of the Sarbanes-Oxley Act of 2002, that:</w:t>
      </w:r>
    </w:p>
    <w:p>
      <w:pPr>
        <w:spacing w:after="0" w:line="189" w:lineRule="exact"/>
        <w:rPr>
          <w:sz w:val="20"/>
          <w:szCs w:val="20"/>
          <w:color w:val="auto"/>
        </w:rPr>
      </w:pPr>
    </w:p>
    <w:p>
      <w:pPr>
        <w:ind w:left="800" w:hanging="399"/>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15(d) of the Securities Exchange Act of 1934; and;</w:t>
      </w:r>
    </w:p>
    <w:p>
      <w:pPr>
        <w:spacing w:after="0" w:line="214" w:lineRule="exact"/>
        <w:rPr>
          <w:rFonts w:ascii="Arial" w:cs="Arial" w:eastAsia="Arial" w:hAnsi="Arial"/>
          <w:sz w:val="18"/>
          <w:szCs w:val="18"/>
          <w:color w:val="auto"/>
        </w:rPr>
      </w:pPr>
    </w:p>
    <w:p>
      <w:pPr>
        <w:ind w:left="800" w:hanging="399"/>
        <w:spacing w:after="0"/>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Date: February 24, 2021</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B. Eller</w:t>
            </w:r>
          </w:p>
        </w:tc>
      </w:tr>
      <w:tr>
        <w:trPr>
          <w:trHeight w:val="192"/>
        </w:trPr>
        <w:tc>
          <w:tcPr>
            <w:tcW w:w="5640" w:type="dxa"/>
            <w:vAlign w:val="bottom"/>
          </w:tcPr>
          <w:p>
            <w:pPr>
              <w:spacing w:after="0"/>
              <w:rPr>
                <w:sz w:val="16"/>
                <w:szCs w:val="16"/>
                <w:color w:val="auto"/>
              </w:rPr>
            </w:pPr>
          </w:p>
        </w:tc>
        <w:tc>
          <w:tcPr>
            <w:tcW w:w="5600" w:type="dxa"/>
            <w:vAlign w:val="bottom"/>
          </w:tcPr>
          <w:p>
            <w:pPr>
              <w:spacing w:after="0" w:line="192" w:lineRule="exact"/>
              <w:rPr>
                <w:sz w:val="20"/>
                <w:szCs w:val="20"/>
                <w:color w:val="auto"/>
              </w:rPr>
            </w:pPr>
            <w:r>
              <w:rPr>
                <w:rFonts w:ascii="Arial" w:cs="Arial" w:eastAsia="Arial" w:hAnsi="Arial"/>
                <w:sz w:val="18"/>
                <w:szCs w:val="18"/>
                <w:color w:val="auto"/>
              </w:rPr>
              <w:t>Lars B. Eller</w:t>
            </w:r>
          </w:p>
        </w:tc>
      </w:tr>
      <w:tr>
        <w:trPr>
          <w:trHeight w:val="222"/>
        </w:trPr>
        <w:tc>
          <w:tcPr>
            <w:tcW w:w="56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19"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ENACTED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FARMERS &amp; MERCHANTS BANCORP, INC.</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Annual Report on Form 10-K of Farmers &amp; Merchants Bancorp, Inc. for the year ended December 31, 2020, as filed with the Securities and Exchange Commission (the “Report”), I, Barbara J. Britenriker, Chief Financial Officer, of the Company, certify, pursuant to 18 U.S.C. 1350, as added by 906 of the Sarbanes-Oxley Act of 2002, that:</w:t>
      </w:r>
    </w:p>
    <w:p>
      <w:pPr>
        <w:spacing w:after="0" w:line="189" w:lineRule="exact"/>
        <w:rPr>
          <w:sz w:val="20"/>
          <w:szCs w:val="20"/>
          <w:color w:val="auto"/>
        </w:rPr>
      </w:pPr>
    </w:p>
    <w:p>
      <w:pPr>
        <w:ind w:left="800" w:hanging="399"/>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15(d) of the Securities Exchange Act of 1934; and;</w:t>
      </w:r>
    </w:p>
    <w:p>
      <w:pPr>
        <w:spacing w:after="0" w:line="214" w:lineRule="exact"/>
        <w:rPr>
          <w:rFonts w:ascii="Arial" w:cs="Arial" w:eastAsia="Arial" w:hAnsi="Arial"/>
          <w:sz w:val="18"/>
          <w:szCs w:val="18"/>
          <w:color w:val="auto"/>
        </w:rPr>
      </w:pPr>
    </w:p>
    <w:p>
      <w:pPr>
        <w:ind w:left="800" w:hanging="399"/>
        <w:spacing w:after="0"/>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Date: February 24, 2021</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192"/>
        </w:trPr>
        <w:tc>
          <w:tcPr>
            <w:tcW w:w="5640" w:type="dxa"/>
            <w:vAlign w:val="bottom"/>
          </w:tcPr>
          <w:p>
            <w:pPr>
              <w:spacing w:after="0"/>
              <w:rPr>
                <w:sz w:val="16"/>
                <w:szCs w:val="16"/>
                <w:color w:val="auto"/>
              </w:rPr>
            </w:pPr>
          </w:p>
        </w:tc>
        <w:tc>
          <w:tcPr>
            <w:tcW w:w="5600" w:type="dxa"/>
            <w:vAlign w:val="bottom"/>
          </w:tcPr>
          <w:p>
            <w:pPr>
              <w:spacing w:after="0" w:line="192" w:lineRule="exact"/>
              <w:rPr>
                <w:sz w:val="20"/>
                <w:szCs w:val="20"/>
                <w:color w:val="auto"/>
              </w:rPr>
            </w:pPr>
            <w:r>
              <w:rPr>
                <w:rFonts w:ascii="Arial" w:cs="Arial" w:eastAsia="Arial" w:hAnsi="Arial"/>
                <w:sz w:val="18"/>
                <w:szCs w:val="18"/>
                <w:color w:val="auto"/>
              </w:rPr>
              <w:t>Barbara J. Britenriker</w:t>
            </w:r>
          </w:p>
        </w:tc>
      </w:tr>
      <w:tr>
        <w:trPr>
          <w:trHeight w:val="222"/>
        </w:trPr>
        <w:tc>
          <w:tcPr>
            <w:tcW w:w="56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240"/>
      </w:cols>
      <w:pgMar w:left="320" w:top="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lvl w:ilvl="1">
      <w:lvlJc w:val="left"/>
      <w:lvlText w:val="o"/>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5"/>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amp;"/>
      <w:numFmt w:val="bullet"/>
      <w:start w:val="1"/>
    </w:lvl>
  </w:abstractNum>
  <w:abstractNum w:abstractNumId="17">
    <w:nsid w:val="8EDBDAB"/>
    <w:multiLevelType w:val="hybridMultilevel"/>
    <w:lvl w:ilvl="0">
      <w:lvlJc w:val="left"/>
      <w:lvlText w:val="o"/>
      <w:numFmt w:val="bullet"/>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4"/>
    </w:lvl>
    <w:lvl w:ilvl="1">
      <w:lvlJc w:val="left"/>
      <w:lvlText w:val="%2."/>
      <w:numFmt w:val="lowerLetter"/>
      <w:start w:val="1"/>
    </w:lvl>
  </w:abstractNum>
  <w:abstractNum w:abstractNumId="21">
    <w:nsid w:val="189A769B"/>
    <w:multiLevelType w:val="hybridMultilevel"/>
    <w:lvl w:ilvl="0">
      <w:lvlJc w:val="left"/>
      <w:lvlText w:val="%1."/>
      <w:numFmt w:val="decimal"/>
      <w:start w:val="8"/>
    </w:lvl>
    <w:lvl w:ilvl="1">
      <w:lvlJc w:val="left"/>
      <w:lvlText w:val="%2."/>
      <w:numFmt w:val="lowerLetter"/>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lowerLetter"/>
      <w:start w:val="1"/>
    </w:lvl>
    <w:lvl w:ilvl="1">
      <w:lvlJc w:val="left"/>
      <w:lvlText w:val="(%2)"/>
      <w:numFmt w:val="decimal"/>
      <w:start w:val="1"/>
    </w:lvl>
  </w:abstractNum>
  <w:abstractNum w:abstractNumId="24">
    <w:nsid w:val="2CA88611"/>
    <w:multiLevelType w:val="hybridMultilevel"/>
    <w:lvl w:ilvl="0">
      <w:lvlJc w:val="left"/>
      <w:lvlText w:val="(%1)"/>
      <w:numFmt w:val="decimal"/>
      <w:start w:val="21"/>
    </w:lvl>
  </w:abstractNum>
  <w:abstractNum w:abstractNumId="25">
    <w:nsid w:val="836C40E"/>
    <w:multiLevelType w:val="hybridMultilevel"/>
    <w:lvl w:ilvl="0">
      <w:lvlJc w:val="left"/>
      <w:lvlText w:val="%1"/>
      <w:numFmt w:val="decimal"/>
      <w:start w:val="104"/>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43" Type="http://schemas.openxmlformats.org/officeDocument/2006/relationships/hyperlink" Target="http://www.sec.gov/Archives/edgar/data/792966/000119312517318709/d447990dex31.htm" TargetMode="External"/><Relationship Id="rId144" Type="http://schemas.openxmlformats.org/officeDocument/2006/relationships/hyperlink" Target="http://www.sec.gov/Archives/edgar/data/792966/000119312517235925/d422994dex32.htm" TargetMode="External"/><Relationship Id="rId145" Type="http://schemas.openxmlformats.org/officeDocument/2006/relationships/hyperlink" Target="http://www.sec.gov/Archives/edgar/data/792966/000156459020006695/fmao-ex41_282.htm" TargetMode="External"/><Relationship Id="rId146" Type="http://schemas.openxmlformats.org/officeDocument/2006/relationships/hyperlink" Target="http://www.sec.gov/Archives/edgar/data/792966/000119312513073008/d445099dex101.htm" TargetMode="External"/><Relationship Id="rId147" Type="http://schemas.openxmlformats.org/officeDocument/2006/relationships/hyperlink" Target="http://www.sec.gov/Archives/edgar/data/792966/000119312513073008/d445099dex102.htm" TargetMode="External"/><Relationship Id="rId148" Type="http://schemas.openxmlformats.org/officeDocument/2006/relationships/hyperlink" Target="http://www.sec.gov/Archives/edgar/data/792966/000119312518272836/d595662dex101.htm" TargetMode="External"/><Relationship Id="rId149" Type="http://schemas.openxmlformats.org/officeDocument/2006/relationships/hyperlink" Target="http://www.sec.gov/Archives/edgar/data/792966/000119312515093241/d891255ddef14a.htm" TargetMode="External"/><Relationship Id="rId150" Type="http://schemas.openxmlformats.org/officeDocument/2006/relationships/hyperlink" Target="http://www.sec.gov/Archives/edgar/data/792966/000095012405005979/k99341exv10w2.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2021-02-24T11:50:49Z</dcterms:created>
  <dcterms:modified xsi:type="dcterms:W3CDTF">2021-02-24T11:50:49Z</dcterms:modified>
</cp:coreProperties>
</file>