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7"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-7620</wp:posOffset>
            </wp:positionV>
            <wp:extent cx="21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tcPr>
          <w:p>
            <w:pPr>
              <w:jc w:val="center"/>
              <w:ind w:left="305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incorporation or organization)</w:t>
            </w:r>
          </w:p>
        </w:tc>
        <w:tc>
          <w:tcPr>
            <w:tcW w:w="4240" w:type="dxa"/>
            <w:vAlign w:val="bottom"/>
          </w:tcPr>
          <w:p>
            <w:pPr>
              <w:jc w:val="center"/>
              <w:ind w:left="303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40" w:type="dxa"/>
            <w:vAlign w:val="bottom"/>
          </w:tcPr>
          <w:p>
            <w:pPr>
              <w:jc w:val="center"/>
              <w:ind w:left="305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Name of Each Exchange</w:t>
            </w:r>
          </w:p>
        </w:tc>
      </w:tr>
      <w:tr>
        <w:trPr>
          <w:trHeight w:val="205"/>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15" w:right="3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660"/>
          </w:cols>
          <w:pgMar w:left="320" w:top="215"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240"/>
          </w:cols>
          <w:pgMar w:left="320" w:top="215" w:right="339" w:bottom="1440" w:gutter="0" w:footer="0" w:header="0"/>
          <w:type w:val="continuous"/>
        </w:sectPr>
      </w:pPr>
    </w:p>
    <w:p>
      <w:pPr>
        <w:spacing w:after="0" w:line="123" w:lineRule="exact"/>
        <w:rPr>
          <w:sz w:val="24"/>
          <w:szCs w:val="24"/>
          <w:color w:val="auto"/>
        </w:rPr>
      </w:pPr>
    </w:p>
    <w:p>
      <w:pPr>
        <w:jc w:val="center"/>
        <w:ind w:right="100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20"/>
        <w:spacing w:after="0"/>
        <w:rPr>
          <w:sz w:val="20"/>
          <w:szCs w:val="20"/>
          <w:color w:val="auto"/>
        </w:rPr>
      </w:pPr>
      <w:r>
        <w:rPr>
          <w:rFonts w:ascii="Arial" w:cs="Arial" w:eastAsia="Arial" w:hAnsi="Arial"/>
          <w:sz w:val="16"/>
          <w:szCs w:val="16"/>
          <w:u w:val="single" w:color="auto"/>
          <w:color w:val="auto"/>
        </w:rPr>
        <w:t>11,129,025</w:t>
      </w:r>
    </w:p>
    <w:p>
      <w:pPr>
        <w:spacing w:after="0" w:line="22" w:lineRule="exact"/>
        <w:rPr>
          <w:sz w:val="24"/>
          <w:szCs w:val="24"/>
          <w:color w:val="auto"/>
        </w:rPr>
      </w:pPr>
    </w:p>
    <w:p>
      <w:pPr>
        <w:jc w:val="center"/>
        <w:ind w:right="1720"/>
        <w:spacing w:after="0"/>
        <w:rPr>
          <w:sz w:val="20"/>
          <w:szCs w:val="20"/>
          <w:color w:val="auto"/>
        </w:rPr>
      </w:pPr>
      <w:r>
        <w:rPr>
          <w:rFonts w:ascii="Arial" w:cs="Arial" w:eastAsia="Arial" w:hAnsi="Arial"/>
          <w:sz w:val="14"/>
          <w:szCs w:val="14"/>
          <w:color w:val="auto"/>
        </w:rPr>
        <w:t>Outstanding as of July 24, 2020</w:t>
      </w:r>
    </w:p>
    <w:p>
      <w:pPr>
        <w:spacing w:after="0" w:line="222" w:lineRule="exact"/>
        <w:rPr>
          <w:sz w:val="24"/>
          <w:szCs w:val="24"/>
          <w:color w:val="auto"/>
        </w:rPr>
      </w:pPr>
    </w:p>
    <w:p>
      <w:pPr>
        <w:sectPr>
          <w:pgSz w:w="11900" w:h="16838" w:orient="portrait"/>
          <w:cols w:equalWidth="0" w:num="2">
            <w:col w:w="6780" w:space="720"/>
            <w:col w:w="3740"/>
          </w:cols>
          <w:pgMar w:left="320" w:top="215" w:right="3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13"/>
          </w:tcPr>
          <w:p>
            <w:pPr>
              <w:spacing w:after="0"/>
              <w:rPr>
                <w:sz w:val="20"/>
                <w:szCs w:val="20"/>
                <w:color w:val="auto"/>
              </w:rPr>
            </w:pPr>
            <w:r>
              <w:rPr>
                <w:rFonts w:ascii="Arial" w:cs="Arial" w:eastAsia="Arial" w:hAnsi="Arial"/>
                <w:sz w:val="18"/>
                <w:szCs w:val="18"/>
                <w:color w:val="auto"/>
              </w:rPr>
              <w:t>FARMERS &amp; MERCHANTS BANCORP, INC.</w:t>
            </w:r>
          </w:p>
        </w:tc>
        <w:tc>
          <w:tcPr>
            <w:tcW w:w="8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3"/>
          </w:tcPr>
          <w:p>
            <w:pPr>
              <w:spacing w:after="0" w:line="202" w:lineRule="exact"/>
              <w:rPr>
                <w:sz w:val="20"/>
                <w:szCs w:val="20"/>
                <w:color w:val="auto"/>
              </w:rPr>
            </w:pPr>
            <w:r>
              <w:rPr>
                <w:rFonts w:ascii="Arial" w:cs="Arial" w:eastAsia="Arial" w:hAnsi="Arial"/>
                <w:sz w:val="18"/>
                <w:szCs w:val="18"/>
                <w:color w:val="auto"/>
              </w:rPr>
              <w:t>Form 10-Q Items</w:t>
            </w: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Arial" w:cs="Arial" w:eastAsia="Arial" w:hAnsi="Arial"/>
                <w:sz w:val="18"/>
                <w:szCs w:val="18"/>
                <w:color w:val="auto"/>
                <w:w w:val="90"/>
              </w:rPr>
              <w:t>Page</w:t>
            </w:r>
          </w:p>
        </w:tc>
      </w:tr>
      <w:tr>
        <w:trPr>
          <w:trHeight w:val="277"/>
        </w:trPr>
        <w:tc>
          <w:tcPr>
            <w:tcW w:w="660" w:type="dxa"/>
            <w:vAlign w:val="bottom"/>
          </w:tcPr>
          <w:p>
            <w:pPr>
              <w:spacing w:after="0"/>
              <w:rPr>
                <w:sz w:val="24"/>
                <w:szCs w:val="24"/>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86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86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404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 xml:space="preserve">June 30, 2020 </w:t>
              </w:r>
              <w:r>
                <w:rPr>
                  <w:rFonts w:ascii="Arial" w:cs="Arial" w:eastAsia="Arial" w:hAnsi="Arial"/>
                  <w:sz w:val="18"/>
                  <w:szCs w:val="18"/>
                  <w:u w:val="single" w:color="auto"/>
                  <w:color w:val="000000"/>
                </w:rPr>
                <w:t>and December 31, 2019</w:t>
              </w:r>
            </w:hyperlink>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79"/>
              </w:rPr>
              <w:t>3</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352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Three and Six Months Ended June 30, 2020 and June 30, 2019</w:t>
              </w:r>
            </w:hyperlink>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79"/>
              </w:rPr>
              <w:t>4</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236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Three and Six Months Ended June 30, 2020 and June 30, 2019</w:t>
              </w:r>
            </w:hyperlink>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79"/>
              </w:rPr>
              <w:t>5</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Three and Six Months Ended June 30, 2020 and June 30, 2019</w:t>
              </w:r>
            </w:hyperlink>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92"/>
              </w:rPr>
              <w:t>6-7</w:t>
            </w:r>
          </w:p>
        </w:tc>
      </w:tr>
      <w:tr>
        <w:trPr>
          <w:trHeight w:val="4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322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Six Months Ended June 30, 2020 and June 30, 2019</w:t>
              </w:r>
            </w:hyperlink>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92"/>
              </w:rPr>
              <w:t>8-9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10</w:t>
            </w:r>
          </w:p>
        </w:tc>
      </w:tr>
      <w:tr>
        <w:trPr>
          <w:trHeight w:val="32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Management's Discussion and Analysis of Financial Condition</w:t>
              </w:r>
            </w:hyperlink>
          </w:p>
        </w:tc>
        <w:tc>
          <w:tcPr>
            <w:tcW w:w="252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2.</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and Results of Operations</w:t>
              </w:r>
            </w:hyperlink>
          </w:p>
        </w:tc>
        <w:tc>
          <w:tcPr>
            <w:tcW w:w="860" w:type="dxa"/>
            <w:vAlign w:val="bottom"/>
          </w:tcPr>
          <w:p>
            <w:pPr>
              <w:jc w:val="center"/>
              <w:ind w:left="350"/>
              <w:spacing w:after="0" w:line="196" w:lineRule="exact"/>
              <w:rPr>
                <w:sz w:val="20"/>
                <w:szCs w:val="20"/>
                <w:color w:val="auto"/>
              </w:rPr>
            </w:pPr>
            <w:r>
              <w:rPr>
                <w:rFonts w:ascii="Arial" w:cs="Arial" w:eastAsia="Arial" w:hAnsi="Arial"/>
                <w:sz w:val="18"/>
                <w:szCs w:val="18"/>
                <w:color w:val="auto"/>
                <w:w w:val="91"/>
              </w:rPr>
              <w:t>46-66</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Qualitative and Quantitative Disclosures About Market Risk</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67</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Controls and Procedures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68</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080" w:type="dxa"/>
            <w:vAlign w:val="bottom"/>
            <w:gridSpan w:val="9"/>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OTHER INFORMATION</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68</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Legal Proceedings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68</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7080" w:type="dxa"/>
            <w:vAlign w:val="bottom"/>
            <w:gridSpan w:val="9"/>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Risk Factors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91"/>
              </w:rPr>
              <w:t>68-69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7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70</w:t>
            </w:r>
          </w:p>
        </w:tc>
      </w:tr>
      <w:tr>
        <w:trPr>
          <w:trHeight w:val="378"/>
        </w:trPr>
        <w:tc>
          <w:tcPr>
            <w:tcW w:w="660" w:type="dxa"/>
            <w:vAlign w:val="bottom"/>
          </w:tcPr>
          <w:p>
            <w:pPr>
              <w:spacing w:after="0"/>
              <w:rPr>
                <w:sz w:val="24"/>
                <w:szCs w:val="24"/>
                <w:color w:val="auto"/>
              </w:rPr>
            </w:pPr>
          </w:p>
        </w:tc>
        <w:tc>
          <w:tcPr>
            <w:tcW w:w="2000" w:type="dxa"/>
            <w:vAlign w:val="bottom"/>
            <w:gridSpan w:val="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50"/>
        </w:trPr>
        <w:tc>
          <w:tcPr>
            <w:tcW w:w="66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080" w:type="dxa"/>
            <w:vAlign w:val="bottom"/>
            <w:gridSpan w:val="9"/>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9"/>
          </w:tcPr>
          <w:p>
            <w:pPr>
              <w:spacing w:after="0"/>
              <w:rPr>
                <w:sz w:val="20"/>
                <w:szCs w:val="20"/>
                <w:color w:val="auto"/>
              </w:rPr>
            </w:pPr>
            <w:r>
              <w:rPr>
                <w:rFonts w:ascii="Arial" w:cs="Arial" w:eastAsia="Arial" w:hAnsi="Arial"/>
                <w:sz w:val="18"/>
                <w:szCs w:val="18"/>
                <w:color w:val="auto"/>
              </w:rPr>
              <w:t xml:space="preserve">Data File because its XBRL tags are embedded within the Inline XBRL document. </w:t>
            </w:r>
            <w:r>
              <w:rPr>
                <w:rFonts w:ascii="Arial" w:cs="Arial" w:eastAsia="Arial" w:hAnsi="Arial"/>
                <w:sz w:val="15"/>
                <w:szCs w:val="15"/>
                <w:color w:val="auto"/>
              </w:rPr>
              <w:t>(1)</w:t>
            </w:r>
          </w:p>
        </w:tc>
        <w:tc>
          <w:tcPr>
            <w:tcW w:w="860" w:type="dxa"/>
            <w:vAlign w:val="bottom"/>
          </w:tcPr>
          <w:p>
            <w:pPr>
              <w:spacing w:after="0"/>
              <w:rPr>
                <w:sz w:val="20"/>
                <w:szCs w:val="20"/>
                <w:color w:val="auto"/>
              </w:rPr>
            </w:pPr>
          </w:p>
        </w:tc>
      </w:tr>
      <w:tr>
        <w:trPr>
          <w:trHeight w:val="257"/>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08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08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08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08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08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bl>
    <w:p>
      <w:pPr>
        <w:spacing w:after="0" w:line="188"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4"/>
          </w:tcPr>
          <w:p>
            <w:pPr>
              <w:jc w:val="right"/>
              <w:ind w:right="119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54,336</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50,137</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31,105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85,441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51,296</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4,636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236,292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222,293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11,445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1,334,790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1,211,771</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26,049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26,283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Construction in progress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47,340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47,340</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Mortgage servicing rights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Other real estate owned</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 owned life insurance</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15,399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14,370</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1,784,447</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1,607,330</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Noninterest-bearing</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336,027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265,156</w:t>
            </w:r>
          </w:p>
        </w:tc>
        <w:tc>
          <w:tcPr>
            <w:tcW w:w="0" w:type="dxa"/>
            <w:vAlign w:val="bottom"/>
          </w:tcPr>
          <w:p>
            <w:pPr>
              <w:spacing w:after="0"/>
              <w:rPr>
                <w:sz w:val="1"/>
                <w:szCs w:val="1"/>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Interest-bearing</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NOW accounts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504,846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423,655</w:t>
            </w:r>
          </w:p>
        </w:tc>
        <w:tc>
          <w:tcPr>
            <w:tcW w:w="0" w:type="dxa"/>
            <w:vAlign w:val="bottom"/>
          </w:tcPr>
          <w:p>
            <w:pPr>
              <w:spacing w:after="0"/>
              <w:rPr>
                <w:sz w:val="1"/>
                <w:szCs w:val="1"/>
                <w:color w:val="auto"/>
              </w:rPr>
            </w:pPr>
          </w:p>
        </w:tc>
      </w:tr>
      <w:tr>
        <w:trPr>
          <w:trHeight w:val="229"/>
        </w:trPr>
        <w:tc>
          <w:tcPr>
            <w:tcW w:w="7060" w:type="dxa"/>
            <w:vAlign w:val="bottom"/>
          </w:tcPr>
          <w:p>
            <w:pPr>
              <w:ind w:left="1000"/>
              <w:spacing w:after="0"/>
              <w:rPr>
                <w:sz w:val="20"/>
                <w:szCs w:val="20"/>
                <w:color w:val="auto"/>
              </w:rPr>
            </w:pPr>
            <w:r>
              <w:rPr>
                <w:rFonts w:ascii="Arial" w:cs="Arial" w:eastAsia="Arial" w:hAnsi="Arial"/>
                <w:sz w:val="18"/>
                <w:szCs w:val="18"/>
                <w:color w:val="auto"/>
              </w:rPr>
              <w:t>Savings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374,871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322,973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Time</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261,631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276,563</w:t>
            </w:r>
          </w:p>
        </w:tc>
        <w:tc>
          <w:tcPr>
            <w:tcW w:w="0" w:type="dxa"/>
            <w:vAlign w:val="bottom"/>
          </w:tcPr>
          <w:p>
            <w:pPr>
              <w:spacing w:after="0"/>
              <w:rPr>
                <w:sz w:val="1"/>
                <w:szCs w:val="1"/>
                <w:color w:val="auto"/>
              </w:rPr>
            </w:pPr>
          </w:p>
        </w:tc>
      </w:tr>
      <w:tr>
        <w:trPr>
          <w:trHeight w:val="223"/>
        </w:trPr>
        <w:tc>
          <w:tcPr>
            <w:tcW w:w="7060" w:type="dxa"/>
            <w:vAlign w:val="bottom"/>
          </w:tcPr>
          <w:p>
            <w:pPr>
              <w:ind w:left="1480"/>
              <w:spacing w:after="0"/>
              <w:rPr>
                <w:sz w:val="20"/>
                <w:szCs w:val="20"/>
                <w:color w:val="auto"/>
              </w:rPr>
            </w:pPr>
            <w:r>
              <w:rPr>
                <w:rFonts w:ascii="Arial" w:cs="Arial" w:eastAsia="Arial" w:hAnsi="Arial"/>
                <w:sz w:val="18"/>
                <w:szCs w:val="18"/>
                <w:color w:val="auto"/>
              </w:rPr>
              <w:t>Total deposits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1,477,375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1,288,347</w:t>
            </w: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repurchase</w:t>
            </w:r>
          </w:p>
        </w:tc>
        <w:tc>
          <w:tcPr>
            <w:tcW w:w="26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30,949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48,073</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Federal Home Loan Bank (FHLB) advances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19,087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24,806</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 payable</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14,971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1,544,150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1,377,072</w:t>
            </w:r>
          </w:p>
        </w:tc>
        <w:tc>
          <w:tcPr>
            <w:tcW w:w="0" w:type="dxa"/>
            <w:vAlign w:val="bottom"/>
          </w:tcPr>
          <w:p>
            <w:pPr>
              <w:spacing w:after="0"/>
              <w:rPr>
                <w:sz w:val="1"/>
                <w:szCs w:val="1"/>
                <w:color w:val="auto"/>
              </w:rPr>
            </w:pPr>
          </w:p>
        </w:tc>
      </w:tr>
      <w:tr>
        <w:trPr>
          <w:trHeight w:val="453"/>
        </w:trPr>
        <w:tc>
          <w:tcPr>
            <w:tcW w:w="70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outstanding 12,230,000 shares 6/30/20 and 12/31/19</w:t>
            </w:r>
          </w:p>
        </w:tc>
        <w:tc>
          <w:tcPr>
            <w:tcW w:w="26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82,134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- 1,100,975 shares 6/30/20, 1,093,065 shares 12/31/19</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165,476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160,081</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240,297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230,258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1,784,447</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1,607,330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Note: The December 31, 2019, Condensed Consolidated Balance Sheet has been derived from the audited Consolidated Balance Sheet as of that date.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50"/>
              <w:spacing w:after="0"/>
              <w:rPr>
                <w:sz w:val="20"/>
                <w:szCs w:val="20"/>
                <w:color w:val="auto"/>
              </w:rPr>
            </w:pPr>
            <w:r>
              <w:rPr>
                <w:rFonts w:ascii="Arial" w:cs="Arial" w:eastAsia="Arial" w:hAnsi="Arial"/>
                <w:sz w:val="18"/>
                <w:szCs w:val="18"/>
                <w:color w:val="auto"/>
                <w:w w:val="89"/>
              </w:rPr>
              <w:t>(in thousands of dollars, except per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(in thousands of dollars, except per</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4"/>
          </w:tcPr>
          <w:p>
            <w:pPr>
              <w:jc w:val="center"/>
              <w:ind w:right="30"/>
              <w:spacing w:after="0"/>
              <w:rPr>
                <w:sz w:val="20"/>
                <w:szCs w:val="20"/>
                <w:color w:val="auto"/>
              </w:rPr>
            </w:pPr>
            <w:r>
              <w:rPr>
                <w:rFonts w:ascii="Arial" w:cs="Arial" w:eastAsia="Arial" w:hAnsi="Arial"/>
                <w:sz w:val="18"/>
                <w:szCs w:val="18"/>
                <w:color w:val="auto"/>
                <w:w w:val="85"/>
              </w:rPr>
              <w:t>share data)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center"/>
              <w:ind w:right="5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7"/>
              </w:rPr>
              <w:t>June 30, 2020</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June 30, 2019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7"/>
              </w:rPr>
              <w:t>June 30, 2020</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June 30, 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16,192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32,075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Net gain (loss) on sale of available-for-sale securities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sale of other assets owned</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Consulting fees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right="4960"/>
        <w:spacing w:after="0" w:line="263"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r>
      <w:tr>
        <w:trPr>
          <w:trHeight w:val="230"/>
        </w:trPr>
        <w:tc>
          <w:tcPr>
            <w:tcW w:w="5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23"/>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87"/>
              </w:rPr>
              <w:t>June 30, 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87"/>
              </w:rPr>
              <w:t>June 30, 2019</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4,804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6,180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8,909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9,404</w:t>
            </w: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5"/>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4,810</w:t>
            </w: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 loss on sale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of available-for-sale securities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r>
      <w:tr>
        <w:trPr>
          <w:trHeight w:val="20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5,389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4,836</w:t>
            </w:r>
          </w:p>
        </w:tc>
      </w:tr>
      <w:tr>
        <w:trPr>
          <w:trHeight w:val="229"/>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w:t>
            </w: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4,257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3,820</w:t>
            </w: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8,598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13,166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13,224</w:t>
            </w: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right="3460" w:hanging="1365"/>
        <w:spacing w:after="0" w:line="778" w:lineRule="auto"/>
        <w:tabs>
          <w:tab w:leader="none" w:pos="4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2020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11,136,935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$ 160,081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Forfeiture of 450 shares of restricted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11,129,421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Director stock award</w:t>
            </w:r>
          </w:p>
        </w:tc>
        <w:tc>
          <w:tcPr>
            <w:tcW w:w="94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June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11,129,025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(12,668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$ 165,476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240,297</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2019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9,285,261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$ 147,887</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1,830,000  shares  of  common  stock  in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400 shares of restricted stock</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- 2,040)</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(1,654)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(1,654)</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March 31,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11,107,063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81,760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149,466</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216,934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Forfeiture of 880 shares of restricted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(1,655)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(1,655)</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11,106,183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(12,707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$ 153,993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224,047</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right="518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5"/>
          </w:tcPr>
          <w:p>
            <w:pPr>
              <w:jc w:val="right"/>
              <w:ind w:right="128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jc w:val="right"/>
              <w:ind w:right="1500"/>
              <w:spacing w:after="0"/>
              <w:rPr>
                <w:sz w:val="20"/>
                <w:szCs w:val="20"/>
                <w:color w:val="auto"/>
              </w:rPr>
            </w:pPr>
            <w:r>
              <w:rPr>
                <w:rFonts w:ascii="Arial" w:cs="Arial" w:eastAsia="Arial" w:hAnsi="Arial"/>
                <w:sz w:val="18"/>
                <w:szCs w:val="18"/>
                <w:color w:val="auto"/>
              </w:rPr>
              <w:t>Six Months Ended</w:t>
            </w: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June 30, 2020</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June 30, 2019</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8,909</w:t>
            </w:r>
          </w:p>
        </w:tc>
        <w:tc>
          <w:tcPr>
            <w:tcW w:w="2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9,404</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amortization of fair value adjustments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Director stock award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2,999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(87,998)</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(25,680)</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81,189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23,710</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(Gain) loss on sale of other assets owned</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sales of securities available-for-sale</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other assets and other liabilities, net</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13,097</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Maturities, prepayments and calls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39,959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4,932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(60,696)</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(30,063)</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Activity in other securities, at cost:</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(490)</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Proceeds from sale of other assets owned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(2,169)</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(125,692)</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14,995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Limberlost, net of cash received</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(2,089)</w:t>
            </w: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(135,828)</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188,861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107,256</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repurchase</w:t>
            </w:r>
          </w:p>
        </w:tc>
        <w:tc>
          <w:tcPr>
            <w:tcW w:w="26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(17,124)</w:t>
            </w:r>
          </w:p>
        </w:tc>
        <w:tc>
          <w:tcPr>
            <w:tcW w:w="2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(5,079)</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(5,993)</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(23,938)</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(213)</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(3,536)</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161,982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84,913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51,296</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85,441</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123,278</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3180" w:type="dxa"/>
            <w:vAlign w:val="bottom"/>
            <w:gridSpan w:val="4"/>
          </w:tcPr>
          <w:p>
            <w:pPr>
              <w:jc w:val="right"/>
              <w:ind w:right="204"/>
              <w:spacing w:after="0"/>
              <w:rPr>
                <w:sz w:val="20"/>
                <w:szCs w:val="20"/>
                <w:color w:val="auto"/>
              </w:rPr>
            </w:pPr>
            <w:r>
              <w:rPr>
                <w:rFonts w:ascii="Arial" w:cs="Arial" w:eastAsia="Arial" w:hAnsi="Arial"/>
                <w:sz w:val="18"/>
                <w:szCs w:val="18"/>
                <w:color w:val="auto"/>
              </w:rPr>
              <w:t>(in thousands of dollars)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8"/>
                <w:szCs w:val="18"/>
                <w:color w:val="auto"/>
              </w:rPr>
              <w:t>Six Months Ended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2020</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9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June 30, 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1460" w:type="dxa"/>
            <w:vAlign w:val="bottom"/>
            <w:tcBorders>
              <w:bottom w:val="single" w:sz="8" w:color="auto"/>
            </w:tcBorders>
            <w:shd w:val="clear" w:color="auto" w:fill="CFF0FC"/>
          </w:tcPr>
          <w:p>
            <w:pPr>
              <w:jc w:val="right"/>
              <w:ind w:right="130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5,839</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vMerge w:val="continue"/>
          </w:tcPr>
          <w:p>
            <w:pPr>
              <w:spacing w:after="0"/>
              <w:rPr>
                <w:sz w:val="21"/>
                <w:szCs w:val="21"/>
                <w:color w:val="auto"/>
              </w:rPr>
            </w:pPr>
          </w:p>
        </w:tc>
        <w:tc>
          <w:tcPr>
            <w:tcW w:w="1460" w:type="dxa"/>
            <w:vAlign w:val="bottom"/>
            <w:tcBorders>
              <w:bottom w:val="single" w:sz="8" w:color="auto"/>
            </w:tcBorders>
          </w:tcPr>
          <w:p>
            <w:pPr>
              <w:jc w:val="right"/>
              <w:ind w:right="130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jc w:val="right"/>
              <w:ind w:right="86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activities:</w:t>
            </w: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Transfer of loans to other real estate owned</w:t>
            </w:r>
          </w:p>
        </w:tc>
        <w:tc>
          <w:tcPr>
            <w:tcW w:w="1460" w:type="dxa"/>
            <w:vAlign w:val="bottom"/>
            <w:tcBorders>
              <w:bottom w:val="single" w:sz="8" w:color="auto"/>
            </w:tcBorders>
          </w:tcPr>
          <w:p>
            <w:pPr>
              <w:jc w:val="right"/>
              <w:ind w:right="130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23"/>
                <w:szCs w:val="23"/>
                <w:color w:val="auto"/>
              </w:rPr>
            </w:pPr>
          </w:p>
        </w:tc>
        <w:tc>
          <w:tcPr>
            <w:tcW w:w="1020" w:type="dxa"/>
            <w:vAlign w:val="bottom"/>
            <w:tcBorders>
              <w:bottom w:val="single" w:sz="8" w:color="auto"/>
            </w:tcBorders>
          </w:tcPr>
          <w:p>
            <w:pPr>
              <w:jc w:val="right"/>
              <w:ind w:right="86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The Company purchased all of the capital stock of Limberlost for $78,902 on January 1,</w:t>
            </w:r>
          </w:p>
        </w:tc>
        <w:tc>
          <w:tcPr>
            <w:tcW w:w="14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14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Fair value of assets acquired</w:t>
            </w:r>
          </w:p>
        </w:tc>
        <w:tc>
          <w:tcPr>
            <w:tcW w:w="1460" w:type="dxa"/>
            <w:vAlign w:val="bottom"/>
          </w:tcPr>
          <w:p>
            <w:pPr>
              <w:jc w:val="right"/>
              <w:ind w:right="130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8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common stock issued</w:t>
            </w: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the capital stock</w:t>
            </w:r>
          </w:p>
        </w:tc>
        <w:tc>
          <w:tcPr>
            <w:tcW w:w="1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Liabilities assumed</w:t>
            </w:r>
          </w:p>
        </w:tc>
        <w:tc>
          <w:tcPr>
            <w:tcW w:w="1460" w:type="dxa"/>
            <w:vAlign w:val="bottom"/>
            <w:tcBorders>
              <w:bottom w:val="single" w:sz="8" w:color="auto"/>
            </w:tcBorders>
            <w:shd w:val="clear" w:color="auto" w:fill="CFF0FC"/>
          </w:tcPr>
          <w:p>
            <w:pPr>
              <w:jc w:val="right"/>
              <w:ind w:right="130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460" w:hanging="1365"/>
        <w:spacing w:after="0" w:line="809" w:lineRule="auto"/>
        <w:tabs>
          <w:tab w:leader="none" w:pos="4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and six months ended June 30, 2020 are not necessarily indicative of the results that are expected for the year ended December 31, 2020. The condensed consolidated balance sheet of the Company as of December 31, 2019,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2019.</w:t>
      </w:r>
    </w:p>
    <w:p>
      <w:pPr>
        <w:spacing w:after="0" w:line="15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Reclassification</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Certain amounts in the 2019 condensed consolidated financial statements have been reclassified to conform with the 2020 presentation. These reclassifications had no effect on income.</w:t>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22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also expects to reduce costs through economies of scale.</w:t>
      </w:r>
    </w:p>
    <w:p>
      <w:pPr>
        <w:spacing w:after="0" w:line="12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1480"/>
              <w:spacing w:after="0"/>
              <w:rPr>
                <w:sz w:val="20"/>
                <w:szCs w:val="20"/>
                <w:color w:val="auto"/>
              </w:rPr>
            </w:pPr>
            <w:r>
              <w:rPr>
                <w:rFonts w:ascii="Arial" w:cs="Arial" w:eastAsia="Arial" w:hAnsi="Arial"/>
                <w:sz w:val="18"/>
                <w:szCs w:val="18"/>
                <w:color w:val="auto"/>
              </w:rPr>
              <w:t>NOTE 2 BUSINESS COMBINATION AND ASSET PURCHASE (Continued)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22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vMerge w:val="restart"/>
          </w:tcPr>
          <w:p>
            <w:pPr>
              <w:ind w:left="1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 (1,830,000 shares)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Securities - available-for-sale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260"/>
              <w:spacing w:after="0"/>
              <w:rPr>
                <w:sz w:val="20"/>
                <w:szCs w:val="20"/>
                <w:color w:val="auto"/>
              </w:rPr>
            </w:pPr>
            <w:r>
              <w:rPr>
                <w:rFonts w:ascii="Arial" w:cs="Arial" w:eastAsia="Arial" w:hAnsi="Arial"/>
                <w:sz w:val="18"/>
                <w:szCs w:val="18"/>
                <w:color w:val="auto"/>
              </w:rPr>
              <w:t>Other securities, at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26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26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Noninterest bearing</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Interest bearing</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deposits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Pr>
          <w:p>
            <w:pPr>
              <w:ind w:left="260"/>
              <w:spacing w:after="0"/>
              <w:rPr>
                <w:sz w:val="20"/>
                <w:szCs w:val="20"/>
                <w:color w:val="auto"/>
              </w:rPr>
            </w:pPr>
            <w:r>
              <w:rPr>
                <w:rFonts w:ascii="Arial" w:cs="Arial" w:eastAsia="Arial" w:hAnsi="Arial"/>
                <w:sz w:val="18"/>
                <w:szCs w:val="18"/>
                <w:color w:val="auto"/>
              </w:rPr>
              <w:t>Federal Home Loan Bank (FHLB) advances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carrying amount of those loans is included in loans, net on the balance sheet as of December 31, 2019 and June 30, 2020. The amounts of loans at December 31, 2019 and June 30, 2020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ind w:right="10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Carrying amount, net of fair value adjustment of $2,118</w:t>
            </w: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Carrying amount, net of fair value adjustment of $62</w:t>
            </w: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Balance - June 30, 2020</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4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60"/>
              <w:spacing w:after="0"/>
              <w:rPr>
                <w:sz w:val="20"/>
                <w:szCs w:val="20"/>
                <w:color w:val="auto"/>
              </w:rPr>
            </w:pPr>
            <w:r>
              <w:rPr>
                <w:rFonts w:ascii="Arial" w:cs="Arial" w:eastAsia="Arial" w:hAnsi="Arial"/>
                <w:sz w:val="18"/>
                <w:szCs w:val="18"/>
                <w:color w:val="auto"/>
              </w:rPr>
              <w:t>Consumer RE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500"/>
              <w:spacing w:after="0"/>
              <w:rPr>
                <w:sz w:val="20"/>
                <w:szCs w:val="20"/>
                <w:color w:val="auto"/>
              </w:rPr>
            </w:pPr>
            <w:r>
              <w:rPr>
                <w:rFonts w:ascii="Arial" w:cs="Arial" w:eastAsia="Arial" w:hAnsi="Arial"/>
                <w:sz w:val="18"/>
                <w:szCs w:val="18"/>
                <w:color w:val="auto"/>
              </w:rPr>
              <w:t>Carrying amount, net of fair value adjustment of $0</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Loans acquired during 2019 for which it was probable at acquisition that all contractually required payments would not be collected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2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w:t>
            </w: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required payments receivable</w:t>
            </w: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balance of the fair value adjustment for loans acquired and accounted for under this guidance (ASC 310-30) was $62 thousand at December 31, 2019, zero at June 30, 2020 and $2.118 million on January 1, 2019.</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Three Months</w:t>
            </w: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8"/>
                <w:szCs w:val="18"/>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June 30, 2020</w:t>
            </w:r>
          </w:p>
        </w:tc>
        <w:tc>
          <w:tcPr>
            <w:tcW w:w="12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June 30,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2019</w:t>
            </w:r>
          </w:p>
        </w:tc>
      </w:tr>
      <w:tr>
        <w:trPr>
          <w:trHeight w:val="223"/>
        </w:trPr>
        <w:tc>
          <w:tcPr>
            <w:tcW w:w="47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 Thousands)</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(2,204)</w:t>
            </w: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3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97"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color w:val="auto"/>
        </w:rPr>
        <w:t>The amortization expense for the six months ended June 30, 2019 was $364 thousand. Of the $721 thousand to be expensed in 2020, $364 thousand has been expensed for the six months ended June 30, 2020. Annual amortization of core deposit intangible assets is as follows:</w:t>
      </w:r>
    </w:p>
    <w:p>
      <w:pPr>
        <w:spacing w:after="0" w:line="16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0"/>
              </w:rPr>
              <w:t>(In Thousands)</w:t>
            </w:r>
          </w:p>
        </w:tc>
      </w:tr>
      <w:tr>
        <w:trPr>
          <w:trHeight w:val="223"/>
        </w:trPr>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Custar</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r>
      <w:tr>
        <w:trPr>
          <w:trHeight w:val="223"/>
        </w:trPr>
        <w:tc>
          <w:tcPr>
            <w:tcW w:w="11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84"/>
              </w:rPr>
              <w:t>2020</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2021</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11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84"/>
              </w:rPr>
              <w:t>2022</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2023</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116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84"/>
              </w:rPr>
              <w:t>2024</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84"/>
              </w:rPr>
              <w:t>2025</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23"/>
        </w:trPr>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r>
      <w:tr>
        <w:trPr>
          <w:trHeight w:val="20"/>
        </w:trPr>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right="3460" w:hanging="1325"/>
        <w:spacing w:after="0" w:line="809" w:lineRule="auto"/>
        <w:tabs>
          <w:tab w:leader="none" w:pos="4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June 30, 2020 and December 31, 2019,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8"/>
                <w:szCs w:val="18"/>
                <w:color w:val="auto"/>
                <w:w w:val="87"/>
              </w:rPr>
              <w:t>June 30, 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5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1"/>
              </w:rPr>
              <w:t>Cost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8,004</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gridSpan w:val="4"/>
          </w:tcPr>
          <w:p>
            <w:pPr>
              <w:jc w:val="right"/>
              <w:ind w:right="6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8,030</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72,369</w:t>
            </w: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103,699</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52,194</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236,292</w:t>
            </w: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5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8"/>
                <w:szCs w:val="18"/>
                <w:color w:val="auto"/>
                <w:w w:val="89"/>
              </w:rPr>
              <w:t>December 31, 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30"/>
        </w:trPr>
        <w:tc>
          <w:tcPr>
            <w:tcW w:w="5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Cost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10,023</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320" w:type="dxa"/>
            <w:vAlign w:val="bottom"/>
            <w:gridSpan w:val="4"/>
          </w:tcPr>
          <w:p>
            <w:pPr>
              <w:jc w:val="right"/>
              <w:ind w:right="6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10,021</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61,882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62,445</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94,998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95,197</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54,001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54,630</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220,904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222,293</w:t>
            </w: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3" w:lineRule="exact"/>
        <w:rPr>
          <w:sz w:val="20"/>
          <w:szCs w:val="20"/>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40" w:hanging="747"/>
        <w:spacing w:after="0" w:line="250"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40" w:hanging="747"/>
        <w:spacing w:after="0" w:line="260"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2020 and December 31, 2019,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7"/>
              </w:rPr>
              <w:t>June 30, 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rPr>
              <w:t>Less Than Twelve Months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color w:val="auto"/>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4"/>
              </w:rPr>
              <w:t>Losses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Value</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18,593</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6,254</w:t>
            </w:r>
          </w:p>
        </w:tc>
      </w:tr>
      <w:tr>
        <w:trPr>
          <w:trHeight w:val="229"/>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789</w:t>
            </w: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25,636</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25,636</w:t>
            </w: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3"/>
        </w:trPr>
        <w:tc>
          <w:tcPr>
            <w:tcW w:w="29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9"/>
              </w:rPr>
              <w:t>December 31, 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7"/>
          </w:tcPr>
          <w:p>
            <w:pPr>
              <w:ind w:left="20"/>
              <w:spacing w:after="0"/>
              <w:rPr>
                <w:sz w:val="20"/>
                <w:szCs w:val="20"/>
                <w:color w:val="auto"/>
              </w:rPr>
            </w:pPr>
            <w:r>
              <w:rPr>
                <w:rFonts w:ascii="Arial" w:cs="Arial" w:eastAsia="Arial" w:hAnsi="Arial"/>
                <w:sz w:val="18"/>
                <w:szCs w:val="18"/>
                <w:color w:val="auto"/>
              </w:rPr>
              <w:t>Less Than Twelve Months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6"/>
          </w:tcPr>
          <w:p>
            <w:pPr>
              <w:ind w:left="140"/>
              <w:spacing w:after="0"/>
              <w:rPr>
                <w:sz w:val="20"/>
                <w:szCs w:val="20"/>
                <w:color w:val="auto"/>
              </w:rPr>
            </w:pPr>
            <w:r>
              <w:rPr>
                <w:rFonts w:ascii="Arial" w:cs="Arial" w:eastAsia="Arial" w:hAnsi="Arial"/>
                <w:sz w:val="18"/>
                <w:szCs w:val="18"/>
                <w:color w:val="auto"/>
              </w:rPr>
              <w:t>Twelve Months &amp; Over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Gross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0"/>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2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Losses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Losses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5,030</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21,294</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27,696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39,028</w:t>
            </w:r>
          </w:p>
        </w:tc>
      </w:tr>
      <w:tr>
        <w:trPr>
          <w:trHeight w:val="230"/>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16,845</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16,845</w:t>
            </w: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55,090</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27,107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82,197</w:t>
            </w:r>
          </w:p>
        </w:tc>
      </w:tr>
      <w:tr>
        <w:trPr>
          <w:trHeight w:val="20"/>
        </w:trPr>
        <w:tc>
          <w:tcPr>
            <w:tcW w:w="2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six months ended June 30, 2020 and June 30, 2019.</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gridSpan w:val="4"/>
          </w:tcPr>
          <w:p>
            <w:pPr>
              <w:jc w:val="right"/>
              <w:ind w:right="367"/>
              <w:spacing w:after="0"/>
              <w:rPr>
                <w:sz w:val="20"/>
                <w:szCs w:val="20"/>
                <w:color w:val="auto"/>
              </w:rPr>
            </w:pPr>
            <w:r>
              <w:rPr>
                <w:rFonts w:ascii="Arial" w:cs="Arial" w:eastAsia="Arial" w:hAnsi="Arial"/>
                <w:sz w:val="18"/>
                <w:szCs w:val="18"/>
                <w:color w:val="auto"/>
                <w:w w:val="92"/>
              </w:rPr>
              <w:t>Six Months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5"/>
          </w:tcPr>
          <w:p>
            <w:pPr>
              <w:jc w:val="right"/>
              <w:ind w:right="227"/>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270</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 (losses)</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270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Tax expense (benefit) related to net realized gains (losses)</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net realized gains (losses) on sales and related tax expense is a reclassification out of accumulated other comprehensive income (loss). The net realized gains (losses) is included in net gains (losses) on sale of available-for-sale securities and the related tax expense (benefit) is included in income taxes in the condensed consolidated statements of income and comprehensive income.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color w:val="auto"/>
        </w:rPr>
        <w:t>The amortized cost and fair value of debt securities at June 30, 2020,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14,462</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49,006</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62,574</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w:t>
            </w: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128,650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132,593</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103,699</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229,514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236,292</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Investments with a carrying value of $87.4 million and $88.8 million at June 30, 2020 and December 31, 2019, respectively, were pledged to secure public deposits and securities sold under repurchase agreements.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Other securities includes Federal Home Loan Bank of Cincinnati and Indianapolis stock as of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right="3460" w:hanging="1325"/>
        <w:spacing w:after="0" w:line="668" w:lineRule="auto"/>
        <w:tabs>
          <w:tab w:leader="none" w:pos="4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NOTE 4 LOANS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gridSpan w:val="3"/>
          </w:tcPr>
          <w:p>
            <w:pPr>
              <w:ind w:left="380"/>
              <w:spacing w:after="0"/>
              <w:rPr>
                <w:sz w:val="20"/>
                <w:szCs w:val="20"/>
                <w:color w:val="auto"/>
              </w:rPr>
            </w:pPr>
            <w:r>
              <w:rPr>
                <w:rFonts w:ascii="Arial" w:cs="Arial" w:eastAsia="Arial" w:hAnsi="Arial"/>
                <w:sz w:val="18"/>
                <w:szCs w:val="18"/>
                <w:color w:val="auto"/>
                <w:w w:val="93"/>
              </w:rPr>
              <w:t>Loan balances as of June 30, 2020 and December 31, 2019 are summarized below:</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6640" w:type="dxa"/>
            <w:vAlign w:val="bottom"/>
            <w:gridSpan w:val="3"/>
            <w:vMerge w:val="restart"/>
          </w:tcPr>
          <w:p>
            <w:pPr>
              <w:ind w:left="132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82"/>
        </w:trPr>
        <w:tc>
          <w:tcPr>
            <w:tcW w:w="6640" w:type="dxa"/>
            <w:vAlign w:val="bottom"/>
            <w:gridSpan w:val="3"/>
            <w:vMerge w:val="continue"/>
          </w:tcPr>
          <w:p>
            <w:pPr>
              <w:spacing w:after="0"/>
              <w:rPr>
                <w:sz w:val="7"/>
                <w:szCs w:val="7"/>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auto"/>
              </w:rPr>
              <w:t>June 30, 2020</w:t>
            </w: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174,069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165,349</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194,606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199,105</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107,458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111,820</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589,382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551,309</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223,842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135,631</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1,349,179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1,220,765</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1,344,723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1,218,999</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1,334,790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1,211,771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June 30, 2020:</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116,292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57,777</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91,091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103,515</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102,939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4,519</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440,821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148,561</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207,015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16,827</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46,141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9,655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June 30, 2020 and December 31, 2019 one to four family residential mortgage loans amounting to $41.5 million and $42.1 million, respectively, have been pledged as security for future loans and existing loans the Bank has received from the Federal Home Loan Bank.</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Unless listed separately, Other loans are included in the Commercial and Industrial category for the remainder of the tables in this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June 30, 2020 and December 31, 2019,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0" w:type="dxa"/>
            <w:vAlign w:val="bottom"/>
          </w:tcPr>
          <w:p>
            <w:pPr>
              <w:jc w:val="center"/>
              <w:ind w:left="90"/>
              <w:spacing w:after="0"/>
              <w:rPr>
                <w:sz w:val="20"/>
                <w:szCs w:val="20"/>
                <w:color w:val="auto"/>
              </w:rPr>
            </w:pPr>
            <w:r>
              <w:rPr>
                <w:rFonts w:ascii="Arial" w:cs="Arial" w:eastAsia="Arial" w:hAnsi="Arial"/>
                <w:sz w:val="18"/>
                <w:szCs w:val="18"/>
                <w:color w:val="auto"/>
                <w:w w:val="88"/>
              </w:rPr>
              <w:t>Greater</w:t>
            </w: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0"/>
              </w:rPr>
              <w:t>Than 90</w:t>
            </w:r>
          </w:p>
        </w:tc>
        <w:tc>
          <w:tcPr>
            <w:tcW w:w="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Total Past</w:t>
            </w: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June 30, 2020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7"/>
              </w:rPr>
              <w:t>Days</w:t>
            </w:r>
          </w:p>
        </w:tc>
        <w:tc>
          <w:tcPr>
            <w:tcW w:w="2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975</w:t>
            </w:r>
          </w:p>
        </w:tc>
        <w:tc>
          <w:tcPr>
            <w:tcW w:w="80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171,436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173,615</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193,658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194,310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106,984</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107,615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588,176</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588,176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230,725</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230,748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50,182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50,259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r>
      <w:tr>
        <w:trPr>
          <w:trHeight w:val="223"/>
        </w:trPr>
        <w:tc>
          <w:tcPr>
            <w:tcW w:w="4040" w:type="dxa"/>
            <w:vAlign w:val="bottom"/>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975</w:t>
            </w:r>
          </w:p>
        </w:tc>
        <w:tc>
          <w:tcPr>
            <w:tcW w:w="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89"/>
              </w:rPr>
              <w:t>1,341,161</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$ 1,344,723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4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0" w:type="dxa"/>
            <w:vAlign w:val="bottom"/>
          </w:tcPr>
          <w:p>
            <w:pPr>
              <w:jc w:val="center"/>
              <w:ind w:left="90"/>
              <w:spacing w:after="0"/>
              <w:rPr>
                <w:sz w:val="20"/>
                <w:szCs w:val="20"/>
                <w:color w:val="auto"/>
              </w:rPr>
            </w:pPr>
            <w:r>
              <w:rPr>
                <w:rFonts w:ascii="Arial" w:cs="Arial" w:eastAsia="Arial" w:hAnsi="Arial"/>
                <w:sz w:val="18"/>
                <w:szCs w:val="18"/>
                <w:color w:val="auto"/>
                <w:w w:val="88"/>
              </w:rPr>
              <w:t>Greater</w:t>
            </w: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0"/>
              </w:rPr>
              <w:t>Than 90</w:t>
            </w:r>
          </w:p>
        </w:tc>
        <w:tc>
          <w:tcPr>
            <w:tcW w:w="2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Total Past</w:t>
            </w: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7"/>
              </w:rPr>
              <w:t>Days</w:t>
            </w:r>
          </w:p>
        </w:tc>
        <w:tc>
          <w:tcPr>
            <w:tcW w:w="2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80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164,266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164,691</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800" w:type="dxa"/>
            <w:vAlign w:val="bottom"/>
          </w:tcPr>
          <w:p>
            <w:pPr>
              <w:spacing w:after="0"/>
              <w:rPr>
                <w:sz w:val="19"/>
                <w:szCs w:val="19"/>
                <w:color w:val="auto"/>
              </w:rPr>
            </w:pPr>
          </w:p>
        </w:tc>
        <w:tc>
          <w:tcPr>
            <w:tcW w:w="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198,752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198,859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111,864</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111,949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550,082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550,082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267</w:t>
            </w:r>
          </w:p>
        </w:tc>
        <w:tc>
          <w:tcPr>
            <w:tcW w:w="8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143,541</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144,009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49,355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49,409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r>
      <w:tr>
        <w:trPr>
          <w:trHeight w:val="223"/>
        </w:trPr>
        <w:tc>
          <w:tcPr>
            <w:tcW w:w="4040" w:type="dxa"/>
            <w:vAlign w:val="bottom"/>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451</w:t>
            </w:r>
          </w:p>
        </w:tc>
        <w:tc>
          <w:tcPr>
            <w:tcW w:w="8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89"/>
              </w:rPr>
              <w:t>1,217,860</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$ 1,218,999</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6"/>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4040" w:type="dxa"/>
            <w:vAlign w:val="bottom"/>
            <w:shd w:val="clear" w:color="auto" w:fill="E5B8B7"/>
          </w:tcPr>
          <w:p>
            <w:pPr>
              <w:spacing w:after="0"/>
              <w:rPr>
                <w:sz w:val="21"/>
                <w:szCs w:val="21"/>
                <w:color w:val="auto"/>
              </w:rPr>
            </w:pPr>
          </w:p>
        </w:tc>
        <w:tc>
          <w:tcPr>
            <w:tcW w:w="120" w:type="dxa"/>
            <w:vAlign w:val="bottom"/>
            <w:shd w:val="clear" w:color="auto" w:fill="E5B8B7"/>
          </w:tcPr>
          <w:p>
            <w:pPr>
              <w:spacing w:after="0"/>
              <w:rPr>
                <w:sz w:val="21"/>
                <w:szCs w:val="21"/>
                <w:color w:val="auto"/>
              </w:rPr>
            </w:pPr>
          </w:p>
        </w:tc>
        <w:tc>
          <w:tcPr>
            <w:tcW w:w="780" w:type="dxa"/>
            <w:vAlign w:val="bottom"/>
            <w:tcBorders>
              <w:right w:val="single" w:sz="8" w:color="E5B8B7"/>
            </w:tcBorders>
            <w:shd w:val="clear" w:color="auto" w:fill="E5B8B7"/>
          </w:tcPr>
          <w:p>
            <w:pPr>
              <w:spacing w:after="0"/>
              <w:rPr>
                <w:sz w:val="21"/>
                <w:szCs w:val="21"/>
                <w:color w:val="auto"/>
              </w:rPr>
            </w:pPr>
          </w:p>
        </w:tc>
        <w:tc>
          <w:tcPr>
            <w:tcW w:w="220" w:type="dxa"/>
            <w:vAlign w:val="bottom"/>
            <w:shd w:val="clear" w:color="auto" w:fill="E5B8B7"/>
          </w:tcPr>
          <w:p>
            <w:pPr>
              <w:spacing w:after="0"/>
              <w:rPr>
                <w:sz w:val="21"/>
                <w:szCs w:val="21"/>
                <w:color w:val="auto"/>
              </w:rPr>
            </w:pPr>
          </w:p>
        </w:tc>
        <w:tc>
          <w:tcPr>
            <w:tcW w:w="780" w:type="dxa"/>
            <w:vAlign w:val="bottom"/>
            <w:tcBorders>
              <w:right w:val="single" w:sz="8" w:color="E5B8B7"/>
            </w:tcBorders>
            <w:shd w:val="clear" w:color="auto" w:fill="E5B8B7"/>
          </w:tcPr>
          <w:p>
            <w:pPr>
              <w:spacing w:after="0"/>
              <w:rPr>
                <w:sz w:val="21"/>
                <w:szCs w:val="21"/>
                <w:color w:val="auto"/>
              </w:rPr>
            </w:pPr>
          </w:p>
        </w:tc>
        <w:tc>
          <w:tcPr>
            <w:tcW w:w="800" w:type="dxa"/>
            <w:vAlign w:val="bottom"/>
            <w:shd w:val="clear" w:color="auto" w:fill="E5B8B7"/>
          </w:tcPr>
          <w:p>
            <w:pPr>
              <w:spacing w:after="0"/>
              <w:rPr>
                <w:sz w:val="21"/>
                <w:szCs w:val="21"/>
                <w:color w:val="auto"/>
              </w:rPr>
            </w:pPr>
          </w:p>
        </w:tc>
        <w:tc>
          <w:tcPr>
            <w:tcW w:w="220" w:type="dxa"/>
            <w:vAlign w:val="bottom"/>
            <w:tcBorders>
              <w:right w:val="single" w:sz="8" w:color="E5B8B7"/>
            </w:tcBorders>
            <w:shd w:val="clear" w:color="auto" w:fill="E5B8B7"/>
          </w:tcPr>
          <w:p>
            <w:pPr>
              <w:spacing w:after="0"/>
              <w:rPr>
                <w:sz w:val="21"/>
                <w:szCs w:val="21"/>
                <w:color w:val="auto"/>
              </w:rPr>
            </w:pPr>
          </w:p>
        </w:tc>
        <w:tc>
          <w:tcPr>
            <w:tcW w:w="240" w:type="dxa"/>
            <w:vAlign w:val="bottom"/>
            <w:shd w:val="clear" w:color="auto" w:fill="E5B8B7"/>
          </w:tcPr>
          <w:p>
            <w:pPr>
              <w:spacing w:after="0"/>
              <w:rPr>
                <w:sz w:val="21"/>
                <w:szCs w:val="21"/>
                <w:color w:val="auto"/>
              </w:rPr>
            </w:pPr>
          </w:p>
        </w:tc>
        <w:tc>
          <w:tcPr>
            <w:tcW w:w="760" w:type="dxa"/>
            <w:vAlign w:val="bottom"/>
            <w:tcBorders>
              <w:right w:val="single" w:sz="8" w:color="E5B8B7"/>
            </w:tcBorders>
            <w:shd w:val="clear" w:color="auto" w:fill="E5B8B7"/>
          </w:tcPr>
          <w:p>
            <w:pPr>
              <w:spacing w:after="0"/>
              <w:rPr>
                <w:sz w:val="21"/>
                <w:szCs w:val="21"/>
                <w:color w:val="auto"/>
              </w:rPr>
            </w:pPr>
          </w:p>
        </w:tc>
        <w:tc>
          <w:tcPr>
            <w:tcW w:w="200" w:type="dxa"/>
            <w:vAlign w:val="bottom"/>
            <w:shd w:val="clear" w:color="auto" w:fill="E5B8B7"/>
          </w:tcPr>
          <w:p>
            <w:pPr>
              <w:spacing w:after="0"/>
              <w:rPr>
                <w:sz w:val="21"/>
                <w:szCs w:val="21"/>
                <w:color w:val="auto"/>
              </w:rPr>
            </w:pPr>
          </w:p>
        </w:tc>
        <w:tc>
          <w:tcPr>
            <w:tcW w:w="880" w:type="dxa"/>
            <w:vAlign w:val="bottom"/>
            <w:tcBorders>
              <w:right w:val="single" w:sz="8" w:color="E5B8B7"/>
            </w:tcBorders>
            <w:shd w:val="clear" w:color="auto" w:fill="E5B8B7"/>
          </w:tcPr>
          <w:p>
            <w:pPr>
              <w:spacing w:after="0"/>
              <w:rPr>
                <w:sz w:val="21"/>
                <w:szCs w:val="21"/>
                <w:color w:val="auto"/>
              </w:rPr>
            </w:pPr>
          </w:p>
        </w:tc>
        <w:tc>
          <w:tcPr>
            <w:tcW w:w="240" w:type="dxa"/>
            <w:vAlign w:val="bottom"/>
            <w:shd w:val="clear" w:color="auto" w:fill="E5B8B7"/>
          </w:tcPr>
          <w:p>
            <w:pPr>
              <w:spacing w:after="0"/>
              <w:rPr>
                <w:sz w:val="21"/>
                <w:szCs w:val="21"/>
                <w:color w:val="auto"/>
              </w:rPr>
            </w:pPr>
          </w:p>
        </w:tc>
        <w:tc>
          <w:tcPr>
            <w:tcW w:w="840" w:type="dxa"/>
            <w:vAlign w:val="bottom"/>
            <w:tcBorders>
              <w:right w:val="single" w:sz="8" w:color="E5B8B7"/>
            </w:tcBorders>
            <w:shd w:val="clear" w:color="auto" w:fill="E5B8B7"/>
          </w:tcPr>
          <w:p>
            <w:pPr>
              <w:spacing w:after="0"/>
              <w:rPr>
                <w:sz w:val="21"/>
                <w:szCs w:val="21"/>
                <w:color w:val="auto"/>
              </w:rPr>
            </w:pPr>
          </w:p>
        </w:tc>
        <w:tc>
          <w:tcPr>
            <w:tcW w:w="200" w:type="dxa"/>
            <w:vAlign w:val="bottom"/>
            <w:shd w:val="clear" w:color="auto" w:fill="E5B8B7"/>
          </w:tcPr>
          <w:p>
            <w:pPr>
              <w:spacing w:after="0"/>
              <w:rPr>
                <w:sz w:val="21"/>
                <w:szCs w:val="21"/>
                <w:color w:val="auto"/>
              </w:rPr>
            </w:pPr>
          </w:p>
        </w:tc>
        <w:tc>
          <w:tcPr>
            <w:tcW w:w="920" w:type="dxa"/>
            <w:vAlign w:val="bottom"/>
            <w:shd w:val="clear" w:color="auto" w:fill="E5B8B7"/>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June 30, 2020 and December 31, 2019:</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w w:val="95"/>
              </w:rPr>
              <w:t>June 30,</w:t>
            </w: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40" w:hanging="747"/>
        <w:spacing w:after="0"/>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40" w:hanging="747"/>
        <w:spacing w:after="0" w:line="251"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40" w:hanging="747"/>
        <w:spacing w:after="0" w:line="253"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40" w:hanging="747"/>
        <w:spacing w:after="0" w:line="265" w:lineRule="auto"/>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260" w:right="2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26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20" w:hanging="371"/>
        <w:spacing w:after="0"/>
        <w:tabs>
          <w:tab w:leader="none" w:pos="2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32" w:lineRule="exact"/>
        <w:rPr>
          <w:rFonts w:ascii="Arial" w:cs="Arial" w:eastAsia="Arial" w:hAnsi="Arial"/>
          <w:sz w:val="16"/>
          <w:szCs w:val="16"/>
          <w:color w:val="auto"/>
        </w:rPr>
      </w:pPr>
    </w:p>
    <w:p>
      <w:pPr>
        <w:ind w:left="2620" w:hanging="371"/>
        <w:spacing w:after="0"/>
        <w:tabs>
          <w:tab w:leader="none" w:pos="2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32" w:lineRule="exact"/>
        <w:rPr>
          <w:rFonts w:ascii="Arial" w:cs="Arial" w:eastAsia="Arial" w:hAnsi="Arial"/>
          <w:sz w:val="16"/>
          <w:szCs w:val="16"/>
          <w:color w:val="auto"/>
        </w:rPr>
      </w:pPr>
    </w:p>
    <w:p>
      <w:pPr>
        <w:jc w:val="both"/>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1" w:lineRule="exact"/>
        <w:rPr>
          <w:rFonts w:ascii="Arial" w:cs="Arial" w:eastAsia="Arial" w:hAnsi="Arial"/>
          <w:sz w:val="18"/>
          <w:szCs w:val="18"/>
          <w:color w:val="auto"/>
        </w:rPr>
      </w:pPr>
    </w:p>
    <w:p>
      <w:pPr>
        <w:jc w:val="both"/>
        <w:ind w:left="2240" w:hanging="747"/>
        <w:spacing w:after="0" w:line="25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Six (6) Substandard. One or more of the following characteristics may be exhibited in loans classified substandard:</w:t>
      </w:r>
    </w:p>
    <w:p>
      <w:pPr>
        <w:spacing w:after="0" w:line="20" w:lineRule="exact"/>
        <w:rPr>
          <w:rFonts w:ascii="Arial" w:cs="Arial" w:eastAsia="Arial" w:hAnsi="Arial"/>
          <w:sz w:val="17"/>
          <w:szCs w:val="17"/>
          <w:color w:val="auto"/>
        </w:rPr>
      </w:pPr>
    </w:p>
    <w:p>
      <w:pPr>
        <w:jc w:val="both"/>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20" w:hanging="371"/>
        <w:spacing w:after="0"/>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20" w:hanging="371"/>
        <w:spacing w:after="0"/>
        <w:tabs>
          <w:tab w:leader="none" w:pos="2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20" w:hanging="371"/>
        <w:spacing w:after="0"/>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but continues to make interest payments.</w:t>
      </w:r>
    </w:p>
    <w:p>
      <w:pPr>
        <w:spacing w:after="0" w:line="20" w:lineRule="exact"/>
        <w:rPr>
          <w:rFonts w:ascii="Arial" w:cs="Arial" w:eastAsia="Arial" w:hAnsi="Arial"/>
          <w:sz w:val="17"/>
          <w:szCs w:val="17"/>
          <w:color w:val="auto"/>
        </w:rPr>
      </w:pP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20" w:hanging="371"/>
        <w:spacing w:after="0" w:line="250" w:lineRule="auto"/>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lender is seriously contemplating foreclosure or legal action due to the apparent deterioration in the loan.</w:t>
      </w:r>
    </w:p>
    <w:p>
      <w:pPr>
        <w:spacing w:after="0" w:line="20" w:lineRule="exact"/>
        <w:rPr>
          <w:rFonts w:ascii="Arial" w:cs="Arial" w:eastAsia="Arial" w:hAnsi="Arial"/>
          <w:sz w:val="17"/>
          <w:szCs w:val="17"/>
          <w:color w:val="auto"/>
        </w:rPr>
      </w:pPr>
    </w:p>
    <w:p>
      <w:pPr>
        <w:ind w:left="2620" w:hanging="371"/>
        <w:spacing w:after="0"/>
        <w:tabs>
          <w:tab w:leader="none" w:pos="2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40" w:hanging="747"/>
        <w:spacing w:after="0"/>
        <w:tabs>
          <w:tab w:leader="none" w:pos="2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20" w:hanging="371"/>
        <w:spacing w:after="0" w:line="250" w:lineRule="auto"/>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ind w:left="2620" w:hanging="371"/>
        <w:spacing w:after="0" w:line="250" w:lineRule="auto"/>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20" w:hanging="371"/>
        <w:spacing w:after="0" w:line="250" w:lineRule="auto"/>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40" w:hanging="747"/>
        <w:spacing w:after="0" w:line="253" w:lineRule="auto"/>
        <w:tabs>
          <w:tab w:leader="none" w:pos="2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right="3460" w:hanging="1325"/>
        <w:spacing w:after="0" w:line="809" w:lineRule="auto"/>
        <w:tabs>
          <w:tab w:leader="none" w:pos="4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-739140</wp:posOffset>
            </wp:positionV>
            <wp:extent cx="666051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051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jc w:val="both"/>
        <w:ind w:left="620"/>
        <w:spacing w:after="0" w:line="263"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June 30, 2020 (Refer to the table in the COVID-19 section for deferrals impacted by the Coronavirus Aid, Relief and Economic Security Act (CARES Act.) and 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13,584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13,266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90,774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38,296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156,849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22,711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4,773</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111,853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60,339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409,479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4,941</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194,310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107,615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588,176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221,034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9,714</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52"/>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7,860</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3,844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33,951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36,913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131,780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19,790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3,168</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116,834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65,414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401,404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5,146</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18,583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198,859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111,949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550,082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135,695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8,314</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8"/>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June 30, 2020 and December 31, 2019.</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Consumer</w:t>
            </w:r>
          </w:p>
        </w:tc>
      </w:t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Real Estate</w:t>
            </w:r>
          </w:p>
        </w:tc>
      </w:tr>
      <w:tr>
        <w:trPr>
          <w:trHeight w:val="209"/>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170,037</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160,930</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3,346</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173,615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164,691</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Consumer - Other</w:t>
            </w:r>
          </w:p>
        </w:tc>
      </w:tr>
      <w:tr>
        <w:trPr>
          <w:trHeight w:val="209"/>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w w:val="92"/>
              </w:rPr>
              <w:t>June 30,</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December 31,</w:t>
            </w:r>
          </w:p>
        </w:tc>
      </w:tr>
      <w:tr>
        <w:trPr>
          <w:trHeight w:val="230"/>
        </w:trPr>
        <w:tc>
          <w:tcPr>
            <w:tcW w:w="5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3,394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4,076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46,692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44,831</w:t>
            </w: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w:t>
            </w:r>
          </w:p>
        </w:tc>
      </w:tr>
      <w:tr>
        <w:trPr>
          <w:trHeight w:val="223"/>
        </w:trPr>
        <w:tc>
          <w:tcPr>
            <w:tcW w:w="5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46,831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45,318</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June 30, 2020, December 31, 2019 and June 30, 2019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June 30, 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7"/>
              </w:rPr>
              <w:t>June 30, 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2,695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12,567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8,473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8,352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3,120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loans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$159 thousand additional funds available to be advanced in connection with impaired loans as of June 30, 2020.</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Bank had approximately $6.4 million of its impaired loans classified as troubled debt restructured (TDR) as of June 30, 2020, $1.0 million as of December 31, 2019 and $981 thousand as of June 30, 2019.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Modification programs focused on payment pattern changes and/or modified maturity dates with most receiving a combination of the two concessions. The modifications did not result in the contractual forgiveness of principal. In first quarter of 2020, two loans resulted in payment changes from a monthly payment to principal and interest at maturity on June 19, 2020. One loan was paid off in May with the other loan past due in the foreclosure process. In the second quarter of 2020, three loans had a rate concession along with the amortization extended. All interest was paid current at the time of the modifications. Consequently, the financial impact of the modifications was immaterial. During the year to date 2020, there were 5 new loans considered TDR with one of the loans subsequently paid off in May. There were 4 new loans considered TDR year to date 2019</w:t>
      </w:r>
      <w:r>
        <w:rPr>
          <w:rFonts w:ascii="Courier New" w:cs="Courier New" w:eastAsia="Courier New" w:hAnsi="Courier New"/>
          <w:sz w:val="16"/>
          <w:szCs w:val="16"/>
          <w:color w:val="auto"/>
        </w:rPr>
        <w:t>.</w:t>
      </w:r>
      <w:r>
        <w:rPr>
          <w:rFonts w:ascii="Arial" w:cs="Arial" w:eastAsia="Arial" w:hAnsi="Arial"/>
          <w:sz w:val="16"/>
          <w:szCs w:val="16"/>
          <w:color w:val="auto"/>
        </w:rPr>
        <w:t xml:space="preserve"> The following tables represents three and six months ended June 30, 2020 and 2019:</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Post-</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6"/>
          </w:tcPr>
          <w:p>
            <w:pPr>
              <w:jc w:val="center"/>
              <w:ind w:right="260"/>
              <w:spacing w:after="0"/>
              <w:rPr>
                <w:sz w:val="20"/>
                <w:szCs w:val="20"/>
                <w:color w:val="auto"/>
              </w:rPr>
            </w:pPr>
            <w:r>
              <w:rPr>
                <w:rFonts w:ascii="Arial" w:cs="Arial" w:eastAsia="Arial" w:hAnsi="Arial"/>
                <w:sz w:val="18"/>
                <w:szCs w:val="18"/>
                <w:color w:val="auto"/>
                <w:w w:val="92"/>
              </w:rPr>
              <w:t>Number of</w:t>
            </w:r>
          </w:p>
        </w:tc>
        <w:tc>
          <w:tcPr>
            <w:tcW w:w="1200" w:type="dxa"/>
            <w:vAlign w:val="bottom"/>
            <w:gridSpan w:val="4"/>
          </w:tcPr>
          <w:p>
            <w:pPr>
              <w:ind w:left="140"/>
              <w:spacing w:after="0"/>
              <w:rPr>
                <w:sz w:val="20"/>
                <w:szCs w:val="20"/>
                <w:color w:val="auto"/>
              </w:rPr>
            </w:pPr>
            <w:r>
              <w:rPr>
                <w:rFonts w:ascii="Arial" w:cs="Arial" w:eastAsia="Arial" w:hAnsi="Arial"/>
                <w:sz w:val="18"/>
                <w:szCs w:val="18"/>
                <w:color w:val="auto"/>
              </w:rPr>
              <w:t>Modification</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00" w:type="dxa"/>
            <w:vAlign w:val="bottom"/>
          </w:tcPr>
          <w:p>
            <w:pPr>
              <w:spacing w:after="0"/>
              <w:rPr>
                <w:sz w:val="19"/>
                <w:szCs w:val="19"/>
                <w:color w:val="auto"/>
              </w:rPr>
            </w:pPr>
          </w:p>
        </w:tc>
        <w:tc>
          <w:tcPr>
            <w:tcW w:w="1220" w:type="dxa"/>
            <w:vAlign w:val="bottom"/>
            <w:gridSpan w:val="7"/>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6"/>
          </w:tcPr>
          <w:p>
            <w:pPr>
              <w:ind w:left="120"/>
              <w:spacing w:after="0"/>
              <w:rPr>
                <w:sz w:val="20"/>
                <w:szCs w:val="20"/>
                <w:color w:val="auto"/>
              </w:rPr>
            </w:pPr>
            <w:r>
              <w:rPr>
                <w:rFonts w:ascii="Arial" w:cs="Arial" w:eastAsia="Arial" w:hAnsi="Arial"/>
                <w:sz w:val="18"/>
                <w:szCs w:val="18"/>
                <w:color w:val="auto"/>
              </w:rPr>
              <w:t>Modification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r>
      <w:tr>
        <w:trPr>
          <w:trHeight w:val="229"/>
        </w:trPr>
        <w:tc>
          <w:tcPr>
            <w:tcW w:w="150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Contracts</w:t>
            </w:r>
          </w:p>
        </w:tc>
        <w:tc>
          <w:tcPr>
            <w:tcW w:w="120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52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400" w:type="dxa"/>
            <w:vAlign w:val="bottom"/>
          </w:tcPr>
          <w:p>
            <w:pPr>
              <w:spacing w:after="0"/>
              <w:rPr>
                <w:sz w:val="19"/>
                <w:szCs w:val="19"/>
                <w:color w:val="auto"/>
              </w:rPr>
            </w:pPr>
          </w:p>
        </w:tc>
        <w:tc>
          <w:tcPr>
            <w:tcW w:w="1220" w:type="dxa"/>
            <w:vAlign w:val="bottom"/>
            <w:gridSpan w:val="7"/>
          </w:tcPr>
          <w:p>
            <w:pPr>
              <w:jc w:val="center"/>
              <w:ind w:right="100"/>
              <w:spacing w:after="0"/>
              <w:rPr>
                <w:sz w:val="20"/>
                <w:szCs w:val="20"/>
                <w:color w:val="auto"/>
              </w:rPr>
            </w:pPr>
            <w:r>
              <w:rPr>
                <w:rFonts w:ascii="Arial" w:cs="Arial" w:eastAsia="Arial" w:hAnsi="Arial"/>
                <w:sz w:val="18"/>
                <w:szCs w:val="18"/>
                <w:color w:val="auto"/>
                <w:w w:val="88"/>
              </w:rPr>
              <w:t>Contracts</w:t>
            </w:r>
          </w:p>
        </w:tc>
        <w:tc>
          <w:tcPr>
            <w:tcW w:w="1180" w:type="dxa"/>
            <w:vAlign w:val="bottom"/>
            <w:gridSpan w:val="6"/>
          </w:tcPr>
          <w:p>
            <w:pPr>
              <w:jc w:val="center"/>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7"/>
          </w:tcPr>
          <w:p>
            <w:pPr>
              <w:jc w:val="center"/>
              <w:ind w:right="100"/>
              <w:spacing w:after="0"/>
              <w:rPr>
                <w:sz w:val="20"/>
                <w:szCs w:val="20"/>
                <w:color w:val="auto"/>
              </w:rPr>
            </w:pPr>
            <w:r>
              <w:rPr>
                <w:rFonts w:ascii="Arial" w:cs="Arial" w:eastAsia="Arial" w:hAnsi="Arial"/>
                <w:sz w:val="18"/>
                <w:szCs w:val="18"/>
                <w:color w:val="auto"/>
                <w:w w:val="98"/>
              </w:rPr>
              <w:t>Modified 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7"/>
          </w:tcPr>
          <w:p>
            <w:pPr>
              <w:jc w:val="center"/>
              <w:ind w:right="120"/>
              <w:spacing w:after="0"/>
              <w:rPr>
                <w:sz w:val="20"/>
                <w:szCs w:val="20"/>
                <w:color w:val="auto"/>
              </w:rPr>
            </w:pPr>
            <w:r>
              <w:rPr>
                <w:rFonts w:ascii="Arial" w:cs="Arial" w:eastAsia="Arial" w:hAnsi="Arial"/>
                <w:sz w:val="18"/>
                <w:szCs w:val="18"/>
                <w:color w:val="auto"/>
                <w:w w:val="98"/>
              </w:rPr>
              <w:t>Modified in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500" w:type="dxa"/>
            <w:vAlign w:val="bottom"/>
            <w:gridSpan w:val="2"/>
          </w:tcPr>
          <w:p>
            <w:pPr>
              <w:ind w:left="440"/>
              <w:spacing w:after="0"/>
              <w:rPr>
                <w:sz w:val="20"/>
                <w:szCs w:val="20"/>
                <w:color w:val="auto"/>
              </w:rPr>
            </w:pPr>
            <w:r>
              <w:rPr>
                <w:rFonts w:ascii="Arial" w:cs="Arial" w:eastAsia="Arial" w:hAnsi="Arial"/>
                <w:sz w:val="18"/>
                <w:szCs w:val="18"/>
                <w:color w:val="auto"/>
                <w:w w:val="91"/>
              </w:rPr>
              <w:t>(in thousands)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8"/>
                <w:szCs w:val="18"/>
                <w:color w:val="auto"/>
                <w:w w:val="87"/>
              </w:rPr>
              <w:t>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Recorded</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w w:val="91"/>
              </w:rPr>
              <w:t>(in thousands)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8"/>
                <w:szCs w:val="18"/>
                <w:color w:val="auto"/>
                <w:w w:val="87"/>
              </w:rPr>
              <w:t>the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r>
      <w:tr>
        <w:trPr>
          <w:trHeight w:val="190"/>
        </w:trPr>
        <w:tc>
          <w:tcPr>
            <w:tcW w:w="150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80" w:type="dxa"/>
            <w:vAlign w:val="bottom"/>
          </w:tcPr>
          <w:p>
            <w:pPr>
              <w:ind w:left="20"/>
              <w:spacing w:after="0" w:line="190" w:lineRule="exact"/>
              <w:rPr>
                <w:sz w:val="20"/>
                <w:szCs w:val="20"/>
                <w:color w:val="auto"/>
              </w:rPr>
            </w:pPr>
            <w:r>
              <w:rPr>
                <w:rFonts w:ascii="Arial" w:cs="Arial" w:eastAsia="Arial" w:hAnsi="Arial"/>
                <w:sz w:val="18"/>
                <w:szCs w:val="18"/>
                <w:color w:val="auto"/>
                <w:w w:val="89"/>
              </w:rPr>
              <w:t>Debt</w:t>
            </w:r>
          </w:p>
        </w:tc>
        <w:tc>
          <w:tcPr>
            <w:tcW w:w="160" w:type="dxa"/>
            <w:vAlign w:val="bottom"/>
          </w:tcPr>
          <w:p>
            <w:pPr>
              <w:spacing w:after="0"/>
              <w:rPr>
                <w:sz w:val="16"/>
                <w:szCs w:val="16"/>
                <w:color w:val="auto"/>
              </w:rPr>
            </w:pPr>
          </w:p>
        </w:tc>
        <w:tc>
          <w:tcPr>
            <w:tcW w:w="800" w:type="dxa"/>
            <w:vAlign w:val="bottom"/>
            <w:gridSpan w:val="5"/>
          </w:tcPr>
          <w:p>
            <w:pPr>
              <w:jc w:val="center"/>
              <w:ind w:right="20"/>
              <w:spacing w:after="0" w:line="190" w:lineRule="exact"/>
              <w:rPr>
                <w:sz w:val="20"/>
                <w:szCs w:val="20"/>
                <w:color w:val="auto"/>
              </w:rPr>
            </w:pPr>
            <w:r>
              <w:rPr>
                <w:rFonts w:ascii="Arial" w:cs="Arial" w:eastAsia="Arial" w:hAnsi="Arial"/>
                <w:sz w:val="18"/>
                <w:szCs w:val="18"/>
                <w:color w:val="auto"/>
                <w:w w:val="90"/>
              </w:rPr>
              <w:t>Last Three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400" w:type="dxa"/>
            <w:vAlign w:val="bottom"/>
          </w:tcPr>
          <w:p>
            <w:pPr>
              <w:ind w:left="60"/>
              <w:spacing w:after="0" w:line="190" w:lineRule="exact"/>
              <w:rPr>
                <w:sz w:val="20"/>
                <w:szCs w:val="20"/>
                <w:color w:val="auto"/>
              </w:rPr>
            </w:pPr>
            <w:r>
              <w:rPr>
                <w:rFonts w:ascii="Arial" w:cs="Arial" w:eastAsia="Arial" w:hAnsi="Arial"/>
                <w:sz w:val="18"/>
                <w:szCs w:val="18"/>
                <w:color w:val="auto"/>
                <w:w w:val="84"/>
              </w:rPr>
              <w:t>Debt</w:t>
            </w:r>
          </w:p>
        </w:tc>
        <w:tc>
          <w:tcPr>
            <w:tcW w:w="240" w:type="dxa"/>
            <w:vAlign w:val="bottom"/>
          </w:tcPr>
          <w:p>
            <w:pPr>
              <w:spacing w:after="0"/>
              <w:rPr>
                <w:sz w:val="16"/>
                <w:szCs w:val="16"/>
                <w:color w:val="auto"/>
              </w:rPr>
            </w:pPr>
          </w:p>
        </w:tc>
        <w:tc>
          <w:tcPr>
            <w:tcW w:w="980" w:type="dxa"/>
            <w:vAlign w:val="bottom"/>
            <w:gridSpan w:val="6"/>
          </w:tcPr>
          <w:p>
            <w:pPr>
              <w:jc w:val="center"/>
              <w:ind w:right="340"/>
              <w:spacing w:after="0" w:line="190" w:lineRule="exact"/>
              <w:rPr>
                <w:sz w:val="20"/>
                <w:szCs w:val="20"/>
                <w:color w:val="auto"/>
              </w:rPr>
            </w:pPr>
            <w:r>
              <w:rPr>
                <w:rFonts w:ascii="Arial" w:cs="Arial" w:eastAsia="Arial" w:hAnsi="Arial"/>
                <w:sz w:val="18"/>
                <w:szCs w:val="18"/>
                <w:color w:val="auto"/>
                <w:w w:val="93"/>
              </w:rPr>
              <w:t>Last Six</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5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3"/>
          </w:tcPr>
          <w:p>
            <w:pPr>
              <w:jc w:val="center"/>
              <w:ind w:right="140"/>
              <w:spacing w:after="0" w:line="196" w:lineRule="exact"/>
              <w:rPr>
                <w:sz w:val="20"/>
                <w:szCs w:val="20"/>
                <w:color w:val="auto"/>
              </w:rPr>
            </w:pPr>
            <w:r>
              <w:rPr>
                <w:rFonts w:ascii="Arial" w:cs="Arial" w:eastAsia="Arial" w:hAnsi="Arial"/>
                <w:sz w:val="18"/>
                <w:szCs w:val="18"/>
                <w:color w:val="auto"/>
                <w:w w:val="91"/>
              </w:rPr>
              <w:t>Months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200"/>
              <w:spacing w:after="0" w:line="196" w:lineRule="exact"/>
              <w:rPr>
                <w:sz w:val="20"/>
                <w:szCs w:val="20"/>
                <w:color w:val="auto"/>
              </w:rPr>
            </w:pPr>
            <w:r>
              <w:rPr>
                <w:rFonts w:ascii="Arial" w:cs="Arial" w:eastAsia="Arial" w:hAnsi="Arial"/>
                <w:sz w:val="18"/>
                <w:szCs w:val="18"/>
                <w:color w:val="auto"/>
                <w:w w:val="90"/>
              </w:rPr>
              <w:t>Investment</w:t>
            </w:r>
          </w:p>
        </w:tc>
        <w:tc>
          <w:tcPr>
            <w:tcW w:w="1480" w:type="dxa"/>
            <w:vAlign w:val="bottom"/>
            <w:gridSpan w:val="4"/>
          </w:tcPr>
          <w:p>
            <w:pPr>
              <w:jc w:val="center"/>
              <w:ind w:right="360"/>
              <w:spacing w:after="0" w:line="196" w:lineRule="exact"/>
              <w:rPr>
                <w:sz w:val="20"/>
                <w:szCs w:val="20"/>
                <w:color w:val="auto"/>
              </w:rPr>
            </w:pPr>
            <w:r>
              <w:rPr>
                <w:rFonts w:ascii="Arial" w:cs="Arial" w:eastAsia="Arial" w:hAnsi="Arial"/>
                <w:sz w:val="18"/>
                <w:szCs w:val="18"/>
                <w:color w:val="auto"/>
                <w:w w:val="90"/>
              </w:rPr>
              <w:t>Investment</w:t>
            </w:r>
          </w:p>
        </w:tc>
        <w:tc>
          <w:tcPr>
            <w:tcW w:w="1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color w:val="auto"/>
                <w:w w:val="94"/>
              </w:rPr>
              <w:t>Months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5"/>
          </w:tcPr>
          <w:p>
            <w:pPr>
              <w:jc w:val="center"/>
              <w:ind w:right="160"/>
              <w:spacing w:after="0" w:line="196" w:lineRule="exact"/>
              <w:rPr>
                <w:sz w:val="20"/>
                <w:szCs w:val="20"/>
                <w:color w:val="auto"/>
              </w:rPr>
            </w:pPr>
            <w:r>
              <w:rPr>
                <w:rFonts w:ascii="Arial" w:cs="Arial" w:eastAsia="Arial" w:hAnsi="Arial"/>
                <w:sz w:val="18"/>
                <w:szCs w:val="18"/>
                <w:color w:val="auto"/>
                <w:w w:val="90"/>
              </w:rPr>
              <w:t>Investment</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8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Commercial Real Estate</w:t>
            </w:r>
          </w:p>
        </w:tc>
        <w:tc>
          <w:tcPr>
            <w:tcW w:w="1200" w:type="dxa"/>
            <w:vAlign w:val="bottom"/>
            <w:gridSpan w:val="7"/>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Commercial Real Estate</w:t>
            </w:r>
          </w:p>
        </w:tc>
        <w:tc>
          <w:tcPr>
            <w:tcW w:w="1220" w:type="dxa"/>
            <w:vAlign w:val="bottom"/>
            <w:gridSpan w:val="7"/>
            <w:shd w:val="clear" w:color="auto" w:fill="CFF0FC"/>
          </w:tcPr>
          <w:p>
            <w:pPr>
              <w:jc w:val="center"/>
              <w:ind w:left="770"/>
              <w:spacing w:after="0"/>
              <w:rPr>
                <w:sz w:val="20"/>
                <w:szCs w:val="20"/>
                <w:color w:val="auto"/>
              </w:rPr>
            </w:pPr>
            <w:r>
              <w:rPr>
                <w:rFonts w:ascii="Arial" w:cs="Arial" w:eastAsia="Arial" w:hAnsi="Arial"/>
                <w:sz w:val="18"/>
                <w:szCs w:val="18"/>
                <w:color w:val="auto"/>
                <w:w w:val="79"/>
              </w:rPr>
              <w:t>2</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r>
      <w:tr>
        <w:trPr>
          <w:trHeight w:val="229"/>
        </w:trPr>
        <w:tc>
          <w:tcPr>
            <w:tcW w:w="1500" w:type="dxa"/>
            <w:vAlign w:val="bottom"/>
            <w:gridSpan w:val="2"/>
          </w:tcPr>
          <w:p>
            <w:pPr>
              <w:spacing w:after="0"/>
              <w:rPr>
                <w:sz w:val="20"/>
                <w:szCs w:val="20"/>
                <w:color w:val="auto"/>
              </w:rPr>
            </w:pPr>
            <w:r>
              <w:rPr>
                <w:rFonts w:ascii="Arial" w:cs="Arial" w:eastAsia="Arial" w:hAnsi="Arial"/>
                <w:sz w:val="18"/>
                <w:szCs w:val="18"/>
                <w:color w:val="auto"/>
              </w:rPr>
              <w:t>Ag Real Estate</w:t>
            </w:r>
          </w:p>
        </w:tc>
        <w:tc>
          <w:tcPr>
            <w:tcW w:w="380" w:type="dxa"/>
            <w:vAlign w:val="bottom"/>
          </w:tcPr>
          <w:p>
            <w:pPr>
              <w:spacing w:after="0"/>
              <w:rPr>
                <w:sz w:val="19"/>
                <w:szCs w:val="19"/>
                <w:color w:val="auto"/>
              </w:rPr>
            </w:pPr>
          </w:p>
        </w:tc>
        <w:tc>
          <w:tcPr>
            <w:tcW w:w="1200" w:type="dxa"/>
            <w:vAlign w:val="bottom"/>
            <w:gridSpan w:val="7"/>
          </w:tcPr>
          <w:p>
            <w:pPr>
              <w:jc w:val="center"/>
              <w:ind w:left="790"/>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5,380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5,380</w:t>
            </w:r>
          </w:p>
        </w:tc>
        <w:tc>
          <w:tcPr>
            <w:tcW w:w="1520" w:type="dxa"/>
            <w:vAlign w:val="bottom"/>
            <w:gridSpan w:val="2"/>
          </w:tcPr>
          <w:p>
            <w:pPr>
              <w:spacing w:after="0"/>
              <w:rPr>
                <w:sz w:val="20"/>
                <w:szCs w:val="20"/>
                <w:color w:val="auto"/>
              </w:rPr>
            </w:pPr>
            <w:r>
              <w:rPr>
                <w:rFonts w:ascii="Arial" w:cs="Arial" w:eastAsia="Arial" w:hAnsi="Arial"/>
                <w:sz w:val="18"/>
                <w:szCs w:val="18"/>
                <w:color w:val="auto"/>
              </w:rPr>
              <w:t>Ag Real Estate</w:t>
            </w:r>
          </w:p>
        </w:tc>
        <w:tc>
          <w:tcPr>
            <w:tcW w:w="400" w:type="dxa"/>
            <w:vAlign w:val="bottom"/>
          </w:tcPr>
          <w:p>
            <w:pPr>
              <w:spacing w:after="0"/>
              <w:rPr>
                <w:sz w:val="19"/>
                <w:szCs w:val="19"/>
                <w:color w:val="auto"/>
              </w:rPr>
            </w:pPr>
          </w:p>
        </w:tc>
        <w:tc>
          <w:tcPr>
            <w:tcW w:w="1220" w:type="dxa"/>
            <w:vAlign w:val="bottom"/>
            <w:gridSpan w:val="7"/>
          </w:tcPr>
          <w:p>
            <w:pPr>
              <w:jc w:val="center"/>
              <w:ind w:left="770"/>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5,380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5,380</w:t>
            </w:r>
          </w:p>
        </w:tc>
      </w:tr>
      <w:tr>
        <w:trPr>
          <w:trHeight w:val="215"/>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1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w:t>
            </w:r>
          </w:p>
        </w:tc>
        <w:tc>
          <w:tcPr>
            <w:tcW w:w="380" w:type="dxa"/>
            <w:vAlign w:val="bottom"/>
            <w:shd w:val="clear" w:color="auto" w:fill="CFF0FC"/>
          </w:tcPr>
          <w:p>
            <w:pPr>
              <w:spacing w:after="0"/>
              <w:rPr>
                <w:sz w:val="20"/>
                <w:szCs w:val="20"/>
                <w:color w:val="auto"/>
              </w:rPr>
            </w:pPr>
          </w:p>
        </w:tc>
        <w:tc>
          <w:tcPr>
            <w:tcW w:w="1200" w:type="dxa"/>
            <w:vAlign w:val="bottom"/>
            <w:gridSpan w:val="7"/>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FF0FC"/>
          </w:tcPr>
          <w:p>
            <w:pPr>
              <w:spacing w:after="0"/>
              <w:rPr>
                <w:sz w:val="20"/>
                <w:szCs w:val="20"/>
                <w:color w:val="auto"/>
              </w:rPr>
            </w:pPr>
          </w:p>
        </w:tc>
        <w:tc>
          <w:tcPr>
            <w:tcW w:w="1220" w:type="dxa"/>
            <w:vAlign w:val="bottom"/>
            <w:gridSpan w:val="7"/>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80" w:type="dxa"/>
            <w:vAlign w:val="bottom"/>
          </w:tcPr>
          <w:p>
            <w:pPr>
              <w:spacing w:after="0"/>
              <w:rPr>
                <w:sz w:val="20"/>
                <w:szCs w:val="20"/>
                <w:color w:val="auto"/>
              </w:rPr>
            </w:pPr>
          </w:p>
        </w:tc>
        <w:tc>
          <w:tcPr>
            <w:tcW w:w="1200" w:type="dxa"/>
            <w:vAlign w:val="bottom"/>
            <w:gridSpan w:val="7"/>
          </w:tcPr>
          <w:p>
            <w:pPr>
              <w:jc w:val="center"/>
              <w:ind w:left="790"/>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164</w:t>
            </w:r>
          </w:p>
        </w:tc>
        <w:tc>
          <w:tcPr>
            <w:tcW w:w="152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400" w:type="dxa"/>
            <w:vAlign w:val="bottom"/>
          </w:tcPr>
          <w:p>
            <w:pPr>
              <w:spacing w:after="0"/>
              <w:rPr>
                <w:sz w:val="20"/>
                <w:szCs w:val="20"/>
                <w:color w:val="auto"/>
              </w:rPr>
            </w:pPr>
          </w:p>
        </w:tc>
        <w:tc>
          <w:tcPr>
            <w:tcW w:w="1220" w:type="dxa"/>
            <w:vAlign w:val="bottom"/>
            <w:gridSpan w:val="7"/>
          </w:tcPr>
          <w:p>
            <w:pPr>
              <w:jc w:val="center"/>
              <w:ind w:left="770"/>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r>
      <w:tr>
        <w:trPr>
          <w:trHeight w:val="673"/>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Pre-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Post-</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r>
      <w:tr>
        <w:trPr>
          <w:trHeight w:val="229"/>
        </w:trPr>
        <w:tc>
          <w:tcPr>
            <w:tcW w:w="150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380" w:type="dxa"/>
            <w:vAlign w:val="bottom"/>
          </w:tcPr>
          <w:p>
            <w:pPr>
              <w:spacing w:after="0"/>
              <w:rPr>
                <w:sz w:val="19"/>
                <w:szCs w:val="19"/>
                <w:color w:val="auto"/>
              </w:rPr>
            </w:pPr>
          </w:p>
        </w:tc>
        <w:tc>
          <w:tcPr>
            <w:tcW w:w="1200" w:type="dxa"/>
            <w:vAlign w:val="bottom"/>
            <w:gridSpan w:val="7"/>
          </w:tcPr>
          <w:p>
            <w:pPr>
              <w:jc w:val="center"/>
              <w:ind w:right="100"/>
              <w:spacing w:after="0"/>
              <w:rPr>
                <w:sz w:val="20"/>
                <w:szCs w:val="20"/>
                <w:color w:val="auto"/>
              </w:rPr>
            </w:pPr>
            <w:r>
              <w:rPr>
                <w:rFonts w:ascii="Arial" w:cs="Arial" w:eastAsia="Arial" w:hAnsi="Arial"/>
                <w:sz w:val="18"/>
                <w:szCs w:val="18"/>
                <w:color w:val="auto"/>
                <w:w w:val="92"/>
              </w:rPr>
              <w:t>Number of</w:t>
            </w:r>
          </w:p>
        </w:tc>
        <w:tc>
          <w:tcPr>
            <w:tcW w:w="120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00" w:type="dxa"/>
            <w:vAlign w:val="bottom"/>
          </w:tcPr>
          <w:p>
            <w:pPr>
              <w:spacing w:after="0"/>
              <w:rPr>
                <w:sz w:val="19"/>
                <w:szCs w:val="19"/>
                <w:color w:val="auto"/>
              </w:rPr>
            </w:pPr>
          </w:p>
        </w:tc>
        <w:tc>
          <w:tcPr>
            <w:tcW w:w="1220" w:type="dxa"/>
            <w:vAlign w:val="bottom"/>
            <w:gridSpan w:val="7"/>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6"/>
          </w:tcPr>
          <w:p>
            <w:pPr>
              <w:jc w:val="center"/>
              <w:spacing w:after="0"/>
              <w:rPr>
                <w:sz w:val="20"/>
                <w:szCs w:val="20"/>
                <w:color w:val="auto"/>
              </w:rPr>
            </w:pPr>
            <w:r>
              <w:rPr>
                <w:rFonts w:ascii="Arial" w:cs="Arial" w:eastAsia="Arial" w:hAnsi="Arial"/>
                <w:sz w:val="18"/>
                <w:szCs w:val="18"/>
                <w:color w:val="auto"/>
                <w:w w:val="97"/>
              </w:rPr>
              <w:t>Modification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6"/>
          </w:tcPr>
          <w:p>
            <w:pPr>
              <w:jc w:val="center"/>
              <w:ind w:right="280"/>
              <w:spacing w:after="0"/>
              <w:rPr>
                <w:sz w:val="20"/>
                <w:szCs w:val="20"/>
                <w:color w:val="auto"/>
              </w:rPr>
            </w:pPr>
            <w:r>
              <w:rPr>
                <w:rFonts w:ascii="Arial" w:cs="Arial" w:eastAsia="Arial" w:hAnsi="Arial"/>
                <w:sz w:val="18"/>
                <w:szCs w:val="18"/>
                <w:color w:val="auto"/>
                <w:w w:val="88"/>
              </w:rPr>
              <w:t>Contracts</w:t>
            </w:r>
          </w:p>
        </w:tc>
        <w:tc>
          <w:tcPr>
            <w:tcW w:w="120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52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400" w:type="dxa"/>
            <w:vAlign w:val="bottom"/>
          </w:tcPr>
          <w:p>
            <w:pPr>
              <w:spacing w:after="0"/>
              <w:rPr>
                <w:sz w:val="19"/>
                <w:szCs w:val="19"/>
                <w:color w:val="auto"/>
              </w:rPr>
            </w:pPr>
          </w:p>
        </w:tc>
        <w:tc>
          <w:tcPr>
            <w:tcW w:w="1220" w:type="dxa"/>
            <w:vAlign w:val="bottom"/>
            <w:gridSpan w:val="7"/>
          </w:tcPr>
          <w:p>
            <w:pPr>
              <w:jc w:val="center"/>
              <w:ind w:right="140"/>
              <w:spacing w:after="0"/>
              <w:rPr>
                <w:sz w:val="20"/>
                <w:szCs w:val="20"/>
                <w:color w:val="auto"/>
              </w:rPr>
            </w:pPr>
            <w:r>
              <w:rPr>
                <w:rFonts w:ascii="Arial" w:cs="Arial" w:eastAsia="Arial" w:hAnsi="Arial"/>
                <w:sz w:val="18"/>
                <w:szCs w:val="18"/>
                <w:color w:val="auto"/>
                <w:w w:val="88"/>
              </w:rPr>
              <w:t>Contracts</w:t>
            </w:r>
          </w:p>
        </w:tc>
        <w:tc>
          <w:tcPr>
            <w:tcW w:w="118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7"/>
          </w:tcPr>
          <w:p>
            <w:pPr>
              <w:jc w:val="center"/>
              <w:ind w:right="100"/>
              <w:spacing w:after="0"/>
              <w:rPr>
                <w:sz w:val="20"/>
                <w:szCs w:val="20"/>
                <w:color w:val="auto"/>
              </w:rPr>
            </w:pPr>
            <w:r>
              <w:rPr>
                <w:rFonts w:ascii="Arial" w:cs="Arial" w:eastAsia="Arial" w:hAnsi="Arial"/>
                <w:sz w:val="18"/>
                <w:szCs w:val="18"/>
                <w:color w:val="auto"/>
                <w:w w:val="98"/>
              </w:rPr>
              <w:t>Modified 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7"/>
          </w:tcPr>
          <w:p>
            <w:pPr>
              <w:jc w:val="center"/>
              <w:ind w:right="120"/>
              <w:spacing w:after="0"/>
              <w:rPr>
                <w:sz w:val="20"/>
                <w:szCs w:val="20"/>
                <w:color w:val="auto"/>
              </w:rPr>
            </w:pPr>
            <w:r>
              <w:rPr>
                <w:rFonts w:ascii="Arial" w:cs="Arial" w:eastAsia="Arial" w:hAnsi="Arial"/>
                <w:sz w:val="18"/>
                <w:szCs w:val="18"/>
                <w:color w:val="auto"/>
                <w:w w:val="98"/>
              </w:rPr>
              <w:t>Modified in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500" w:type="dxa"/>
            <w:vAlign w:val="bottom"/>
            <w:gridSpan w:val="2"/>
          </w:tcPr>
          <w:p>
            <w:pPr>
              <w:ind w:left="440"/>
              <w:spacing w:after="0"/>
              <w:rPr>
                <w:sz w:val="20"/>
                <w:szCs w:val="20"/>
                <w:color w:val="auto"/>
              </w:rPr>
            </w:pPr>
            <w:r>
              <w:rPr>
                <w:rFonts w:ascii="Arial" w:cs="Arial" w:eastAsia="Arial" w:hAnsi="Arial"/>
                <w:sz w:val="18"/>
                <w:szCs w:val="18"/>
                <w:color w:val="auto"/>
                <w:w w:val="91"/>
              </w:rPr>
              <w:t>(in thousands)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8"/>
                <w:szCs w:val="18"/>
                <w:color w:val="auto"/>
                <w:w w:val="87"/>
              </w:rPr>
              <w:t>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Recorded</w:t>
            </w:r>
          </w:p>
        </w:tc>
        <w:tc>
          <w:tcPr>
            <w:tcW w:w="1520" w:type="dxa"/>
            <w:vAlign w:val="bottom"/>
            <w:gridSpan w:val="2"/>
          </w:tcPr>
          <w:p>
            <w:pPr>
              <w:ind w:left="440"/>
              <w:spacing w:after="0"/>
              <w:rPr>
                <w:sz w:val="20"/>
                <w:szCs w:val="20"/>
                <w:color w:val="auto"/>
              </w:rPr>
            </w:pPr>
            <w:r>
              <w:rPr>
                <w:rFonts w:ascii="Arial" w:cs="Arial" w:eastAsia="Arial" w:hAnsi="Arial"/>
                <w:sz w:val="18"/>
                <w:szCs w:val="18"/>
                <w:color w:val="auto"/>
                <w:w w:val="92"/>
              </w:rPr>
              <w:t>(in thousands)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8"/>
                <w:szCs w:val="18"/>
                <w:color w:val="auto"/>
                <w:w w:val="87"/>
              </w:rPr>
              <w:t>the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r>
      <w:tr>
        <w:trPr>
          <w:trHeight w:val="190"/>
        </w:trPr>
        <w:tc>
          <w:tcPr>
            <w:tcW w:w="150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80" w:type="dxa"/>
            <w:vAlign w:val="bottom"/>
          </w:tcPr>
          <w:p>
            <w:pPr>
              <w:ind w:left="20"/>
              <w:spacing w:after="0" w:line="190" w:lineRule="exact"/>
              <w:rPr>
                <w:sz w:val="20"/>
                <w:szCs w:val="20"/>
                <w:color w:val="auto"/>
              </w:rPr>
            </w:pPr>
            <w:r>
              <w:rPr>
                <w:rFonts w:ascii="Arial" w:cs="Arial" w:eastAsia="Arial" w:hAnsi="Arial"/>
                <w:sz w:val="18"/>
                <w:szCs w:val="18"/>
                <w:color w:val="auto"/>
                <w:w w:val="89"/>
              </w:rPr>
              <w:t>Debt</w:t>
            </w:r>
          </w:p>
        </w:tc>
        <w:tc>
          <w:tcPr>
            <w:tcW w:w="1200" w:type="dxa"/>
            <w:vAlign w:val="bottom"/>
            <w:gridSpan w:val="7"/>
          </w:tcPr>
          <w:p>
            <w:pPr>
              <w:jc w:val="center"/>
              <w:ind w:right="100"/>
              <w:spacing w:after="0" w:line="190" w:lineRule="exact"/>
              <w:rPr>
                <w:sz w:val="20"/>
                <w:szCs w:val="20"/>
                <w:color w:val="auto"/>
              </w:rPr>
            </w:pPr>
            <w:r>
              <w:rPr>
                <w:rFonts w:ascii="Arial" w:cs="Arial" w:eastAsia="Arial" w:hAnsi="Arial"/>
                <w:sz w:val="18"/>
                <w:szCs w:val="18"/>
                <w:color w:val="auto"/>
                <w:w w:val="90"/>
              </w:rPr>
              <w:t>Last Three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400" w:type="dxa"/>
            <w:vAlign w:val="bottom"/>
          </w:tcPr>
          <w:p>
            <w:pPr>
              <w:ind w:left="40"/>
              <w:spacing w:after="0" w:line="190" w:lineRule="exact"/>
              <w:rPr>
                <w:sz w:val="20"/>
                <w:szCs w:val="20"/>
                <w:color w:val="auto"/>
              </w:rPr>
            </w:pPr>
            <w:r>
              <w:rPr>
                <w:rFonts w:ascii="Arial" w:cs="Arial" w:eastAsia="Arial" w:hAnsi="Arial"/>
                <w:sz w:val="18"/>
                <w:szCs w:val="18"/>
                <w:color w:val="auto"/>
                <w:w w:val="89"/>
              </w:rPr>
              <w:t>Debt</w:t>
            </w:r>
          </w:p>
        </w:tc>
        <w:tc>
          <w:tcPr>
            <w:tcW w:w="240" w:type="dxa"/>
            <w:vAlign w:val="bottom"/>
          </w:tcPr>
          <w:p>
            <w:pPr>
              <w:spacing w:after="0"/>
              <w:rPr>
                <w:sz w:val="16"/>
                <w:szCs w:val="16"/>
                <w:color w:val="auto"/>
              </w:rPr>
            </w:pPr>
          </w:p>
        </w:tc>
        <w:tc>
          <w:tcPr>
            <w:tcW w:w="980" w:type="dxa"/>
            <w:vAlign w:val="bottom"/>
            <w:gridSpan w:val="6"/>
          </w:tcPr>
          <w:p>
            <w:pPr>
              <w:jc w:val="center"/>
              <w:ind w:right="380"/>
              <w:spacing w:after="0" w:line="190" w:lineRule="exact"/>
              <w:rPr>
                <w:sz w:val="20"/>
                <w:szCs w:val="20"/>
                <w:color w:val="auto"/>
              </w:rPr>
            </w:pPr>
            <w:r>
              <w:rPr>
                <w:rFonts w:ascii="Arial" w:cs="Arial" w:eastAsia="Arial" w:hAnsi="Arial"/>
                <w:sz w:val="18"/>
                <w:szCs w:val="18"/>
                <w:color w:val="auto"/>
                <w:w w:val="93"/>
              </w:rPr>
              <w:t>Last Six</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5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gridSpan w:val="4"/>
          </w:tcPr>
          <w:p>
            <w:pPr>
              <w:jc w:val="center"/>
              <w:ind w:right="20"/>
              <w:spacing w:after="0" w:line="196" w:lineRule="exact"/>
              <w:rPr>
                <w:sz w:val="20"/>
                <w:szCs w:val="20"/>
                <w:color w:val="auto"/>
              </w:rPr>
            </w:pPr>
            <w:r>
              <w:rPr>
                <w:rFonts w:ascii="Arial" w:cs="Arial" w:eastAsia="Arial" w:hAnsi="Arial"/>
                <w:sz w:val="18"/>
                <w:szCs w:val="18"/>
                <w:color w:val="auto"/>
                <w:w w:val="94"/>
              </w:rPr>
              <w:t>Months</w:t>
            </w:r>
          </w:p>
        </w:tc>
        <w:tc>
          <w:tcPr>
            <w:tcW w:w="2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200"/>
              <w:spacing w:after="0" w:line="196" w:lineRule="exact"/>
              <w:rPr>
                <w:sz w:val="20"/>
                <w:szCs w:val="20"/>
                <w:color w:val="auto"/>
              </w:rPr>
            </w:pPr>
            <w:r>
              <w:rPr>
                <w:rFonts w:ascii="Arial" w:cs="Arial" w:eastAsia="Arial" w:hAnsi="Arial"/>
                <w:sz w:val="18"/>
                <w:szCs w:val="18"/>
                <w:color w:val="auto"/>
                <w:w w:val="90"/>
              </w:rPr>
              <w:t>Investment</w:t>
            </w:r>
          </w:p>
        </w:tc>
        <w:tc>
          <w:tcPr>
            <w:tcW w:w="1480" w:type="dxa"/>
            <w:vAlign w:val="bottom"/>
            <w:gridSpan w:val="4"/>
          </w:tcPr>
          <w:p>
            <w:pPr>
              <w:jc w:val="center"/>
              <w:ind w:right="360"/>
              <w:spacing w:after="0" w:line="196" w:lineRule="exact"/>
              <w:rPr>
                <w:sz w:val="20"/>
                <w:szCs w:val="20"/>
                <w:color w:val="auto"/>
              </w:rPr>
            </w:pPr>
            <w:r>
              <w:rPr>
                <w:rFonts w:ascii="Arial" w:cs="Arial" w:eastAsia="Arial" w:hAnsi="Arial"/>
                <w:sz w:val="18"/>
                <w:szCs w:val="18"/>
                <w:color w:val="auto"/>
                <w:w w:val="90"/>
              </w:rPr>
              <w:t>Investment</w:t>
            </w:r>
          </w:p>
        </w:tc>
        <w:tc>
          <w:tcPr>
            <w:tcW w:w="1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color w:val="auto"/>
                <w:w w:val="94"/>
              </w:rPr>
              <w:t>Months</w:t>
            </w:r>
          </w:p>
        </w:tc>
        <w:tc>
          <w:tcPr>
            <w:tcW w:w="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5"/>
          </w:tcPr>
          <w:p>
            <w:pPr>
              <w:jc w:val="center"/>
              <w:ind w:right="200"/>
              <w:spacing w:after="0" w:line="196" w:lineRule="exact"/>
              <w:rPr>
                <w:sz w:val="20"/>
                <w:szCs w:val="20"/>
                <w:color w:val="auto"/>
              </w:rPr>
            </w:pPr>
            <w:r>
              <w:rPr>
                <w:rFonts w:ascii="Arial" w:cs="Arial" w:eastAsia="Arial" w:hAnsi="Arial"/>
                <w:sz w:val="18"/>
                <w:szCs w:val="18"/>
                <w:color w:val="auto"/>
                <w:w w:val="90"/>
              </w:rPr>
              <w:t>Investment</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8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Commercial Real Estate</w:t>
            </w:r>
          </w:p>
        </w:tc>
        <w:tc>
          <w:tcPr>
            <w:tcW w:w="1200" w:type="dxa"/>
            <w:vAlign w:val="bottom"/>
            <w:gridSpan w:val="7"/>
            <w:shd w:val="clear" w:color="auto" w:fill="CFF0FC"/>
          </w:tcPr>
          <w:p>
            <w:pPr>
              <w:jc w:val="center"/>
              <w:ind w:left="81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Commercial Real Estate</w:t>
            </w:r>
          </w:p>
        </w:tc>
        <w:tc>
          <w:tcPr>
            <w:tcW w:w="1220" w:type="dxa"/>
            <w:vAlign w:val="bottom"/>
            <w:gridSpan w:val="7"/>
            <w:shd w:val="clear" w:color="auto" w:fill="CFF0FC"/>
          </w:tcPr>
          <w:p>
            <w:pPr>
              <w:jc w:val="center"/>
              <w:ind w:left="790"/>
              <w:spacing w:after="0"/>
              <w:rPr>
                <w:sz w:val="20"/>
                <w:szCs w:val="20"/>
                <w:color w:val="auto"/>
              </w:rPr>
            </w:pPr>
            <w:r>
              <w:rPr>
                <w:rFonts w:ascii="Arial" w:cs="Arial" w:eastAsia="Arial" w:hAnsi="Arial"/>
                <w:sz w:val="18"/>
                <w:szCs w:val="18"/>
                <w:color w:val="auto"/>
                <w:w w:val="99"/>
              </w:rPr>
              <w:t>-</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Ag Real Estate</w:t>
            </w:r>
          </w:p>
        </w:tc>
        <w:tc>
          <w:tcPr>
            <w:tcW w:w="380" w:type="dxa"/>
            <w:vAlign w:val="bottom"/>
          </w:tcPr>
          <w:p>
            <w:pPr>
              <w:spacing w:after="0"/>
              <w:rPr>
                <w:sz w:val="19"/>
                <w:szCs w:val="19"/>
                <w:color w:val="auto"/>
              </w:rPr>
            </w:pPr>
          </w:p>
        </w:tc>
        <w:tc>
          <w:tcPr>
            <w:tcW w:w="1200" w:type="dxa"/>
            <w:vAlign w:val="bottom"/>
            <w:gridSpan w:val="7"/>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spacing w:after="0"/>
              <w:rPr>
                <w:sz w:val="20"/>
                <w:szCs w:val="20"/>
                <w:color w:val="auto"/>
              </w:rPr>
            </w:pPr>
            <w:r>
              <w:rPr>
                <w:rFonts w:ascii="Arial" w:cs="Arial" w:eastAsia="Arial" w:hAnsi="Arial"/>
                <w:sz w:val="18"/>
                <w:szCs w:val="18"/>
                <w:color w:val="auto"/>
              </w:rPr>
              <w:t>Ag Real Estate</w:t>
            </w:r>
          </w:p>
        </w:tc>
        <w:tc>
          <w:tcPr>
            <w:tcW w:w="400" w:type="dxa"/>
            <w:vAlign w:val="bottom"/>
          </w:tcPr>
          <w:p>
            <w:pPr>
              <w:spacing w:after="0"/>
              <w:rPr>
                <w:sz w:val="19"/>
                <w:szCs w:val="19"/>
                <w:color w:val="auto"/>
              </w:rPr>
            </w:pPr>
          </w:p>
        </w:tc>
        <w:tc>
          <w:tcPr>
            <w:tcW w:w="1220" w:type="dxa"/>
            <w:vAlign w:val="bottom"/>
            <w:gridSpan w:val="7"/>
          </w:tcPr>
          <w:p>
            <w:pPr>
              <w:jc w:val="center"/>
              <w:ind w:left="79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1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w:t>
            </w:r>
          </w:p>
        </w:tc>
        <w:tc>
          <w:tcPr>
            <w:tcW w:w="380" w:type="dxa"/>
            <w:vAlign w:val="bottom"/>
            <w:shd w:val="clear" w:color="auto" w:fill="CFF0FC"/>
          </w:tcPr>
          <w:p>
            <w:pPr>
              <w:spacing w:after="0"/>
              <w:rPr>
                <w:sz w:val="20"/>
                <w:szCs w:val="20"/>
                <w:color w:val="auto"/>
              </w:rPr>
            </w:pPr>
          </w:p>
        </w:tc>
        <w:tc>
          <w:tcPr>
            <w:tcW w:w="1200" w:type="dxa"/>
            <w:vAlign w:val="bottom"/>
            <w:gridSpan w:val="7"/>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812</w:t>
            </w:r>
          </w:p>
        </w:tc>
        <w:tc>
          <w:tcPr>
            <w:tcW w:w="15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FF0FC"/>
          </w:tcPr>
          <w:p>
            <w:pPr>
              <w:spacing w:after="0"/>
              <w:rPr>
                <w:sz w:val="20"/>
                <w:szCs w:val="20"/>
                <w:color w:val="auto"/>
              </w:rPr>
            </w:pPr>
          </w:p>
        </w:tc>
        <w:tc>
          <w:tcPr>
            <w:tcW w:w="1220" w:type="dxa"/>
            <w:vAlign w:val="bottom"/>
            <w:gridSpan w:val="7"/>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812</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80" w:type="dxa"/>
            <w:vAlign w:val="bottom"/>
          </w:tcPr>
          <w:p>
            <w:pPr>
              <w:spacing w:after="0"/>
              <w:rPr>
                <w:sz w:val="20"/>
                <w:szCs w:val="20"/>
                <w:color w:val="auto"/>
              </w:rPr>
            </w:pPr>
          </w:p>
        </w:tc>
        <w:tc>
          <w:tcPr>
            <w:tcW w:w="1200" w:type="dxa"/>
            <w:vAlign w:val="bottom"/>
            <w:gridSpan w:val="7"/>
          </w:tcPr>
          <w:p>
            <w:pPr>
              <w:jc w:val="center"/>
              <w:ind w:left="8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400" w:type="dxa"/>
            <w:vAlign w:val="bottom"/>
          </w:tcPr>
          <w:p>
            <w:pPr>
              <w:spacing w:after="0"/>
              <w:rPr>
                <w:sz w:val="20"/>
                <w:szCs w:val="20"/>
                <w:color w:val="auto"/>
              </w:rPr>
            </w:pPr>
          </w:p>
        </w:tc>
        <w:tc>
          <w:tcPr>
            <w:tcW w:w="1220" w:type="dxa"/>
            <w:vAlign w:val="bottom"/>
            <w:gridSpan w:val="7"/>
          </w:tcPr>
          <w:p>
            <w:pPr>
              <w:jc w:val="center"/>
              <w:ind w:left="79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 the three and six month periods ended June 30, 2020 and 2019, there were no TDRs that subsequently defaulted after modification.</w:t>
      </w:r>
    </w:p>
    <w:p>
      <w:pPr>
        <w:spacing w:after="0" w:line="19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For the six month period ended June 30, 2020, there was one impaired commercial real estate loan of $481 thousand that was classified as TDR paid off. There were no impaired loans classified as TDR paid off for the six month period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right="3460" w:hanging="1325"/>
        <w:spacing w:after="0" w:line="527" w:lineRule="auto"/>
        <w:tabs>
          <w:tab w:leader="none" w:pos="43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26"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and six months ended June 30, 2020 and June 30, 2019 and for the year ended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Three Months Ended June 30, 2020</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150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ind w:left="1500"/>
              <w:spacing w:after="0"/>
              <w:rPr>
                <w:sz w:val="20"/>
                <w:szCs w:val="20"/>
                <w:color w:val="auto"/>
              </w:rPr>
            </w:pPr>
            <w:r>
              <w:rPr>
                <w:rFonts w:ascii="Arial" w:cs="Arial" w:eastAsia="Arial" w:hAnsi="Arial"/>
                <w:sz w:val="18"/>
                <w:szCs w:val="18"/>
                <w:color w:val="auto"/>
              </w:rPr>
              <w:t>NOTE 4 LOANS (Continued)</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Three Months Ended June 30, 2019</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Unpaid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10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2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FF0FC"/>
              <w:right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150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rPr>
              <w:t>YTD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Six Months Ended June 30, 2020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847</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150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rPr>
              <w:t>YTD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Six Months Ended June 30,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June 30, 2020, the Company had no foreclosed residential real estate property obtained by physical possession and $854 thousand of consumer mortgage loans secured by residential real estate properties for which foreclosure proceedings are in process according to local jurisdictions. As of June 30, 2019, the Company had $143 thousand of foreclosed residential real estate property obtained by physical possession and $571 thousand of consumer mortgage loans secured by residential real estate properties for which foreclosure proceedings were in process according to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09"/>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Six Months</w:t>
            </w:r>
          </w:p>
        </w:tc>
        <w:tc>
          <w:tcPr>
            <w:tcW w:w="130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Twelve Months</w:t>
            </w:r>
          </w:p>
        </w:tc>
      </w:tr>
      <w:tr>
        <w:trPr>
          <w:trHeight w:val="230"/>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r>
      <w:tr>
        <w:trPr>
          <w:trHeight w:val="230"/>
        </w:trPr>
        <w:tc>
          <w:tcPr>
            <w:tcW w:w="520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June 30, 2020</w:t>
            </w:r>
          </w:p>
        </w:tc>
        <w:tc>
          <w:tcPr>
            <w:tcW w:w="1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6,775</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1,138</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156</w:t>
            </w: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7,228</w:t>
            </w: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479</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7,707</w:t>
            </w: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3460" w:hanging="1325"/>
        <w:spacing w:after="0" w:line="809" w:lineRule="auto"/>
        <w:tabs>
          <w:tab w:leader="none" w:pos="43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Additional analysis, presented in thousands, related to the allowance for credit losses for the three and six months ended June 30, 2020 and</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June 30, 2019 in addition to the ending balances as of December 31, 2019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4"/>
              </w:rPr>
              <w:t>Loan</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Commitment</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Real Estate</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2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5"/>
              </w:rPr>
              <w:t>Credit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2020</w:t>
            </w: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3,873</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2,750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w:t>
            </w:r>
          </w:p>
        </w:tc>
        <w:tc>
          <w:tcPr>
            <w:tcW w:w="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5"/>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4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4,458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2,423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605</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438</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560</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938</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4,400</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1,863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605</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4"/>
              </w:rPr>
              <w:t>balance: loans</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173,615</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194,310</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107,615</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588,176</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230,748</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50,259</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1,344,723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5,990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3,258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1,822</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12,567</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172,724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188,320</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106,992</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584,918</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228,926</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50,136</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1,332,016</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w w:val="94"/>
              </w:rPr>
              <w:t>balance: loans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quality</w:t>
            </w:r>
          </w:p>
        </w:tc>
        <w:tc>
          <w:tcPr>
            <w:tcW w:w="12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160" w:type="dxa"/>
            <w:vAlign w:val="bottom"/>
            <w:gridSpan w:val="8"/>
          </w:tcPr>
          <w:p>
            <w:pPr>
              <w:jc w:val="right"/>
              <w:ind w:right="430"/>
              <w:spacing w:after="0"/>
              <w:rPr>
                <w:sz w:val="20"/>
                <w:szCs w:val="20"/>
                <w:color w:val="auto"/>
              </w:rPr>
            </w:pPr>
            <w:r>
              <w:rPr>
                <w:rFonts w:ascii="Arial" w:cs="Arial" w:eastAsia="Arial" w:hAnsi="Arial"/>
                <w:sz w:val="18"/>
                <w:szCs w:val="18"/>
                <w:color w:val="auto"/>
              </w:rPr>
              <w:t>NOTE 4 LOANS (Continued)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2"/>
              </w:rPr>
              <w:t>Unfunded</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Commitment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3"/>
              </w:rPr>
              <w:t>Consumer</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5"/>
              </w:rPr>
              <w:t>Agricultural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4"/>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0"/>
              </w:rPr>
              <w:t>and Industrial</w:t>
            </w: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200" w:type="dxa"/>
            <w:vAlign w:val="bottom"/>
            <w:gridSpan w:val="4"/>
          </w:tcPr>
          <w:p>
            <w:pPr>
              <w:ind w:left="16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38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58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0"/>
              </w:rPr>
              <w:t>Ending Balance</w:t>
            </w:r>
          </w:p>
        </w:tc>
        <w:tc>
          <w:tcPr>
            <w:tcW w:w="22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7,510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loans</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2"/>
              </w:rPr>
              <w:t>acquired</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with</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deteriorated</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8"/>
              </w:rPr>
              <w:t>credit quality</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Ending balance</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164,691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198,859</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111,949</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550,082</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144,009</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49,409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1,218,999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for</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163,816</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198,859</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111,258</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549,783</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142,694</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49,376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1,215,786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spacing w:after="0"/>
              <w:rPr>
                <w:sz w:val="20"/>
                <w:szCs w:val="20"/>
                <w:color w:val="auto"/>
              </w:rPr>
            </w:pPr>
            <w:r>
              <w:rPr>
                <w:rFonts w:ascii="Arial" w:cs="Arial" w:eastAsia="Arial" w:hAnsi="Arial"/>
                <w:sz w:val="18"/>
                <w:szCs w:val="18"/>
                <w:color w:val="auto"/>
              </w:rPr>
              <w:t>deteriorated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9"/>
              </w:rPr>
              <w:t>credit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060" w:type="dxa"/>
            <w:vAlign w:val="bottom"/>
            <w:gridSpan w:val="6"/>
          </w:tcPr>
          <w:p>
            <w:pPr>
              <w:jc w:val="right"/>
              <w:ind w:right="390"/>
              <w:spacing w:after="0"/>
              <w:rPr>
                <w:sz w:val="20"/>
                <w:szCs w:val="20"/>
                <w:color w:val="auto"/>
              </w:rPr>
            </w:pPr>
            <w:r>
              <w:rPr>
                <w:rFonts w:ascii="Arial" w:cs="Arial" w:eastAsia="Arial" w:hAnsi="Arial"/>
                <w:sz w:val="18"/>
                <w:szCs w:val="18"/>
                <w:color w:val="auto"/>
              </w:rPr>
              <w:t>NOTE 4 LOANS (Continued)</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Loan</w:t>
            </w: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7"/>
              </w:rPr>
              <w:t>Commitment</w:t>
            </w: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Commercial</w:t>
            </w:r>
          </w:p>
        </w:tc>
        <w:tc>
          <w:tcPr>
            <w:tcW w:w="11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1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Credit</w:t>
            </w:r>
          </w:p>
        </w:tc>
        <w:tc>
          <w:tcPr>
            <w:tcW w:w="11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3,203</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42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3,320</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1,461</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4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221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730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3,320</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1,306</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526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CFF0FC"/>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158,957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193,616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113,906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442,538</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133,014</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49,100</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1,091,131</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862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191</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196"/>
        </w:trPr>
        <w:tc>
          <w:tcPr>
            <w:tcW w:w="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CFF0FC"/>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157,909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193,616</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113,832</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442,347</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131,848</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49,068</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1,088,620</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700" w:type="dxa"/>
            <w:vAlign w:val="bottom"/>
            <w:gridSpan w:val="8"/>
          </w:tcPr>
          <w:p>
            <w:pPr>
              <w:ind w:left="6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7"/>
              </w:rPr>
              <w:t>Commitment</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&amp; Letters of</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98"/>
              </w:rPr>
              <w:t>Real Estate</w:t>
            </w:r>
          </w:p>
        </w:tc>
        <w:tc>
          <w:tcPr>
            <w:tcW w:w="12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  Months</w:t>
            </w:r>
          </w:p>
        </w:tc>
        <w:tc>
          <w:tcPr>
            <w:tcW w:w="6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0"/>
              </w:rPr>
              <w:t>June 30, 2020</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Recoveries</w:t>
            </w: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unfunded</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CFF0FC"/>
            </w:tcBorders>
          </w:tcPr>
          <w:p>
            <w:pPr>
              <w:spacing w:after="0"/>
              <w:rPr>
                <w:sz w:val="22"/>
                <w:szCs w:val="22"/>
                <w:color w:val="auto"/>
              </w:rPr>
            </w:pPr>
          </w:p>
        </w:tc>
        <w:tc>
          <w:tcPr>
            <w:tcW w:w="4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5"/>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tcBorders>
              <w:lef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3"/>
                <w:szCs w:val="23"/>
                <w:color w:val="auto"/>
              </w:rPr>
            </w:pPr>
          </w:p>
        </w:tc>
        <w:tc>
          <w:tcPr>
            <w:tcW w:w="4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w w:val="99"/>
              </w:rPr>
              <w:t>acquired with</w:t>
            </w: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6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FINANCING</w:t>
            </w:r>
          </w:p>
        </w:tc>
        <w:tc>
          <w:tcPr>
            <w:tcW w:w="6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lef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173,615</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194,310</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107,615</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588,176</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230,748</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50,259</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1,344,723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172,724</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188,320</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106,992</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584,918</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228,926</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50,136</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1,332,016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9"/>
              </w:rPr>
              <w:t>acquired with</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quality</w:t>
            </w:r>
          </w:p>
        </w:tc>
        <w:tc>
          <w:tcPr>
            <w:tcW w:w="64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700" w:type="dxa"/>
            <w:vAlign w:val="bottom"/>
            <w:gridSpan w:val="8"/>
          </w:tcPr>
          <w:p>
            <w:pPr>
              <w:ind w:left="60"/>
              <w:spacing w:after="0"/>
              <w:rPr>
                <w:sz w:val="20"/>
                <w:szCs w:val="20"/>
                <w:color w:val="auto"/>
              </w:rPr>
            </w:pPr>
            <w:r>
              <w:rPr>
                <w:rFonts w:ascii="Arial" w:cs="Arial" w:eastAsia="Arial" w:hAnsi="Arial"/>
                <w:sz w:val="18"/>
                <w:szCs w:val="18"/>
                <w:color w:val="auto"/>
              </w:rPr>
              <w:t>NOTE 4 LOANS (Continued)</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w:t>
            </w: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color w:val="auto"/>
                <w:w w:val="97"/>
              </w:rPr>
              <w:t>Commitment</w:t>
            </w: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Commercial</w:t>
            </w:r>
          </w:p>
        </w:tc>
        <w:tc>
          <w:tcPr>
            <w:tcW w:w="11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1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and Industrial</w:t>
            </w:r>
          </w:p>
        </w:tc>
        <w:tc>
          <w:tcPr>
            <w:tcW w:w="9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Credit</w:t>
            </w:r>
          </w:p>
        </w:tc>
        <w:tc>
          <w:tcPr>
            <w:tcW w:w="11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  Months</w:t>
            </w:r>
          </w:p>
        </w:tc>
        <w:tc>
          <w:tcPr>
            <w:tcW w:w="6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0"/>
              </w:rPr>
              <w:t>June 30, 2019</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9"/>
                <w:szCs w:val="19"/>
                <w:color w:val="auto"/>
              </w:rPr>
            </w:pPr>
          </w:p>
        </w:tc>
        <w:tc>
          <w:tcPr>
            <w:tcW w:w="42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Borders>
              <w:left w:val="single" w:sz="8" w:color="auto"/>
            </w:tcBorders>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Recoveries</w:t>
            </w: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tcBorders>
              <w:left w:val="single" w:sz="8" w:color="auto"/>
            </w:tcBorders>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unfunded</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FF0FC"/>
            </w:tcBorders>
          </w:tcPr>
          <w:p>
            <w:pPr>
              <w:spacing w:after="0"/>
              <w:rPr>
                <w:sz w:val="22"/>
                <w:szCs w:val="22"/>
                <w:color w:val="auto"/>
              </w:rPr>
            </w:pPr>
          </w:p>
        </w:tc>
        <w:tc>
          <w:tcPr>
            <w:tcW w:w="4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5"/>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tcBorders>
              <w:lef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w w:val="99"/>
              </w:rPr>
              <w:t>acquired with</w:t>
            </w: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6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FINANCING</w:t>
            </w:r>
          </w:p>
        </w:tc>
        <w:tc>
          <w:tcPr>
            <w:tcW w:w="6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158,957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193,616</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113,906</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442,538</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133,014</w:t>
            </w:r>
          </w:p>
        </w:tc>
        <w:tc>
          <w:tcPr>
            <w:tcW w:w="10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49,100</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1,091,131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4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5"/>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left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157,909</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193,616</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113,832</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442,347</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131,848</w:t>
            </w:r>
          </w:p>
        </w:tc>
        <w:tc>
          <w:tcPr>
            <w:tcW w:w="1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49,068</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1,088,620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9"/>
              </w:rPr>
              <w:t>acquired with</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quality</w:t>
            </w:r>
          </w:p>
        </w:tc>
        <w:tc>
          <w:tcPr>
            <w:tcW w:w="64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080" w:type="dxa"/>
            <w:vAlign w:val="bottom"/>
            <w:shd w:val="clear" w:color="auto" w:fill="E5B8B7"/>
          </w:tcPr>
          <w:p>
            <w:pPr>
              <w:spacing w:after="0"/>
              <w:rPr>
                <w:sz w:val="8"/>
                <w:szCs w:val="8"/>
                <w:color w:val="auto"/>
              </w:rPr>
            </w:pPr>
          </w:p>
        </w:tc>
        <w:tc>
          <w:tcPr>
            <w:tcW w:w="640" w:type="dxa"/>
            <w:vAlign w:val="bottom"/>
            <w:shd w:val="clear" w:color="auto" w:fill="E5B8B7"/>
          </w:tcPr>
          <w:p>
            <w:pPr>
              <w:spacing w:after="0"/>
              <w:rPr>
                <w:sz w:val="8"/>
                <w:szCs w:val="8"/>
                <w:color w:val="auto"/>
              </w:rPr>
            </w:pPr>
          </w:p>
        </w:tc>
        <w:tc>
          <w:tcPr>
            <w:tcW w:w="60" w:type="dxa"/>
            <w:vAlign w:val="bottom"/>
            <w:shd w:val="clear" w:color="auto" w:fill="E5B8B7"/>
          </w:tcPr>
          <w:p>
            <w:pPr>
              <w:spacing w:after="0"/>
              <w:rPr>
                <w:sz w:val="8"/>
                <w:szCs w:val="8"/>
                <w:color w:val="auto"/>
              </w:rPr>
            </w:pPr>
          </w:p>
        </w:tc>
        <w:tc>
          <w:tcPr>
            <w:tcW w:w="160" w:type="dxa"/>
            <w:vAlign w:val="bottom"/>
            <w:shd w:val="clear" w:color="auto" w:fill="E5B8B7"/>
          </w:tcPr>
          <w:p>
            <w:pPr>
              <w:spacing w:after="0"/>
              <w:rPr>
                <w:sz w:val="8"/>
                <w:szCs w:val="8"/>
                <w:color w:val="auto"/>
              </w:rPr>
            </w:pPr>
          </w:p>
        </w:tc>
        <w:tc>
          <w:tcPr>
            <w:tcW w:w="660" w:type="dxa"/>
            <w:vAlign w:val="bottom"/>
            <w:shd w:val="clear" w:color="auto" w:fill="E5B8B7"/>
          </w:tcPr>
          <w:p>
            <w:pPr>
              <w:spacing w:after="0"/>
              <w:rPr>
                <w:sz w:val="8"/>
                <w:szCs w:val="8"/>
                <w:color w:val="auto"/>
              </w:rPr>
            </w:pPr>
          </w:p>
        </w:tc>
        <w:tc>
          <w:tcPr>
            <w:tcW w:w="120" w:type="dxa"/>
            <w:vAlign w:val="bottom"/>
            <w:tcBorders>
              <w:right w:val="single" w:sz="8" w:color="E5B8B7"/>
            </w:tcBorders>
            <w:shd w:val="clear" w:color="auto" w:fill="E5B8B7"/>
          </w:tcPr>
          <w:p>
            <w:pPr>
              <w:spacing w:after="0"/>
              <w:rPr>
                <w:sz w:val="8"/>
                <w:szCs w:val="8"/>
                <w:color w:val="auto"/>
              </w:rPr>
            </w:pPr>
          </w:p>
        </w:tc>
        <w:tc>
          <w:tcPr>
            <w:tcW w:w="260" w:type="dxa"/>
            <w:vAlign w:val="bottom"/>
            <w:shd w:val="clear" w:color="auto" w:fill="E5B8B7"/>
          </w:tcPr>
          <w:p>
            <w:pPr>
              <w:spacing w:after="0"/>
              <w:rPr>
                <w:sz w:val="8"/>
                <w:szCs w:val="8"/>
                <w:color w:val="auto"/>
              </w:rPr>
            </w:pPr>
          </w:p>
        </w:tc>
        <w:tc>
          <w:tcPr>
            <w:tcW w:w="700" w:type="dxa"/>
            <w:vAlign w:val="bottom"/>
            <w:shd w:val="clear" w:color="auto" w:fill="E5B8B7"/>
          </w:tcPr>
          <w:p>
            <w:pPr>
              <w:spacing w:after="0"/>
              <w:rPr>
                <w:sz w:val="8"/>
                <w:szCs w:val="8"/>
                <w:color w:val="auto"/>
              </w:rPr>
            </w:pPr>
          </w:p>
        </w:tc>
        <w:tc>
          <w:tcPr>
            <w:tcW w:w="100" w:type="dxa"/>
            <w:vAlign w:val="bottom"/>
            <w:tcBorders>
              <w:right w:val="single" w:sz="8" w:color="E5B8B7"/>
            </w:tcBorders>
            <w:shd w:val="clear" w:color="auto" w:fill="E5B8B7"/>
          </w:tcPr>
          <w:p>
            <w:pPr>
              <w:spacing w:after="0"/>
              <w:rPr>
                <w:sz w:val="8"/>
                <w:szCs w:val="8"/>
                <w:color w:val="auto"/>
              </w:rPr>
            </w:pPr>
          </w:p>
        </w:tc>
        <w:tc>
          <w:tcPr>
            <w:tcW w:w="280" w:type="dxa"/>
            <w:vAlign w:val="bottom"/>
            <w:shd w:val="clear" w:color="auto" w:fill="E5B8B7"/>
          </w:tcPr>
          <w:p>
            <w:pPr>
              <w:spacing w:after="0"/>
              <w:rPr>
                <w:sz w:val="8"/>
                <w:szCs w:val="8"/>
                <w:color w:val="auto"/>
              </w:rPr>
            </w:pPr>
          </w:p>
        </w:tc>
        <w:tc>
          <w:tcPr>
            <w:tcW w:w="680" w:type="dxa"/>
            <w:vAlign w:val="bottom"/>
            <w:shd w:val="clear" w:color="auto" w:fill="E5B8B7"/>
          </w:tcPr>
          <w:p>
            <w:pPr>
              <w:spacing w:after="0"/>
              <w:rPr>
                <w:sz w:val="8"/>
                <w:szCs w:val="8"/>
                <w:color w:val="auto"/>
              </w:rPr>
            </w:pPr>
          </w:p>
        </w:tc>
        <w:tc>
          <w:tcPr>
            <w:tcW w:w="120" w:type="dxa"/>
            <w:vAlign w:val="bottom"/>
            <w:tcBorders>
              <w:right w:val="single" w:sz="8" w:color="E5B8B7"/>
            </w:tcBorders>
            <w:shd w:val="clear" w:color="auto" w:fill="E5B8B7"/>
          </w:tcPr>
          <w:p>
            <w:pPr>
              <w:spacing w:after="0"/>
              <w:rPr>
                <w:sz w:val="8"/>
                <w:szCs w:val="8"/>
                <w:color w:val="auto"/>
              </w:rPr>
            </w:pPr>
          </w:p>
        </w:tc>
        <w:tc>
          <w:tcPr>
            <w:tcW w:w="260" w:type="dxa"/>
            <w:vAlign w:val="bottom"/>
            <w:shd w:val="clear" w:color="auto" w:fill="E5B8B7"/>
          </w:tcPr>
          <w:p>
            <w:pPr>
              <w:spacing w:after="0"/>
              <w:rPr>
                <w:sz w:val="8"/>
                <w:szCs w:val="8"/>
                <w:color w:val="auto"/>
              </w:rPr>
            </w:pPr>
          </w:p>
        </w:tc>
        <w:tc>
          <w:tcPr>
            <w:tcW w:w="700" w:type="dxa"/>
            <w:vAlign w:val="bottom"/>
            <w:shd w:val="clear" w:color="auto" w:fill="E5B8B7"/>
          </w:tcPr>
          <w:p>
            <w:pPr>
              <w:spacing w:after="0"/>
              <w:rPr>
                <w:sz w:val="8"/>
                <w:szCs w:val="8"/>
                <w:color w:val="auto"/>
              </w:rPr>
            </w:pPr>
          </w:p>
        </w:tc>
        <w:tc>
          <w:tcPr>
            <w:tcW w:w="100" w:type="dxa"/>
            <w:vAlign w:val="bottom"/>
            <w:tcBorders>
              <w:right w:val="single" w:sz="8" w:color="E5B8B7"/>
            </w:tcBorders>
            <w:shd w:val="clear" w:color="auto" w:fill="E5B8B7"/>
          </w:tcPr>
          <w:p>
            <w:pPr>
              <w:spacing w:after="0"/>
              <w:rPr>
                <w:sz w:val="8"/>
                <w:szCs w:val="8"/>
                <w:color w:val="auto"/>
              </w:rPr>
            </w:pPr>
          </w:p>
        </w:tc>
        <w:tc>
          <w:tcPr>
            <w:tcW w:w="320" w:type="dxa"/>
            <w:vAlign w:val="bottom"/>
            <w:shd w:val="clear" w:color="auto" w:fill="E5B8B7"/>
          </w:tcPr>
          <w:p>
            <w:pPr>
              <w:spacing w:after="0"/>
              <w:rPr>
                <w:sz w:val="8"/>
                <w:szCs w:val="8"/>
                <w:color w:val="auto"/>
              </w:rPr>
            </w:pPr>
          </w:p>
        </w:tc>
        <w:tc>
          <w:tcPr>
            <w:tcW w:w="760" w:type="dxa"/>
            <w:vAlign w:val="bottom"/>
            <w:shd w:val="clear" w:color="auto" w:fill="E5B8B7"/>
          </w:tcPr>
          <w:p>
            <w:pPr>
              <w:spacing w:after="0"/>
              <w:rPr>
                <w:sz w:val="8"/>
                <w:szCs w:val="8"/>
                <w:color w:val="auto"/>
              </w:rPr>
            </w:pPr>
          </w:p>
        </w:tc>
        <w:tc>
          <w:tcPr>
            <w:tcW w:w="100" w:type="dxa"/>
            <w:vAlign w:val="bottom"/>
            <w:tcBorders>
              <w:right w:val="single" w:sz="8" w:color="E5B8B7"/>
            </w:tcBorders>
            <w:shd w:val="clear" w:color="auto" w:fill="E5B8B7"/>
          </w:tcPr>
          <w:p>
            <w:pPr>
              <w:spacing w:after="0"/>
              <w:rPr>
                <w:sz w:val="8"/>
                <w:szCs w:val="8"/>
                <w:color w:val="auto"/>
              </w:rPr>
            </w:pPr>
          </w:p>
        </w:tc>
        <w:tc>
          <w:tcPr>
            <w:tcW w:w="240" w:type="dxa"/>
            <w:vAlign w:val="bottom"/>
            <w:shd w:val="clear" w:color="auto" w:fill="E5B8B7"/>
          </w:tcPr>
          <w:p>
            <w:pPr>
              <w:spacing w:after="0"/>
              <w:rPr>
                <w:sz w:val="8"/>
                <w:szCs w:val="8"/>
                <w:color w:val="auto"/>
              </w:rPr>
            </w:pPr>
          </w:p>
        </w:tc>
        <w:tc>
          <w:tcPr>
            <w:tcW w:w="580" w:type="dxa"/>
            <w:vAlign w:val="bottom"/>
            <w:shd w:val="clear" w:color="auto" w:fill="E5B8B7"/>
          </w:tcPr>
          <w:p>
            <w:pPr>
              <w:spacing w:after="0"/>
              <w:rPr>
                <w:sz w:val="8"/>
                <w:szCs w:val="8"/>
                <w:color w:val="auto"/>
              </w:rPr>
            </w:pPr>
          </w:p>
        </w:tc>
        <w:tc>
          <w:tcPr>
            <w:tcW w:w="120" w:type="dxa"/>
            <w:vAlign w:val="bottom"/>
            <w:tcBorders>
              <w:right w:val="single" w:sz="8" w:color="E5B8B7"/>
            </w:tcBorders>
            <w:shd w:val="clear" w:color="auto" w:fill="E5B8B7"/>
          </w:tcPr>
          <w:p>
            <w:pPr>
              <w:spacing w:after="0"/>
              <w:rPr>
                <w:sz w:val="8"/>
                <w:szCs w:val="8"/>
                <w:color w:val="auto"/>
              </w:rPr>
            </w:pPr>
          </w:p>
        </w:tc>
        <w:tc>
          <w:tcPr>
            <w:tcW w:w="160" w:type="dxa"/>
            <w:vAlign w:val="bottom"/>
            <w:shd w:val="clear" w:color="auto" w:fill="E5B8B7"/>
          </w:tcPr>
          <w:p>
            <w:pPr>
              <w:spacing w:after="0"/>
              <w:rPr>
                <w:sz w:val="8"/>
                <w:szCs w:val="8"/>
                <w:color w:val="auto"/>
              </w:rPr>
            </w:pPr>
          </w:p>
        </w:tc>
        <w:tc>
          <w:tcPr>
            <w:tcW w:w="860" w:type="dxa"/>
            <w:vAlign w:val="bottom"/>
            <w:shd w:val="clear" w:color="auto" w:fill="E5B8B7"/>
          </w:tcPr>
          <w:p>
            <w:pPr>
              <w:spacing w:after="0"/>
              <w:rPr>
                <w:sz w:val="8"/>
                <w:szCs w:val="8"/>
                <w:color w:val="auto"/>
              </w:rPr>
            </w:pPr>
          </w:p>
        </w:tc>
        <w:tc>
          <w:tcPr>
            <w:tcW w:w="80" w:type="dxa"/>
            <w:vAlign w:val="bottom"/>
            <w:shd w:val="clear" w:color="auto" w:fill="E5B8B7"/>
          </w:tcPr>
          <w:p>
            <w:pPr>
              <w:spacing w:after="0"/>
              <w:rPr>
                <w:sz w:val="8"/>
                <w:szCs w:val="8"/>
                <w:color w:val="auto"/>
              </w:rPr>
            </w:pPr>
          </w:p>
        </w:tc>
        <w:tc>
          <w:tcPr>
            <w:tcW w:w="420" w:type="dxa"/>
            <w:vAlign w:val="bottom"/>
            <w:tcBorders>
              <w:left w:val="single" w:sz="8" w:color="E5B8B7"/>
            </w:tcBorders>
            <w:shd w:val="clear" w:color="auto" w:fill="E5B8B7"/>
          </w:tcPr>
          <w:p>
            <w:pPr>
              <w:spacing w:after="0"/>
              <w:rPr>
                <w:sz w:val="8"/>
                <w:szCs w:val="8"/>
                <w:color w:val="auto"/>
              </w:rPr>
            </w:pPr>
          </w:p>
        </w:tc>
        <w:tc>
          <w:tcPr>
            <w:tcW w:w="560" w:type="dxa"/>
            <w:vAlign w:val="bottom"/>
            <w:shd w:val="clear" w:color="auto" w:fill="E5B8B7"/>
          </w:tcPr>
          <w:p>
            <w:pPr>
              <w:spacing w:after="0"/>
              <w:rPr>
                <w:sz w:val="8"/>
                <w:szCs w:val="8"/>
                <w:color w:val="auto"/>
              </w:rPr>
            </w:pPr>
          </w:p>
        </w:tc>
        <w:tc>
          <w:tcPr>
            <w:tcW w:w="140" w:type="dxa"/>
            <w:vAlign w:val="bottom"/>
            <w:tcBorders>
              <w:right w:val="single" w:sz="8" w:color="E5B8B7"/>
            </w:tcBorders>
            <w:shd w:val="clear" w:color="auto" w:fill="E5B8B7"/>
          </w:tcPr>
          <w:p>
            <w:pPr>
              <w:spacing w:after="0"/>
              <w:rPr>
                <w:sz w:val="8"/>
                <w:szCs w:val="8"/>
                <w:color w:val="auto"/>
              </w:rPr>
            </w:pPr>
          </w:p>
        </w:tc>
        <w:tc>
          <w:tcPr>
            <w:tcW w:w="160" w:type="dxa"/>
            <w:vAlign w:val="bottom"/>
            <w:shd w:val="clear" w:color="auto" w:fill="E5B8B7"/>
          </w:tcPr>
          <w:p>
            <w:pPr>
              <w:spacing w:after="0"/>
              <w:rPr>
                <w:sz w:val="8"/>
                <w:szCs w:val="8"/>
                <w:color w:val="auto"/>
              </w:rPr>
            </w:pPr>
          </w:p>
        </w:tc>
        <w:tc>
          <w:tcPr>
            <w:tcW w:w="740" w:type="dxa"/>
            <w:vAlign w:val="bottom"/>
            <w:shd w:val="clear" w:color="auto" w:fill="E5B8B7"/>
          </w:tcPr>
          <w:p>
            <w:pPr>
              <w:spacing w:after="0"/>
              <w:rPr>
                <w:sz w:val="8"/>
                <w:szCs w:val="8"/>
                <w:color w:val="auto"/>
              </w:rPr>
            </w:pPr>
          </w:p>
        </w:tc>
        <w:tc>
          <w:tcPr>
            <w:tcW w:w="80" w:type="dxa"/>
            <w:vAlign w:val="bottom"/>
            <w:shd w:val="clear" w:color="auto" w:fill="E5B8B7"/>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to be based upon the closing price for Shares on June 4, 2020 and thereafter on the first Thursday in June in each year. On June 5, 2020, each Director received 176 shares. The use of stock for Directors’ retainer, does not have a diluted effect on earnings per share as it is immediately vested.</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5"/>
          </w:tcPr>
          <w:p>
            <w:pPr>
              <w:jc w:val="center"/>
              <w:ind w:right="560"/>
              <w:spacing w:after="0"/>
              <w:rPr>
                <w:sz w:val="20"/>
                <w:szCs w:val="20"/>
                <w:color w:val="auto"/>
              </w:rPr>
            </w:pPr>
            <w:r>
              <w:rPr>
                <w:rFonts w:ascii="Arial" w:cs="Arial" w:eastAsia="Arial" w:hAnsi="Arial"/>
                <w:sz w:val="18"/>
                <w:szCs w:val="18"/>
                <w:color w:val="auto"/>
                <w:w w:val="91"/>
              </w:rPr>
              <w:t>(in thousands of dollars)</w:t>
            </w:r>
          </w:p>
        </w:tc>
        <w:tc>
          <w:tcPr>
            <w:tcW w:w="220" w:type="dxa"/>
            <w:vAlign w:val="bottom"/>
          </w:tcPr>
          <w:p>
            <w:pPr>
              <w:spacing w:after="0"/>
              <w:rPr>
                <w:sz w:val="19"/>
                <w:szCs w:val="19"/>
                <w:color w:val="auto"/>
              </w:rPr>
            </w:pPr>
          </w:p>
        </w:tc>
        <w:tc>
          <w:tcPr>
            <w:tcW w:w="2480" w:type="dxa"/>
            <w:vAlign w:val="bottom"/>
            <w:gridSpan w:val="5"/>
          </w:tcPr>
          <w:p>
            <w:pPr>
              <w:jc w:val="right"/>
              <w:ind w:right="450"/>
              <w:spacing w:after="0"/>
              <w:rPr>
                <w:sz w:val="20"/>
                <w:szCs w:val="20"/>
                <w:color w:val="auto"/>
              </w:rPr>
            </w:pPr>
            <w:r>
              <w:rPr>
                <w:rFonts w:ascii="Arial" w:cs="Arial" w:eastAsia="Arial" w:hAnsi="Arial"/>
                <w:sz w:val="18"/>
                <w:szCs w:val="18"/>
                <w:color w:val="auto"/>
                <w:w w:val="99"/>
              </w:rPr>
              <w:t>(in thousands of dollars)</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480" w:type="dxa"/>
            <w:vAlign w:val="bottom"/>
            <w:gridSpan w:val="5"/>
          </w:tcPr>
          <w:p>
            <w:pPr>
              <w:jc w:val="right"/>
              <w:ind w:right="6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June 30, 2020</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June 30, 2019</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June 30,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ind w:left="14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6,180</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2"/>
        </w:trPr>
        <w:tc>
          <w:tcPr>
            <w:tcW w:w="4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4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22"/>
        </w:trPr>
        <w:tc>
          <w:tcPr>
            <w:tcW w:w="4280" w:type="dxa"/>
            <w:vAlign w:val="bottom"/>
            <w:vMerge w:val="restart"/>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CFF0FC"/>
            </w:tcBorders>
            <w:vMerge w:val="continue"/>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4,769</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6,136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8,843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3"/>
              </w:rPr>
              <w:t>Weighted average common shares outstanding including</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11,129,341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11,106,367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11,132,105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11,098,149</w:t>
            </w:r>
          </w:p>
        </w:tc>
        <w:tc>
          <w:tcPr>
            <w:tcW w:w="0" w:type="dxa"/>
            <w:vAlign w:val="bottom"/>
          </w:tcPr>
          <w:p>
            <w:pPr>
              <w:spacing w:after="0"/>
              <w:rPr>
                <w:sz w:val="1"/>
                <w:szCs w:val="1"/>
                <w:color w:val="auto"/>
              </w:rPr>
            </w:pPr>
          </w:p>
        </w:tc>
      </w:tr>
      <w:tr>
        <w:trPr>
          <w:trHeight w:val="122"/>
        </w:trPr>
        <w:tc>
          <w:tcPr>
            <w:tcW w:w="4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participating securities</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4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average unvested restricted shares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(80,062)</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(82,397)</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11,049,279</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11,029,063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11,049,708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11,017,806</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right="3560" w:hanging="1419"/>
        <w:spacing w:after="0" w:line="809" w:lineRule="auto"/>
        <w:tabs>
          <w:tab w:leader="none" w:pos="4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stock of Cincinnati and Indianapolis, approximates fair value based on the redemption provisions of the respective Federal Home Loan Bank.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and/or the Bank’s most recent acquisition experience.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91440</wp:posOffset>
            </wp:positionV>
            <wp:extent cx="666051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0515" cy="1543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2020 and December 31, 2019 are reflected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6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8487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85,441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85,441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85,441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236,292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236,292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226,712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1,550</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5,810</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11,445</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1,334,790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1,302,710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1,302,710</w:t>
            </w:r>
          </w:p>
        </w:tc>
      </w:tr>
      <w:tr>
        <w:trPr>
          <w:trHeight w:val="230"/>
        </w:trPr>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6,522</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879,717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879,754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879,754</w:t>
            </w:r>
          </w:p>
        </w:tc>
      </w:tr>
      <w:tr>
        <w:trPr>
          <w:trHeight w:val="229"/>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336,027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336,027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336,027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261,631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264,992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264,992</w:t>
            </w:r>
          </w:p>
        </w:tc>
      </w:tr>
      <w:tr>
        <w:trPr>
          <w:trHeight w:val="224"/>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1,477,375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1,480,773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336,027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1,144,746</w:t>
            </w:r>
          </w:p>
        </w:tc>
      </w:tr>
      <w:tr>
        <w:trPr>
          <w:trHeight w:val="673"/>
        </w:trPr>
        <w:tc>
          <w:tcPr>
            <w:tcW w:w="1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30,949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30,949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30,949</w:t>
            </w:r>
          </w:p>
        </w:tc>
      </w:tr>
      <w:tr>
        <w:trPr>
          <w:trHeight w:val="230"/>
        </w:trPr>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19,077</w:t>
            </w:r>
          </w:p>
        </w:tc>
      </w:tr>
      <w:tr>
        <w:trPr>
          <w:trHeight w:val="230"/>
        </w:trPr>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583</w:t>
            </w:r>
          </w:p>
        </w:tc>
      </w:tr>
      <w:tr>
        <w:trPr>
          <w:trHeight w:val="432"/>
        </w:trPr>
        <w:tc>
          <w:tcPr>
            <w:tcW w:w="12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-3051175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-2750820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-2459355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-2167890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-1876425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-1584960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-1293495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-993775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-565150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68580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460" w:space="720"/>
            <w:col w:w="606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7"/>
          </w:tcPr>
          <w:p>
            <w:pPr>
              <w:ind w:left="1500"/>
              <w:spacing w:after="0"/>
              <w:rPr>
                <w:sz w:val="20"/>
                <w:szCs w:val="20"/>
                <w:color w:val="auto"/>
              </w:rPr>
            </w:pPr>
            <w:r>
              <w:rPr>
                <w:rFonts w:ascii="Arial" w:cs="Arial" w:eastAsia="Arial" w:hAnsi="Arial"/>
                <w:sz w:val="18"/>
                <w:szCs w:val="18"/>
                <w:color w:val="auto"/>
              </w:rPr>
              <w:t>NOTE 6 FAIR VALUE OF FINANCIAL INSTRUMENTS (Continued)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74"/>
        </w:trPr>
        <w:tc>
          <w:tcPr>
            <w:tcW w:w="4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2"/>
        </w:trPr>
        <w:tc>
          <w:tcPr>
            <w:tcW w:w="4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51,296</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51,296</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time deposits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Securities - available-for-sale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222,293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210,782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1,490</w:t>
            </w: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5,810</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Loans held for sale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4,248</w:t>
            </w: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1,211,771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1,188,014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1,188,014</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6,769</w:t>
            </w:r>
          </w:p>
        </w:tc>
      </w:tr>
      <w:tr>
        <w:trPr>
          <w:trHeight w:val="229"/>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bearing deposits</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746,628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746,691</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746,691</w:t>
            </w: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Non-interest bearing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276,563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277,008</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277,008</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Deposits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1,288,347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1,288,855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1,023,699</w:t>
            </w:r>
          </w:p>
        </w:tc>
      </w:tr>
      <w:tr>
        <w:trPr>
          <w:trHeight w:val="229"/>
        </w:trPr>
        <w:tc>
          <w:tcPr>
            <w:tcW w:w="45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5"/>
        </w:trPr>
        <w:tc>
          <w:tcPr>
            <w:tcW w:w="452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520" w:type="dxa"/>
            <w:vAlign w:val="bottom"/>
          </w:tcPr>
          <w:p>
            <w:pPr>
              <w:ind w:left="380"/>
              <w:spacing w:after="0"/>
              <w:rPr>
                <w:sz w:val="20"/>
                <w:szCs w:val="20"/>
                <w:color w:val="auto"/>
              </w:rPr>
            </w:pPr>
            <w:r>
              <w:rPr>
                <w:rFonts w:ascii="Arial" w:cs="Arial" w:eastAsia="Arial" w:hAnsi="Arial"/>
                <w:sz w:val="18"/>
                <w:szCs w:val="18"/>
                <w:color w:val="auto"/>
              </w:rPr>
              <w:t>agreement to repurchase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48,073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48,073</w:t>
            </w: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advances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24,806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24,811</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754</w:t>
            </w: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2020 and December 31, 2019, segregated by level or the valuation inputs within the fair value hierarchy utilized to measure fair value: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0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U.S. Treasury</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0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U.S. Treasury</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95,197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210,782</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and six month periods ended June 30, 2020 and June 30,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2020</w:t>
            </w:r>
          </w:p>
        </w:tc>
        <w:tc>
          <w:tcPr>
            <w:tcW w:w="20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2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20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60"/>
        <w:spacing w:after="0"/>
        <w:rPr>
          <w:sz w:val="20"/>
          <w:szCs w:val="20"/>
          <w:color w:val="auto"/>
        </w:rPr>
      </w:pPr>
      <w:r>
        <w:rPr>
          <w:rFonts w:ascii="Arial" w:cs="Arial" w:eastAsia="Arial" w:hAnsi="Arial"/>
          <w:sz w:val="18"/>
          <w:szCs w:val="18"/>
          <w:color w:val="auto"/>
        </w:rPr>
        <w:t>NOTE 6 FAIR VALUE OF FINANCIAL INSTRUMENTS (Continued)</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2019</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June 30, 2020 and December 31, 2019,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At June 30, 2020 and December 31, 2019, fair value of collateral dependent impaired loans categorized as Level 3 was $8.1 million and $444 thousand, respectively. The specific allocation for impaired loans was $830 and $197 thousand as of June 30, 2020 and December 31, 2019, respectively, which are accounted for in the allowance for loan losses (see Note 4).</w:t>
      </w:r>
    </w:p>
    <w:p>
      <w:pPr>
        <w:spacing w:after="0" w:line="157"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Fair Value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30, 2020</w:t>
            </w:r>
          </w:p>
        </w:tc>
        <w:tc>
          <w:tcPr>
            <w:tcW w:w="260" w:type="dxa"/>
            <w:vAlign w:val="bottom"/>
          </w:tcPr>
          <w:p>
            <w:pPr>
              <w:spacing w:after="0"/>
              <w:rPr>
                <w:sz w:val="20"/>
                <w:szCs w:val="20"/>
                <w:color w:val="auto"/>
              </w:rPr>
            </w:pPr>
          </w:p>
        </w:tc>
        <w:tc>
          <w:tcPr>
            <w:tcW w:w="212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3660" w:type="dxa"/>
            <w:vAlign w:val="bottom"/>
            <w:gridSpan w:val="2"/>
          </w:tcPr>
          <w:p>
            <w:pPr>
              <w:ind w:left="1000"/>
              <w:spacing w:after="0"/>
              <w:rPr>
                <w:sz w:val="20"/>
                <w:szCs w:val="20"/>
                <w:color w:val="auto"/>
              </w:rPr>
            </w:pPr>
            <w:r>
              <w:rPr>
                <w:rFonts w:ascii="Arial" w:cs="Arial" w:eastAsia="Arial" w:hAnsi="Arial"/>
                <w:sz w:val="18"/>
                <w:szCs w:val="18"/>
                <w:color w:val="auto"/>
              </w:rPr>
              <w:t>Unobservable Inputs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Discounted Cash Flow</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(1.62%)</w:t>
            </w:r>
          </w:p>
        </w:tc>
      </w:tr>
      <w:tr>
        <w:trPr>
          <w:trHeight w:val="229"/>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Collateral based</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measurements</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(5.96%)</w:t>
            </w:r>
          </w:p>
        </w:tc>
      </w:tr>
      <w:tr>
        <w:trPr>
          <w:trHeight w:val="229"/>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Appraisals</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r>
      <w:tr>
        <w:trPr>
          <w:trHeight w:val="472"/>
        </w:trPr>
        <w:tc>
          <w:tcPr>
            <w:tcW w:w="2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Fair Value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8"/>
              </w:rPr>
              <w:t>December 31, 2019</w:t>
            </w:r>
          </w:p>
        </w:tc>
        <w:tc>
          <w:tcPr>
            <w:tcW w:w="260" w:type="dxa"/>
            <w:vAlign w:val="bottom"/>
          </w:tcPr>
          <w:p>
            <w:pPr>
              <w:spacing w:after="0"/>
              <w:rPr>
                <w:sz w:val="20"/>
                <w:szCs w:val="20"/>
                <w:color w:val="auto"/>
              </w:rPr>
            </w:pPr>
          </w:p>
        </w:tc>
        <w:tc>
          <w:tcPr>
            <w:tcW w:w="212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3660" w:type="dxa"/>
            <w:vAlign w:val="bottom"/>
            <w:gridSpan w:val="2"/>
          </w:tcPr>
          <w:p>
            <w:pPr>
              <w:ind w:left="1000"/>
              <w:spacing w:after="0"/>
              <w:rPr>
                <w:sz w:val="20"/>
                <w:szCs w:val="20"/>
                <w:color w:val="auto"/>
              </w:rPr>
            </w:pPr>
            <w:r>
              <w:rPr>
                <w:rFonts w:ascii="Arial" w:cs="Arial" w:eastAsia="Arial" w:hAnsi="Arial"/>
                <w:sz w:val="18"/>
                <w:szCs w:val="18"/>
                <w:color w:val="auto"/>
              </w:rPr>
              <w:t>Unobservable Inputs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Discounted Cash Flow</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(2.52%)</w:t>
            </w:r>
          </w:p>
        </w:tc>
      </w:tr>
      <w:tr>
        <w:trPr>
          <w:trHeight w:val="229"/>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380" w:type="dxa"/>
            <w:vAlign w:val="bottom"/>
            <w:gridSpan w:val="3"/>
          </w:tcPr>
          <w:p>
            <w:pPr>
              <w:spacing w:after="0"/>
              <w:rPr>
                <w:sz w:val="19"/>
                <w:szCs w:val="19"/>
                <w:color w:val="auto"/>
              </w:rPr>
            </w:pPr>
          </w:p>
        </w:tc>
        <w:tc>
          <w:tcPr>
            <w:tcW w:w="36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Collateral based</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measurements</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(30.73%)</w:t>
            </w:r>
          </w:p>
        </w:tc>
      </w:tr>
      <w:tr>
        <w:trPr>
          <w:trHeight w:val="230"/>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Appraisals</w:t>
            </w: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(23.31% )</w:t>
            </w:r>
          </w:p>
        </w:tc>
      </w:tr>
    </w:tbl>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impaired loans and other real estate owned as recorded at fair value on June 30, 2020 and December 31,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gridSpan w:val="11"/>
          </w:tcPr>
          <w:p>
            <w:pPr>
              <w:jc w:val="center"/>
              <w:ind w:right="280"/>
              <w:spacing w:after="0"/>
              <w:rPr>
                <w:sz w:val="20"/>
                <w:szCs w:val="20"/>
                <w:color w:val="auto"/>
              </w:rPr>
            </w:pPr>
            <w:r>
              <w:rPr>
                <w:rFonts w:ascii="Arial" w:cs="Arial" w:eastAsia="Arial" w:hAnsi="Arial"/>
                <w:sz w:val="18"/>
                <w:szCs w:val="18"/>
                <w:color w:val="auto"/>
                <w:w w:val="89"/>
              </w:rPr>
              <w:t>Assets Measured at Fair Value on a Nonrecurring Basis at June 30, 2020</w:t>
            </w:r>
          </w:p>
        </w:tc>
        <w:tc>
          <w:tcPr>
            <w:tcW w:w="56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Balance at</w:t>
            </w: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5"/>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June 30, 2020</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Other real estate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30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5"/>
        </w:trPr>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10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center"/>
        <w:ind w:right="242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2500"/>
        <w:spacing w:after="0"/>
        <w:rPr>
          <w:sz w:val="20"/>
          <w:szCs w:val="20"/>
          <w:color w:val="auto"/>
        </w:rPr>
      </w:pPr>
      <w:r>
        <w:rPr>
          <w:rFonts w:ascii="Arial" w:cs="Arial" w:eastAsia="Arial" w:hAnsi="Arial"/>
          <w:sz w:val="18"/>
          <w:szCs w:val="18"/>
          <w:color w:val="auto"/>
        </w:rPr>
        <w:t>NOTE 6 FAIR VALUE OF FINANCIAL INSTRUMENTS (Continued)</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89"/>
              </w:rPr>
              <w:t>Assets Measured at Fair Value on a Nonrecurring Basis at December 31, 2019</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Balance at</w:t>
            </w: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5"/>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31, 2019</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7"/>
              </w:rPr>
              <w:t>(Level 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9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   $</w:t>
            </w:r>
          </w:p>
        </w:tc>
        <w:tc>
          <w:tcPr>
            <w:tcW w:w="15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444</w:t>
            </w:r>
          </w:p>
        </w:tc>
        <w:tc>
          <w:tcPr>
            <w:tcW w:w="100" w:type="dxa"/>
            <w:vAlign w:val="bottom"/>
            <w:shd w:val="clear" w:color="auto" w:fill="CFF0FC"/>
          </w:tcPr>
          <w:p>
            <w:pPr>
              <w:spacing w:after="0"/>
              <w:rPr>
                <w:sz w:val="20"/>
                <w:szCs w:val="20"/>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8"/>
                <w:szCs w:val="18"/>
                <w:color w:val="auto"/>
              </w:rPr>
              <w:t>Other real estate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right="2900" w:hanging="1329"/>
        <w:spacing w:after="0" w:line="762" w:lineRule="auto"/>
        <w:tabs>
          <w:tab w:leader="none" w:pos="43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color w:val="auto"/>
        </w:rPr>
        <w:t>The Company had no Federal Funds purchased as of June 30, 2020 and $17.8 million as of December 31, 2019, respectively. During the same time periods, the Company also had $30.9 million and $30.2 million in securities sold under agreement to repurchase.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June 30, 2020</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13"/>
          </w:tcPr>
          <w:p>
            <w:pPr>
              <w:jc w:val="center"/>
              <w:ind w:right="3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0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w w:val="93"/>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28,381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30,949</w:t>
            </w:r>
          </w:p>
        </w:tc>
        <w:tc>
          <w:tcPr>
            <w:tcW w:w="10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30,949</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2019</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13"/>
          </w:tcPr>
          <w:p>
            <w:pPr>
              <w:jc w:val="center"/>
              <w:ind w:right="3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0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w w:val="93"/>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17,843</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10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2"/>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RECENT ACCOUNTING PRONOUNCEMENTS</w:t>
      </w:r>
    </w:p>
    <w:p>
      <w:pPr>
        <w:spacing w:after="0" w:line="360"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Measurement of Credit Losses on Financial Instruments.” </w:t>
      </w:r>
      <w:r>
        <w:rPr>
          <w:rFonts w:ascii="Arial" w:cs="Arial" w:eastAsia="Arial" w:hAnsi="Arial"/>
          <w:sz w:val="17"/>
          <w:szCs w:val="17"/>
          <w:color w:val="auto"/>
        </w:rPr>
        <w:t>This ASU requires the measurement of all</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FASB recently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8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will not adopt ASU 2016-13 in calendar year 2020 and management is currently evaluating when or if they would elect to early adopt ASU 2016-13.</w:t>
      </w:r>
    </w:p>
    <w:p>
      <w:pPr>
        <w:spacing w:after="0" w:line="80"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These amendments eliminate Step 2 from the goodwill impairment test. The amendments also eliminate the requirements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was permitted for interim or annual goodwill impairment tests performed on testing dates after January 1, 2017. ASU 2017-04 should be adopted on a prospective basis. The Company has adopted ASU 2017-04 effective January 1, 2020, as required, and does not expect the ASU to have a material impact on its financial statements. Goodwill testing is scheduled to be completed during the fourth quarter.</w:t>
      </w:r>
    </w:p>
    <w:p>
      <w:pPr>
        <w:spacing w:after="0" w:line="8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w:t>
      </w:r>
      <w:r>
        <w:rPr>
          <w:rFonts w:ascii="Arial" w:cs="Arial" w:eastAsia="Arial" w:hAnsi="Arial"/>
          <w:sz w:val="18"/>
          <w:szCs w:val="18"/>
          <w:color w:val="auto"/>
        </w:rPr>
        <w:t>t.” ASU 2018-13 modifies the disclosure requirements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remove disclosures that no longer are considered cost beneficial, modify/clarify the specific requirements of certain disclosures, and add disclosure requirements identified as relevant. ASU 2018-13 is effective for years beginning after December 15, 2019, with early adoption permitted. The Company adopted ASU 2018-13 effective January 1, 2020, as required, without material effect on its accounting disclosures.</w:t>
      </w:r>
    </w:p>
    <w:p>
      <w:pPr>
        <w:spacing w:after="0" w:line="84"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In March 2020, in connection with the implementation of the CARES Act and related provisions, we have elected the temporary relief in the CARES Act not to apply the guidance in ASC 310-40 on accounting for troubled debt restructurings (TDRs) to loan modifications related to COVID-19 made between March 1, 2020 and the earlier of (1) December 31, 2020 or (2) 60 days after the end of the COVID-19 national emergency. The relief was only applied to modifications for borrowers that were not more than 30 days past due as of December 31, 2019. As of June 30, 2020, there were no loan modifications that would have been previously treated as TDRs under the guidance in ASC 310-40.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2020 started out to be the year of execution. After a good beginning in terms of loan growth and initiatives the first two months, March brought the year of unprecedented change. The Federal Reserve decreased its overnight rate by fifty basis points on March 3rd. As we were adjusting to that change, they again decreased the rate on March 15</w:t>
      </w:r>
      <w:r>
        <w:rPr>
          <w:rFonts w:ascii="Arial" w:cs="Arial" w:eastAsia="Arial" w:hAnsi="Arial"/>
          <w:sz w:val="14"/>
          <w:szCs w:val="14"/>
          <w:color w:val="auto"/>
        </w:rPr>
        <w:t>th</w:t>
      </w:r>
      <w:r>
        <w:rPr>
          <w:rFonts w:ascii="Arial" w:cs="Arial" w:eastAsia="Arial" w:hAnsi="Arial"/>
          <w:sz w:val="17"/>
          <w:szCs w:val="17"/>
          <w:color w:val="auto"/>
        </w:rPr>
        <w:t xml:space="preserve"> by a before unseen 100 basis points. We began to see the disruption caused by COVID-19 and the focus of the Bank quickly changed. Execution took on a new meaning related to following the actions governed by the Bank’s pandemic flu plan. The Bank took immediate measures to protect its customers and employees from risk of spread while continuing to provide financial services. Investigating solutions was our focus for the second quarter and will be for as long as it takes. </w:t>
      </w:r>
      <w:r>
        <w:rPr>
          <w:rFonts w:ascii="Arial" w:cs="Arial" w:eastAsia="Arial" w:hAnsi="Arial"/>
          <w:sz w:val="17"/>
          <w:szCs w:val="17"/>
          <w:b w:val="1"/>
          <w:bCs w:val="1"/>
          <w:color w:val="auto"/>
        </w:rPr>
        <w:t>Please see section titled</w:t>
      </w:r>
      <w:r>
        <w:rPr>
          <w:rFonts w:ascii="Arial" w:cs="Arial" w:eastAsia="Arial" w:hAnsi="Arial"/>
          <w:sz w:val="17"/>
          <w:szCs w:val="17"/>
          <w:color w:val="auto"/>
        </w:rPr>
        <w:t xml:space="preserve"> </w:t>
      </w:r>
      <w:r>
        <w:rPr>
          <w:rFonts w:ascii="Arial" w:cs="Arial" w:eastAsia="Arial" w:hAnsi="Arial"/>
          <w:sz w:val="17"/>
          <w:szCs w:val="17"/>
          <w:b w:val="1"/>
          <w:bCs w:val="1"/>
          <w:color w:val="auto"/>
        </w:rPr>
        <w:t>COVID-19 for additional information related to actions taken.</w:t>
      </w:r>
    </w:p>
    <w:p>
      <w:pPr>
        <w:spacing w:after="0" w:line="150"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During the second quarter, the Bank continued to grow loans by 23.24% or $253.6 million over June 30, 2019 and 10.31% or $125.7 million over December 31, 2019. Loan balances as of June 30, 2020 include approximately $87 million in forgivable Paycheck Protection Program (PPP) loans made under the CARES Act. In comparison for the same time periods, deposits grew 18.92% or $235 million over June 30, 2019 and 14.67% or $189 million over December 31, 2019. Home loan activity was robust, reaching new highs of loans closed in a month due to the refinance activity associated with interest rate reductions. The activity is expected to continue into third quarter as our home loan applications continue to grow. Deposit growth correlated to a flight to safety as the stock market experienced great volatility.</w:t>
      </w:r>
    </w:p>
    <w:p>
      <w:pPr>
        <w:spacing w:after="0" w:line="137" w:lineRule="exact"/>
        <w:rPr>
          <w:sz w:val="20"/>
          <w:szCs w:val="20"/>
          <w:color w:val="auto"/>
        </w:rPr>
      </w:pPr>
    </w:p>
    <w:p>
      <w:pPr>
        <w:jc w:val="both"/>
        <w:ind w:left="700"/>
        <w:spacing w:after="0" w:line="271" w:lineRule="auto"/>
        <w:rPr>
          <w:sz w:val="20"/>
          <w:szCs w:val="20"/>
          <w:color w:val="auto"/>
        </w:rPr>
      </w:pPr>
      <w:r>
        <w:rPr>
          <w:rFonts w:ascii="Arial" w:cs="Arial" w:eastAsia="Arial" w:hAnsi="Arial"/>
          <w:sz w:val="17"/>
          <w:szCs w:val="17"/>
          <w:color w:val="auto"/>
        </w:rPr>
        <w:t>Despite the difficult growing conditions in 2019 and tight margins the agriculture portfolio has been sound. The 2020 planting season was one of the smoothest we have seen in our market area for several years as crops were planted in a timely manner, and growing conditions early on were generally favorable. The ability to plant in a timely manner will particularly benefit our agri-businesses such as grain elevators, seed, fertilizer and chemical suppliers that experienced lost sales in 2019 due to unplanted acres. Based on current commodity prices margins are expected to be tight in 2020. It remains to be seen what opportunities the marketing season still may present. Many farmers do continue to utilize crop insurance which protects revenue. COVID-19 has created challenges in the agriculture sector just as it has for the entire economy. These challenges include commodity prices, livestock supply chain, handling employees, and concerns with the overall health of the economy. Overall, the agriculture portfolio has been healthy and concerns manageable.</w:t>
      </w:r>
    </w:p>
    <w:p>
      <w:pPr>
        <w:spacing w:after="0" w:line="138" w:lineRule="exact"/>
        <w:rPr>
          <w:sz w:val="20"/>
          <w:szCs w:val="20"/>
          <w:color w:val="auto"/>
        </w:rPr>
      </w:pPr>
    </w:p>
    <w:p>
      <w:pPr>
        <w:jc w:val="both"/>
        <w:ind w:left="700"/>
        <w:spacing w:after="0" w:line="263" w:lineRule="auto"/>
        <w:rPr>
          <w:sz w:val="20"/>
          <w:szCs w:val="20"/>
          <w:color w:val="auto"/>
        </w:rPr>
      </w:pPr>
      <w:r>
        <w:rPr>
          <w:rFonts w:ascii="Arial" w:cs="Arial" w:eastAsia="Arial" w:hAnsi="Arial"/>
          <w:sz w:val="18"/>
          <w:szCs w:val="18"/>
          <w:color w:val="auto"/>
        </w:rPr>
        <w:t>During the second quarter, most of the commercial sector in the Bank’s markets returned to work in a limited capacity. April resulted in a net loss for most business operations. With the lessening of restrictions, May and June have seen improved performance. Unemployment remains high as businesses are not operating at full capacity.</w:t>
      </w:r>
    </w:p>
    <w:p>
      <w:pPr>
        <w:spacing w:after="0" w:line="157" w:lineRule="exact"/>
        <w:rPr>
          <w:sz w:val="20"/>
          <w:szCs w:val="20"/>
          <w:color w:val="auto"/>
        </w:rPr>
      </w:pPr>
    </w:p>
    <w:p>
      <w:pPr>
        <w:jc w:val="both"/>
        <w:ind w:left="700"/>
        <w:spacing w:after="0" w:line="263" w:lineRule="auto"/>
        <w:rPr>
          <w:sz w:val="20"/>
          <w:szCs w:val="20"/>
          <w:color w:val="auto"/>
        </w:rPr>
      </w:pPr>
      <w:r>
        <w:rPr>
          <w:rFonts w:ascii="Arial" w:cs="Arial" w:eastAsia="Arial" w:hAnsi="Arial"/>
          <w:sz w:val="18"/>
          <w:szCs w:val="18"/>
          <w:color w:val="auto"/>
        </w:rPr>
        <w:t>In the second quarter, the Bank opened a Loan Production Office (LPO) in Muncie, Indiana and a LPO in Oxford, Ohio to extend our lending footprint. For each of the offices, the Bank was able to hire well known talented lenders from each area. The Bank also broke ground on a new full-service office in Fort Wayne, Indiana.</w:t>
      </w:r>
    </w:p>
    <w:p>
      <w:pPr>
        <w:spacing w:after="0" w:line="143" w:lineRule="exact"/>
        <w:rPr>
          <w:sz w:val="20"/>
          <w:szCs w:val="20"/>
          <w:color w:val="auto"/>
        </w:rPr>
      </w:pPr>
    </w:p>
    <w:p>
      <w:pPr>
        <w:jc w:val="both"/>
        <w:ind w:left="700"/>
        <w:spacing w:after="0" w:line="263" w:lineRule="auto"/>
        <w:rPr>
          <w:sz w:val="20"/>
          <w:szCs w:val="20"/>
          <w:color w:val="auto"/>
        </w:rPr>
      </w:pPr>
      <w:r>
        <w:rPr>
          <w:rFonts w:ascii="Arial" w:cs="Arial" w:eastAsia="Arial" w:hAnsi="Arial"/>
          <w:sz w:val="18"/>
          <w:szCs w:val="18"/>
          <w:color w:val="auto"/>
        </w:rPr>
        <w:t>During the second quarter, the Bank accelerated investments in our digital infrastructure to support our employee’s ability to work from home and to make it easier for our customers to engage with the bank electronically. Due to retirement, the Bank also hired Shalini Singhal as our new Chief Information Officer. Shalini is a proven CIO who will lead our digital efforts.</w:t>
      </w:r>
    </w:p>
    <w:p>
      <w:pPr>
        <w:spacing w:after="0" w:line="143"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The Company remains well capitalized and prepared to face the new challenges coming our way in 2020. Our history shows we weathered the 2008-2009 financial crisis and recession. We did so without taking Troubled Asset Relief Program (TARP) funds and our performance over the time frame was significantly higher than our peers. It is the character of the communities we serve that contributed to that success. It is not just what is done during the storm but how well prepared for the storm you are. F&amp;M has prepared well with historically low troubled loans the last few years due to having strong credit quality controls in place. Additional loan provision was taken in the first two quarters in view of the unknown length and breadth of the declining economic situation and its potential effect on our loan portfolio.</w:t>
      </w:r>
    </w:p>
    <w:p>
      <w:pPr>
        <w:spacing w:after="0" w:line="151"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F&amp;M will continue to focus on serving our shareholders, communities, and customers while protecting our employees. Please see below for what we have accomplished so far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46" w:name="page47"/>
    <w:bookmarkEnd w:id="46"/>
    <w:p>
      <w:pPr>
        <w:ind w:right="1680" w:firstLine="4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What the Company knows and what steps have been taken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Shareholders</w:t>
      </w:r>
    </w:p>
    <w:p>
      <w:pPr>
        <w:spacing w:after="0" w:line="18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Dividend declaration</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expects to continue to maintain the payment of its quarterly dividend consistent with its past practices. We are sensitive to the needs of our long-time shareholders that utilize these funds to supplement their living expenses, especially in this low interest rate environment. Dividends declared during the quarter at $0.16 per share were equal to first quarter 2020 and fourth quarter 2019 dividends declared.</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Annual Meeting</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held its Annual Meeting on April 16</w:t>
      </w:r>
      <w:r>
        <w:rPr>
          <w:rFonts w:ascii="Arial" w:cs="Arial" w:eastAsia="Arial" w:hAnsi="Arial"/>
          <w:sz w:val="15"/>
          <w:szCs w:val="15"/>
          <w:color w:val="auto"/>
        </w:rPr>
        <w:t>th</w:t>
      </w:r>
      <w:r>
        <w:rPr>
          <w:rFonts w:ascii="Arial" w:cs="Arial" w:eastAsia="Arial" w:hAnsi="Arial"/>
          <w:sz w:val="18"/>
          <w:szCs w:val="18"/>
          <w:color w:val="auto"/>
        </w:rPr>
        <w:t>; however, in light of the governmental restrictions the meeting was significantly different than in the past. There was no dinner, no presentation of 2019 or an outlook for 2020 and only a small group of directors and officers present. For the three items to be considered at the meeting, shareholders were asked to seriously consider not attending and vote by proxy. Over 80% of the shareholders voted by proxy.</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Communities</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Offices</w:t>
      </w:r>
    </w:p>
    <w:p>
      <w:pPr>
        <w:spacing w:after="0" w:line="189"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With the health of our employees and customers being our top concern, as of March 20</w:t>
      </w:r>
      <w:r>
        <w:rPr>
          <w:rFonts w:ascii="Arial" w:cs="Arial" w:eastAsia="Arial" w:hAnsi="Arial"/>
          <w:sz w:val="14"/>
          <w:szCs w:val="14"/>
          <w:color w:val="auto"/>
        </w:rPr>
        <w:t>th</w:t>
      </w:r>
      <w:r>
        <w:rPr>
          <w:rFonts w:ascii="Arial" w:cs="Arial" w:eastAsia="Arial" w:hAnsi="Arial"/>
          <w:sz w:val="17"/>
          <w:szCs w:val="17"/>
          <w:color w:val="auto"/>
        </w:rPr>
        <w:t>, the Bank temporarily suspended branch lobby hours to the public for walk-in transactions. Appointments can be made at branches to complete all needed paperwork and transactions. Drive-thru services remain open as well as all ATM’s and ITM’s to complete needed transactions. To assure branches remain open, employees have been divided into teams who rotate every three days to two weeks as a means to practice social distancing while limiting any possible exposure. During the month of May, the retail re-open team developed an employee handbook which focused on opening protocols, employee training, health and wellness and facility signage. Branch re-openings began on June 3</w:t>
      </w:r>
      <w:r>
        <w:rPr>
          <w:rFonts w:ascii="Arial" w:cs="Arial" w:eastAsia="Arial" w:hAnsi="Arial"/>
          <w:sz w:val="14"/>
          <w:szCs w:val="14"/>
          <w:color w:val="auto"/>
        </w:rPr>
        <w:t>rd</w:t>
      </w:r>
      <w:r>
        <w:rPr>
          <w:rFonts w:ascii="Arial" w:cs="Arial" w:eastAsia="Arial" w:hAnsi="Arial"/>
          <w:sz w:val="17"/>
          <w:szCs w:val="17"/>
          <w:color w:val="auto"/>
        </w:rPr>
        <w:t xml:space="preserve"> with the last branches re-opening on June 15</w:t>
      </w:r>
      <w:r>
        <w:rPr>
          <w:rFonts w:ascii="Arial" w:cs="Arial" w:eastAsia="Arial" w:hAnsi="Arial"/>
          <w:sz w:val="14"/>
          <w:szCs w:val="14"/>
          <w:color w:val="auto"/>
        </w:rPr>
        <w:t>th</w:t>
      </w:r>
      <w:r>
        <w:rPr>
          <w:rFonts w:ascii="Arial" w:cs="Arial" w:eastAsia="Arial" w:hAnsi="Arial"/>
          <w:sz w:val="17"/>
          <w:szCs w:val="17"/>
          <w:color w:val="auto"/>
        </w:rPr>
        <w:t>. Internal controls have not been significantly modified due to COVID-19.</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Small Business</w:t>
      </w:r>
    </w:p>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a Small Business Administration (SBA) approved provider, the Bank was able to immediately participate in the SBA PPP established under the CARES Act, which was signed into law on March 27, 2020. The PPP will provide much needed assistance to businesses in our communities. The Bank has been able to present applications for around 947 small businesses which will provide approximately $87 million in needed funding. We are proud of the work our team has been able to do in a very short window. These forgivable loans to cover employee payroll, utilities and rent or interest on mortgage payments, will provide significant benefits to the communities we serve. The Bank will begin to take applications for PPP loan forgiveness in the second half of 2020.</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Consumers</w:t>
      </w:r>
    </w:p>
    <w:p>
      <w:pPr>
        <w:spacing w:after="0" w:line="18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Home Loan</w:t>
      </w:r>
    </w:p>
    <w:p>
      <w:pPr>
        <w:spacing w:after="0" w:line="202"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With the Federal Reserve rate drops of 150 basis points in March (100 basis points of which was directly related to the effects of the virus on the economy), a surge in home loan activity has occurred. Much of the activity is refinance related and the Bank has experienced the highest amount of applications in its history, both in number of and dollar amount. Given the nature of the programs, the results were recorded in the second quarter. The Bank sells most of its home loans into the secondary market through Freddie Mac.</w:t>
      </w:r>
    </w:p>
    <w:p>
      <w:pPr>
        <w:spacing w:after="0" w:line="13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Existing loans on our books for which the Bank has received inquiries into forbearance agreements, totaled over 100 as of June 30th. Of these inquiries, 95 customers entered into agreements totaling just under $8.8 million. 29 loans are in-house making up $2.1 million in principal balance and 66 are secondary market loans which we service with balances totaling $6.7 million. Of the 66 secondary market loans, 16 have exited forbearance with the remainder reinstated or in a repayment plan. Some inquiries were only for possible future requests. We remain ready to assist our customers through this difficult time in the best manner possible.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6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Retail Loans</w:t>
      </w:r>
    </w:p>
    <w:p>
      <w:pPr>
        <w:spacing w:after="0" w:line="202"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The Bank is offering its “Skip-a-pay” program to consumers with installment loans, which allows the customer to skip the payment and extend the maturity of the contract for the payment period. We are allowing two payments to be skipped upon request with an additional one possible at the end of the initial request upon review. Normally, the Bank would charge a fee for this program – the fee has been waived. The Bank would also normally require the interest for the period to be collected and that requirement is currently waived. Interest is a part of the extended maturity payments. We have assisted 130 customers currently with loan balances totaling almost $1.8 million. 119 of those customers have returned the extension documents representing approximately $1.7 million and 234 extended months.</w:t>
      </w:r>
    </w:p>
    <w:p>
      <w:pPr>
        <w:spacing w:after="0" w:line="13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Waiving of late payment fees for our customers was instigated on March 16, 2020. As of July 13th, the Bank has foregone fees of $307 thousand on loans to help our customers. Of the $307 thousand, $131 thousand was related to two past due commercial loans. As a community bank, it is by definition what we should do.</w:t>
      </w:r>
    </w:p>
    <w:p>
      <w:pPr>
        <w:spacing w:after="0" w:line="13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Depositors</w:t>
      </w:r>
    </w:p>
    <w:p>
      <w:pPr>
        <w:spacing w:after="0" w:line="202"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The Bank’s most popular checking account, which includes requirements to earn a reward, has removed the requirement of debit card transactions to be completed during a cycle. In the Bank’s geographical area, the states have issued “stay at home” guidelines and many of our customers were concerned with being able to complete the requirement. The debit card transaction requirement has been waived for the cycles representing the activity for April and May. This impacted almost 11.6 thousand accounts and representing just under $101 million in average account balances. The product includes the option of attaching a savings account for which the same requirements have been waived and impacts an additional almost 7 thousand accounts and $113.1 million in average account balances, calculated as of June 30th. Overall, typically 80-85% of our customers meet all the requirements. The waiving of the debit card transactions will likely allow those customers to receive the reward and possibly an additional 77.5% of the previous non-qualifiers that represented the other 15-20% in total. With the removal of the “stay at home” guidelines, the debit card transaction requirement was reinstated beginning with the June cycle on May 29</w:t>
      </w:r>
      <w:r>
        <w:rPr>
          <w:rFonts w:ascii="Arial" w:cs="Arial" w:eastAsia="Arial" w:hAnsi="Arial"/>
          <w:sz w:val="13"/>
          <w:szCs w:val="13"/>
          <w:color w:val="auto"/>
        </w:rPr>
        <w:t>th</w:t>
      </w:r>
      <w:r>
        <w:rPr>
          <w:rFonts w:ascii="Arial" w:cs="Arial" w:eastAsia="Arial" w:hAnsi="Arial"/>
          <w:sz w:val="16"/>
          <w:szCs w:val="16"/>
          <w:color w:val="auto"/>
        </w:rPr>
        <w:t>. During the months of April and May, most individuals still met their debit card transaction requirement with the “stay at home” order in place.</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Employees</w:t>
      </w:r>
    </w:p>
    <w:p>
      <w:pPr>
        <w:spacing w:after="0" w:line="18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Bank has committed to continue paying employees their full pay during this unprecedented time. Accumulated PTO and vacation time have been frozen and are not required to be used to receive full pay. The Bank continues to promote social distancing by encouraging employees who can work remotely to do so and in other cases, departments have been dispersed to keep the team separated. As of April 1</w:t>
      </w:r>
      <w:r>
        <w:rPr>
          <w:rFonts w:ascii="Arial" w:cs="Arial" w:eastAsia="Arial" w:hAnsi="Arial"/>
          <w:sz w:val="14"/>
          <w:szCs w:val="14"/>
          <w:color w:val="auto"/>
        </w:rPr>
        <w:t>st</w:t>
      </w:r>
      <w:r>
        <w:rPr>
          <w:rFonts w:ascii="Arial" w:cs="Arial" w:eastAsia="Arial" w:hAnsi="Arial"/>
          <w:sz w:val="17"/>
          <w:szCs w:val="17"/>
          <w:color w:val="auto"/>
        </w:rPr>
        <w:t>, the Bank is following The Families First Coronavirus Response Act (FFCRA) which requires employers to provide their employees with paid sick leave and extended family and medical leave for specified reasons related to COVID-19. These provisions are in effect until December 31, 2020. Qualifying reasons for leave related to COVID-19 include the employee: (1) being subject to a quarantine order, (2) being advised by a healthcare provider to self-quarantine, (3) experiencing COVID-19 symptoms and is seeking a medical diagnosis, (4) caring for an individual subject to a quarantine order, (5) caring for his or her child whose school or place of care is closed or (6) experiencing any other substantially-similar condition specified by the U.S. Department of Health and Human Services. All time off related to the above reasons is being separately documented within our time and attendance system. The Bank will be able to reduce its employer tax for up to two weeks (80 hours, or a part-time employee’s two-week equivalent).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Financial – Exposures</w:t>
      </w:r>
    </w:p>
    <w:p>
      <w:pPr>
        <w:spacing w:after="0" w:line="18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333333"/>
        </w:rPr>
        <w:t xml:space="preserve">Given the timing of the outbreak in the United States of the COVID-19 pandemic, management believes that the main impact on the Company’s first and second quarter performance </w:t>
      </w:r>
      <w:r>
        <w:rPr>
          <w:rFonts w:ascii="Arial" w:cs="Arial" w:eastAsia="Arial" w:hAnsi="Arial"/>
          <w:sz w:val="17"/>
          <w:szCs w:val="17"/>
          <w:color w:val="000000"/>
        </w:rPr>
        <w:t>was a factor in the economic qualitative adjustment for the calculation of the allowance for loan loss.</w:t>
      </w:r>
      <w:r>
        <w:rPr>
          <w:rFonts w:ascii="Arial" w:cs="Arial" w:eastAsia="Arial" w:hAnsi="Arial"/>
          <w:sz w:val="17"/>
          <w:szCs w:val="17"/>
          <w:color w:val="333333"/>
        </w:rPr>
        <w:t xml:space="preserve"> </w:t>
      </w:r>
      <w:r>
        <w:rPr>
          <w:rFonts w:ascii="Arial" w:cs="Arial" w:eastAsia="Arial" w:hAnsi="Arial"/>
          <w:sz w:val="17"/>
          <w:szCs w:val="17"/>
          <w:color w:val="000000"/>
        </w:rPr>
        <w:t xml:space="preserve">Subsequently the loan loss </w:t>
      </w:r>
      <w:r>
        <w:rPr>
          <w:rFonts w:ascii="Arial" w:cs="Arial" w:eastAsia="Arial" w:hAnsi="Arial"/>
          <w:sz w:val="17"/>
          <w:szCs w:val="17"/>
          <w:color w:val="333333"/>
        </w:rPr>
        <w:t>provision</w:t>
      </w:r>
      <w:r>
        <w:rPr>
          <w:rFonts w:ascii="Arial" w:cs="Arial" w:eastAsia="Arial" w:hAnsi="Arial"/>
          <w:sz w:val="17"/>
          <w:szCs w:val="17"/>
          <w:color w:val="000000"/>
        </w:rPr>
        <w:t xml:space="preserve"> was increased which also included an increase due to loan growth</w:t>
      </w:r>
      <w:r>
        <w:rPr>
          <w:rFonts w:ascii="Arial" w:cs="Arial" w:eastAsia="Arial" w:hAnsi="Arial"/>
          <w:sz w:val="17"/>
          <w:szCs w:val="17"/>
          <w:color w:val="333333"/>
        </w:rPr>
        <w:t>. The COVID-19 pandemic represents an</w:t>
      </w:r>
      <w:r>
        <w:rPr>
          <w:rFonts w:ascii="Arial" w:cs="Arial" w:eastAsia="Arial" w:hAnsi="Arial"/>
          <w:sz w:val="17"/>
          <w:szCs w:val="17"/>
          <w:color w:val="000000"/>
        </w:rPr>
        <w:t xml:space="preserve"> </w:t>
      </w:r>
      <w:r>
        <w:rPr>
          <w:rFonts w:ascii="Arial" w:cs="Arial" w:eastAsia="Arial" w:hAnsi="Arial"/>
          <w:sz w:val="17"/>
          <w:szCs w:val="17"/>
          <w:color w:val="333333"/>
        </w:rPr>
        <w:t xml:space="preserve">unprecedented challenge to the global economy in general and the financial services sector in particular. However, there is still significant uncertainty regarding the overall length of the pandemic and the aggregate impact that it will have on global and regional economies, including uncertainties regarding the potential positive effects of governmental actions taken in response to the pandemic during the latter portion of the first quarter through the second quarter of 2020. With so much uncertainty, it is impossible for the Bank to accurately predict the impact that the pandemic will have on the Company’s primary markets and the overall extent to which it will affect the Company’s financial condition and results of operations during the remainder of the current fiscal year. At a minimum, the actions taken by the Company to assist its customers experiencing challenges from the pandemic, such as through the Bank’s </w:t>
      </w:r>
      <w:r>
        <w:rPr>
          <w:rFonts w:ascii="Arial" w:cs="Arial" w:eastAsia="Arial" w:hAnsi="Arial"/>
          <w:sz w:val="17"/>
          <w:szCs w:val="17"/>
          <w:color w:val="000000"/>
        </w:rPr>
        <w:t>“Skip-a-pay” program, the waiver of late payment fees, and the entry</w:t>
      </w:r>
      <w:r>
        <w:rPr>
          <w:rFonts w:ascii="Arial" w:cs="Arial" w:eastAsia="Arial" w:hAnsi="Arial"/>
          <w:sz w:val="17"/>
          <w:szCs w:val="17"/>
          <w:color w:val="333333"/>
        </w:rPr>
        <w:t xml:space="preserve"> </w:t>
      </w:r>
      <w:r>
        <w:rPr>
          <w:rFonts w:ascii="Arial" w:cs="Arial" w:eastAsia="Arial" w:hAnsi="Arial"/>
          <w:sz w:val="17"/>
          <w:szCs w:val="17"/>
          <w:color w:val="000000"/>
        </w:rPr>
        <w:t>into loan forbearance agreements,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did have an impact on the Company’s second quarter performance. Nonetheless, management believes that the Company’s current regulatory capital position is adequate to face the coming challenges.</w:t>
      </w:r>
    </w:p>
    <w:p>
      <w:pPr>
        <w:spacing w:after="0" w:line="14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333333"/>
        </w:rPr>
        <w:t>The Company has a limited exposure to many sectors of the economy that will likely be impacted for an extended period such as the travel, restaurant, hospitality, energy and retail industries. The Bank does not have any direct exposure to the energy industry and hotels, entertainment and food related businesses are less than 10% of our overall loan portfolio as shown in the chart which follows. In addition, the Bank’s hotel customers are financially strong business owners, operating brand name hotels in compelling locations. The Bank, along with many other financial institutions, has increased its provision for loan losses in the current year compared to 2019 by approximately $2.8 million. The Bank is fully prepared to make additional provisions as warranted by the COVID-19 situation.</w:t>
      </w:r>
    </w:p>
    <w:p>
      <w:pPr>
        <w:spacing w:after="0" w:line="13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333333"/>
        </w:rPr>
        <w:t>The Company’s management team has evaluated its exposure to increased loan losses related to the COVID-19 pandemic and has identified the following industry segments most impacted by the pandemic as of June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Percent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Percent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Total Loans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Total Loans</w:t>
            </w:r>
          </w:p>
        </w:tc>
        <w:tc>
          <w:tcPr>
            <w:tcW w:w="0" w:type="dxa"/>
            <w:vAlign w:val="bottom"/>
          </w:tcPr>
          <w:p>
            <w:pPr>
              <w:spacing w:after="0"/>
              <w:rPr>
                <w:sz w:val="1"/>
                <w:szCs w:val="1"/>
                <w:color w:val="auto"/>
              </w:rPr>
            </w:pPr>
          </w:p>
        </w:tc>
      </w:tr>
      <w:tr>
        <w:trPr>
          <w:trHeight w:val="216"/>
        </w:trPr>
        <w:tc>
          <w:tcPr>
            <w:tcW w:w="2420" w:type="dxa"/>
            <w:vAlign w:val="bottom"/>
            <w:gridSpan w:val="2"/>
          </w:tcPr>
          <w:p>
            <w:pPr>
              <w:ind w:left="440"/>
              <w:spacing w:after="0"/>
              <w:rPr>
                <w:sz w:val="20"/>
                <w:szCs w:val="20"/>
                <w:color w:val="auto"/>
              </w:rPr>
            </w:pPr>
            <w:r>
              <w:rPr>
                <w:rFonts w:ascii="Arial" w:cs="Arial" w:eastAsia="Arial" w:hAnsi="Arial"/>
                <w:sz w:val="18"/>
                <w:szCs w:val="18"/>
                <w:color w:val="auto"/>
              </w:rPr>
              <w:t>Industry Segments</w:t>
            </w:r>
          </w:p>
        </w:tc>
        <w:tc>
          <w:tcPr>
            <w:tcW w:w="2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 Loan</w:t>
            </w:r>
          </w:p>
        </w:tc>
        <w:tc>
          <w:tcPr>
            <w:tcW w:w="1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Payment</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Adjusted with</w:t>
            </w:r>
          </w:p>
        </w:tc>
        <w:tc>
          <w:tcPr>
            <w:tcW w:w="10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Interest Only</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Adjusted with</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(Dollars in Thousands)</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Loan Balance</w:t>
            </w:r>
          </w:p>
        </w:tc>
        <w:tc>
          <w:tcPr>
            <w:tcW w:w="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Portfolio</w:t>
            </w:r>
          </w:p>
        </w:tc>
        <w:tc>
          <w:tcPr>
            <w:tcW w:w="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Deferment</w:t>
            </w:r>
          </w:p>
        </w:tc>
        <w:tc>
          <w:tcPr>
            <w:tcW w:w="28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Deferment</w:t>
            </w:r>
          </w:p>
        </w:tc>
        <w:tc>
          <w:tcPr>
            <w:tcW w:w="3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Modifications</w:t>
            </w:r>
          </w:p>
        </w:tc>
        <w:tc>
          <w:tcPr>
            <w:tcW w:w="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Interest Only</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Hospitality (Hotels)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71,128</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Restaurants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21,786</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8,267</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Retail Commercial</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Real Estate *</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116,395</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w:t>
            </w: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32,804</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23,602</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1,467</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2,321</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 Dealers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25,647</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Gas Stations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19,700</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12,849</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20,669</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63.52%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gridSpan w:val="2"/>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278,258</w:t>
            </w:r>
          </w:p>
        </w:tc>
        <w:tc>
          <w:tcPr>
            <w:tcW w:w="3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32,538</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124,040</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20" w:type="dxa"/>
            <w:vAlign w:val="bottom"/>
            <w:gridSpan w:val="2"/>
          </w:tcPr>
          <w:p>
            <w:pPr>
              <w:spacing w:after="0"/>
              <w:rPr>
                <w:sz w:val="20"/>
                <w:szCs w:val="20"/>
                <w:color w:val="auto"/>
              </w:rPr>
            </w:pPr>
            <w:r>
              <w:rPr>
                <w:rFonts w:ascii="Arial" w:cs="Arial" w:eastAsia="Arial" w:hAnsi="Arial"/>
                <w:sz w:val="18"/>
                <w:szCs w:val="18"/>
                <w:color w:val="auto"/>
              </w:rPr>
              <w:t># of Customers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*Includes Owner Occupied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on Adjusted Loans as of June 30, 2020</w:t>
      </w:r>
    </w:p>
    <w:p>
      <w:pPr>
        <w:spacing w:after="0" w:line="251"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Additional information, on the chart depicting the commercial loan payment modification summary above, is of the largest amounts in the Other line item. Under the payment deferment, Other includes $8.8 million of general medical and surgical hospitals and $2.7 million of multi-family real estate. The interest-only deferment for Other includes car washes of $5.2 million and $13 million of industrial commercial real estate.</w:t>
      </w:r>
    </w:p>
    <w:p>
      <w:pPr>
        <w:spacing w:after="0" w:line="108"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Our credit administration is closely monitoring and analyzing these higher risk segments within the loan portfolio, tracking loan payment deferrals, customer liquidity and providing timely reports to senior management and the board of directors. Based on the Company’s capital levels, prudent underwriting policies, loan concentration diversification and our geographic footprint, we expect to be able to manage the economic risks and uncertainties associated with the pandemic and remain adequately capitalized.</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46"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 full service banking offices throughout Northwest Ohio and Northeast Indiana.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On January 1, 2019, six offices of Bank of Geneva, located in the Indiana counties of Adams, Allen and Jay, were merged with and into The Farmers &amp; Merchants State Bank. The Bank has continued its expansion strategy and the new offices have provided new growth opportunities.</w:t>
      </w:r>
    </w:p>
    <w:p>
      <w:pPr>
        <w:spacing w:after="0" w:line="97"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37"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During second quarter 2019, “Smart 25” checking and Business Money Market savings products were launched. Upgrades to our digital products and services continue to occur in both retail and business lines.</w:t>
      </w:r>
    </w:p>
    <w:p>
      <w:pPr>
        <w:spacing w:after="0" w:line="133"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5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30"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and described more thoroughly below on the basis of general loan type. In addition, credit scores of those seeking consumer credit are reviewed and if they do not meet the Bank's Loan Policy guidelines an additional officer approval is required.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500" w:hanging="372"/>
        <w:spacing w:after="0"/>
        <w:tabs>
          <w:tab w:leader="none" w:pos="1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500" w:hanging="372"/>
        <w:spacing w:after="0"/>
        <w:tabs>
          <w:tab w:leader="none" w:pos="1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32" w:lineRule="exact"/>
        <w:rPr>
          <w:rFonts w:ascii="Arial" w:cs="Arial" w:eastAsia="Arial" w:hAnsi="Arial"/>
          <w:sz w:val="16"/>
          <w:szCs w:val="16"/>
          <w:color w:val="auto"/>
        </w:rPr>
      </w:pPr>
    </w:p>
    <w:p>
      <w:pPr>
        <w:ind w:left="1500" w:hanging="372"/>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ind w:left="1500" w:hanging="372"/>
        <w:spacing w:after="0" w:line="258" w:lineRule="auto"/>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1" w:lineRule="exact"/>
        <w:rPr>
          <w:rFonts w:ascii="Arial" w:cs="Arial" w:eastAsia="Arial" w:hAnsi="Arial"/>
          <w:sz w:val="18"/>
          <w:szCs w:val="18"/>
          <w:color w:val="auto"/>
        </w:rPr>
      </w:pPr>
    </w:p>
    <w:p>
      <w:pPr>
        <w:ind w:left="1500" w:hanging="372"/>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500" w:hanging="372"/>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500" w:hanging="37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500" w:hanging="372"/>
        <w:spacing w:after="0"/>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500" w:hanging="372"/>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6" w:lineRule="exact"/>
        <w:rPr>
          <w:sz w:val="20"/>
          <w:szCs w:val="20"/>
          <w:color w:val="auto"/>
        </w:rPr>
      </w:pPr>
    </w:p>
    <w:p>
      <w:pPr>
        <w:ind w:left="2240" w:hanging="369"/>
        <w:spacing w:after="0"/>
        <w:tabs>
          <w:tab w:leader="none" w:pos="2240" w:val="left"/>
        </w:tabs>
        <w:numPr>
          <w:ilvl w:val="0"/>
          <w:numId w:val="24"/>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40" w:hanging="369"/>
        <w:spacing w:after="0" w:line="232" w:lineRule="auto"/>
        <w:tabs>
          <w:tab w:leader="none" w:pos="2240" w:val="left"/>
        </w:tabs>
        <w:numPr>
          <w:ilvl w:val="0"/>
          <w:numId w:val="24"/>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500" w:hanging="372"/>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43"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7"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At June 30, 2020, we had 371 full time equivalent employees. The employees are not represented by a collective bargaining unit. We provide our employees with a comprehensive benefit program, some of which is contributory. We consider our employee relations to be good.</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RECENT REGULATORY DEVELOPMENTS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85" w:lineRule="auto"/>
        <w:rPr>
          <w:sz w:val="20"/>
          <w:szCs w:val="20"/>
          <w:color w:val="auto"/>
        </w:rPr>
      </w:pPr>
      <w:r>
        <w:rPr>
          <w:rFonts w:ascii="Arial" w:cs="Arial" w:eastAsia="Arial" w:hAnsi="Arial"/>
          <w:sz w:val="16"/>
          <w:szCs w:val="16"/>
          <w:color w:val="auto"/>
        </w:rPr>
        <w:t>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can involve modification of loan terms for existing borrowers, waiver of certain fees and charges, providing small dollar loans, and offering forbearance and payment deferrals on mortgage loan obligations due to financial hardship. Legislation enacted in March 2020 has provided the Families First Coronavirus Response Act (FFCRA) and CARES Act. The FFCRA which is effective through December 31, 2020, provides for a paid leave for employees (of employers with fewer than 500 employees) who must quarantine due to the coronavirus, are caring for a sick family member, or caring for a child out of school. It significantly expands existing protections currently available to employees who take leave to care for a sick family member. The CARES Act, among other matters, resulted in expansion of SBA Lending Programs; provided for a financial election to suspend GAAP principles and regulatory determinations for COVID-19 related loan modifications that would otherwise be deemed Trouble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has been the rollout of the SBA Paycheck Protection Program (PPP). The PPP authorized lending of up to $350 billion in 100% guaranteed 7(a) loans to cover payroll costs, interest on mortgage payments, rent obligations, and utilities. The PPP provides a guaranteed loan for which a portion of the loan up to or equal to 8 weeks of covered payroll and specific operating expenses can be forgiven. The maximum loan size is capped at the lessor of 250% of the average monthly payroll costs or $10 million.</w:t>
      </w:r>
    </w:p>
    <w:p>
      <w:pPr>
        <w:spacing w:after="0" w:line="144"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In April,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restrictions on payroll tax deferral. The term for subsequent PPO loans made after enactment of the PPPFA was extended to five years from two. A greater focus is now directed to aiding PPP borrowers in navigating the loan forgiveness process. Further legislation and regulatory guidance may result depending on the duration of the COVID-19 spread and subsequent economic impact to customers, communities, businesses, and industry sectors.</w:t>
      </w:r>
    </w:p>
    <w:p>
      <w:pPr>
        <w:spacing w:after="0" w:line="13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ind w:left="760"/>
        <w:spacing w:after="0" w:line="288"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5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June 30, 2020 OREO property holdings were $135 thousand. OREO totaled $214 thousand and $329 thousand as of December 31, 2019 and June 30, 2019 respectively.</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4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 spite of the ongoing COVID-19 pandemic, the Company plans to continue in its growth mode in 2020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 Competition for deposits is intense with most competitors offering “special” rates for specific terms.</w:t>
      </w:r>
    </w:p>
    <w:p>
      <w:pPr>
        <w:spacing w:after="0" w:line="15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Liquidity in terms of cash and cash equivalents ended $34.1 million higher as of June 30, 2020 than it was at yearend December 31, 2019. An increase in deposits helped to fund the $123 million increase in net loans since yearend 2019. Commercial real estate, consumer real estate, commercial and industrial and consumer portfolios increased compared to December 31, 2019. The remaining two portfolios decreased by approximately the same amount compared to yearend.</w:t>
      </w:r>
    </w:p>
    <w:p>
      <w:pPr>
        <w:spacing w:after="0" w:line="160"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In comparing to the same prior year period, the June 30, 2020 (net of deferred fees and cost) loan balances of $1.3 billion accounted for $253.6 million or 23.2% increase when compared to 2019’s $1.1 billion. The year over year improvement was made up of a combined increase of 108.8% in commercial and industrial related loans (comprised of 32.9% in commercial real estate loans and 75.9% in non-real estate commercial loans). PPP loans of approximately $87 million are included in the non-real estate commercial portfolio. Consumer real estate loans increased by 9.2%, consumer loans by 2.4% and other loans by 32.3%. Agricultural related loans (comprised of an increase of 0.4% in agricultural real estate and a decrease of 5.5% in non-real estate agricultural loans) decreased 5.1% year over year. The Company credits the growth to the strong team of lenders focused on providing customers valuable localized services and thereby increasing our market share.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chart below shows the breakdown of the loan portfolio category as of June 30, for the last three years, net of deferred fees and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June 30, 2020</w:t>
            </w:r>
          </w:p>
        </w:tc>
        <w:tc>
          <w:tcPr>
            <w:tcW w:w="14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9"/>
              </w:rPr>
              <w:t>June 30, 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7"/>
              </w:rPr>
              <w:t>June 30, 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173,615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158,957</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588,176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Consumer</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Loans, net</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1,091,131</w:t>
            </w:r>
          </w:p>
        </w:tc>
        <w:tc>
          <w:tcPr>
            <w:tcW w:w="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contractual maturity schedule by major category of loans excluding fair value adjustments as of June 30,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After One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Within</w:t>
            </w:r>
          </w:p>
        </w:tc>
        <w:tc>
          <w:tcPr>
            <w:tcW w:w="26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Year Within</w:t>
            </w:r>
          </w:p>
        </w:tc>
        <w:tc>
          <w:tcPr>
            <w:tcW w:w="34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After</w:t>
            </w:r>
          </w:p>
        </w:tc>
      </w:tr>
      <w:tr>
        <w:trPr>
          <w:trHeight w:val="230"/>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One Year</w:t>
            </w:r>
          </w:p>
        </w:tc>
        <w:tc>
          <w:tcPr>
            <w:tcW w:w="26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Five Years</w:t>
            </w:r>
          </w:p>
        </w:tc>
        <w:tc>
          <w:tcPr>
            <w:tcW w:w="34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Five Years</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29,040</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183,375</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286,755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262,246</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149,927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18,308</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While the security portfolio has been utilized to fund loan growth for the last three years, additional sources have been cultivated during 2018, 2019, and 2020. The security portfolio increased $14 million in the first six months of 2020 from yearend 2019. The amount of pledged investment securities decreased by $1.4 million as compared to yearend and increased $1.2 million as compared to June 30, 2019. Liquidity is improved with the additional option of selling unpledged investment securities if needed to fund loan growth or other initiatives. As of June 30, 2020, pledged investment securities totaled $87.4 million. The current portfolio is in a net unrealized gain position of $6.8 million.</w:t>
      </w:r>
    </w:p>
    <w:p>
      <w:pPr>
        <w:spacing w:after="0" w:line="18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For the Bank, an additional $3.1 million is also available from the Federal Home Loan Bank based on current amounts of pledged collateral, with up to $51 million available in additional borrowings provided adequate additional collateral is pledged.</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$148.1 million of unsecured borrowing capacity through its correspondent banks.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Overall total assets increased 11.0% since yearend 2019 and grew 16.6% since June 30, 2019. The largest growth in both periods was in the loan portfolios followed by cash and equivalents in 2020 and securities in 2019. COVID-19 has not had an impact on Goodwill at this point but will continue to be monitored going forward.</w:t>
      </w:r>
    </w:p>
    <w:p>
      <w:pPr>
        <w:spacing w:after="0" w:line="143"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Deposits accounted for the largest growth within liabilities, up 14.7% or $189 million since yearend and 18.9% or $235 million over June 30, 2019 balances. As stated previously, the growth of deposits correlated to a flight to safety as the stock market experienced great volatility.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4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Shareholders’ equity increased by $10 million as of the second quarter of 2020 compared to yearend 2019, as earnings exceeded dividend declarations during the six months ended June 30, 2020. Accumulated other comprehensive income increased in gain position by $4.3 million from December 2019 to an unrealized gain of $5.4 million at June 30, 2020. Dividends declared were the same as fourth quarter 2019 and first quarter 2020 at $0.16 per share. Compared to June 30, 2019, shareholders’ equity increased 7.3% or $16.3 million. Profits are lower year-to-date June 2020 than year-to-date June 2019 by $495 thousand.</w:t>
      </w:r>
    </w:p>
    <w:p>
      <w:pPr>
        <w:spacing w:after="0" w:line="14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June 30, 2020, the Company and the Bank are both positioned well above the 2019 requirement.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Holding Company has sufficient liquidity to maintain its dividend policy without relying on the upstreaming of dividends from the Bank.</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Bank continues to be well-capitalized in accordance with Federal regulatory capital requirements as the capital ratios below show:</w:t>
      </w:r>
    </w:p>
    <w:p>
      <w:pPr>
        <w:spacing w:after="0" w:line="266"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46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three month periods ended June 30, 2020 and 2019</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When comparing second quarter 2020 to second quarter 2019, average loan balances grew $214.1 million with PPP loans accounting for $87.2 million of the increase. This represented a 19.3% increase in a one-year time period. Interest income on loan balances experienced a decrease of $531 thousand as compared to the quarter ended June 30, 2019 which included $2.0 million for the reversal of the estimated credit loss associated with the payoff of two purchase credit-impaired loans. Net fee income for the PPP loans is recognized on a straight line basis over 24 months and will be accelerated upon payoff. PPP loan income for the quarter included interest income of $169.9 thousand and net fee income of $318.2 thousand.</w:t>
      </w:r>
    </w:p>
    <w:p>
      <w:pPr>
        <w:spacing w:after="0" w:line="152"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The available-for-sale securities portfolio increased in average balances by $8.5 million when comparing to the previous year while the income decreased $67 thousand over second quarter. Fed Funds sold and interest-bearing deposits increased in average balances by $5.8 million as compared to the same quarter in 2019 with decreased income of $412 thousand for the current quarter due to much lower interest rates.</w:t>
      </w:r>
    </w:p>
    <w:p>
      <w:pPr>
        <w:spacing w:after="0" w:line="10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spite of the increase in the average balances of the Bank’s average earning assets, overall total interest income for the quarter comparisons was lower for second quarter 2020 by 5.5% or $1.0 million as compared to second quarter 2019. Decreases in the prime lending rate between the periods also contributed to the decrease in interest income and rate yield.</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Annualized yield, for the quarter ended June 30, 2020, was 4.25% as compared to 5.25% for the quarter ended June 30, 2019.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40" w:type="dxa"/>
            <w:vAlign w:val="bottom"/>
            <w:gridSpan w:val="6"/>
          </w:tcPr>
          <w:p>
            <w:pPr>
              <w:ind w:left="1080"/>
              <w:spacing w:after="0"/>
              <w:rPr>
                <w:sz w:val="20"/>
                <w:szCs w:val="20"/>
                <w:color w:val="auto"/>
              </w:rPr>
            </w:pPr>
            <w:r>
              <w:rPr>
                <w:rFonts w:ascii="Arial" w:cs="Arial" w:eastAsia="Arial" w:hAnsi="Arial"/>
                <w:sz w:val="18"/>
                <w:szCs w:val="18"/>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52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7"/>
              </w:rPr>
              <w:t>Quarter to Date Ended June 30, 2020</w:t>
            </w:r>
          </w:p>
        </w:tc>
        <w:tc>
          <w:tcPr>
            <w:tcW w:w="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Annualized Yield/Rate</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Average Balance</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Interest/Dividends</w:t>
            </w: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June 30, 2020</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June 30, 2019</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1,321,405</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16,192</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189,977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93,041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1,626,338</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ind w:left="2920"/>
        <w:spacing w:after="0"/>
        <w:rPr>
          <w:sz w:val="20"/>
          <w:szCs w:val="20"/>
          <w:color w:val="auto"/>
        </w:rPr>
      </w:pPr>
      <w:r>
        <w:rPr>
          <w:rFonts w:ascii="Arial" w:cs="Arial" w:eastAsia="Arial" w:hAnsi="Arial"/>
          <w:sz w:val="18"/>
          <w:szCs w:val="18"/>
          <w:u w:val="single" w:color="auto"/>
          <w:color w:val="auto"/>
        </w:rPr>
        <w:t>Change in Interest Income Quarter to Date June 30, 2020 Compared to June 30, 2019</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89"/>
              </w:rPr>
              <w:t>Change Due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w w:val="94"/>
              </w:rPr>
              <w:t>Change Due</w:t>
            </w: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Total Change</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to Volume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 Rate</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2,625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w:t>
            </w: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29"/>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2,656</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Offsetting the decrease in interest income for the quarter was the decrease in interest expense in 2020. Second quarter 2020 was lower by $1.1 million compared to second quarter 2019. Since 2019, average interest-bearing deposit balances have increased $145.7 million or 11.4% and the Company recognized approximately $1.1 million less in interest expense for the most recent quarter. The prime rate has dropped 150 basis points to date in 2020. Management has adjusted deposit rates accordingly. Interest expense on FHLB borrowings was down $12 thousand in the second quarter 2020 over the same time frame in 2019 due to borrowings taken on from the Limberlost acquisition being repaid.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18"/>
              <w:spacing w:after="0"/>
              <w:rPr>
                <w:sz w:val="20"/>
                <w:szCs w:val="20"/>
                <w:color w:val="auto"/>
              </w:rPr>
            </w:pPr>
            <w:r>
              <w:rPr>
                <w:rFonts w:ascii="Arial" w:cs="Arial" w:eastAsia="Arial" w:hAnsi="Arial"/>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right"/>
              <w:ind w:right="38"/>
              <w:spacing w:after="0"/>
              <w:rPr>
                <w:sz w:val="20"/>
                <w:szCs w:val="20"/>
                <w:color w:val="auto"/>
              </w:rPr>
            </w:pPr>
            <w:r>
              <w:rPr>
                <w:rFonts w:ascii="Arial" w:cs="Arial" w:eastAsia="Arial" w:hAnsi="Arial"/>
                <w:sz w:val="18"/>
                <w:szCs w:val="18"/>
                <w:color w:val="auto"/>
              </w:rPr>
              <w:t>Quarter to Date Ended June 30, 2020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Interest</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June 30, 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859,644</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15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269,897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30,300</w:t>
            </w:r>
          </w:p>
        </w:tc>
        <w:tc>
          <w:tcPr>
            <w:tcW w:w="1560" w:type="dxa"/>
            <w:vAlign w:val="bottom"/>
            <w:gridSpan w:val="3"/>
            <w:shd w:val="clear" w:color="auto" w:fill="CFF0FC"/>
          </w:tcPr>
          <w:p>
            <w:pPr>
              <w:jc w:val="right"/>
              <w:ind w:right="115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1,183,337</w:t>
            </w: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20" w:type="dxa"/>
            <w:vAlign w:val="bottom"/>
          </w:tcPr>
          <w:p>
            <w:pPr>
              <w:jc w:val="right"/>
              <w:ind w:right="115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8020" w:type="dxa"/>
            <w:vAlign w:val="bottom"/>
            <w:gridSpan w:val="11"/>
          </w:tcPr>
          <w:p>
            <w:pPr>
              <w:ind w:left="1760"/>
              <w:spacing w:after="0"/>
              <w:rPr>
                <w:sz w:val="20"/>
                <w:szCs w:val="20"/>
                <w:color w:val="auto"/>
              </w:rPr>
            </w:pPr>
            <w:r>
              <w:rPr>
                <w:rFonts w:ascii="Arial" w:cs="Arial" w:eastAsia="Arial" w:hAnsi="Arial"/>
                <w:sz w:val="18"/>
                <w:szCs w:val="18"/>
                <w:color w:val="auto"/>
                <w:w w:val="89"/>
              </w:rPr>
              <w:t>Change in Interest Expense Quarter to Date June 30, 2020 Compared to June 30, 2019</w:t>
            </w:r>
          </w:p>
        </w:tc>
        <w:tc>
          <w:tcPr>
            <w:tcW w:w="960" w:type="dxa"/>
            <w:vAlign w:val="bottom"/>
          </w:tcPr>
          <w:p>
            <w:pPr>
              <w:spacing w:after="0"/>
              <w:rPr>
                <w:sz w:val="18"/>
                <w:szCs w:val="18"/>
                <w:color w:val="auto"/>
              </w:rPr>
            </w:pPr>
          </w:p>
        </w:tc>
      </w:tr>
      <w:tr>
        <w:trPr>
          <w:trHeight w:val="493"/>
        </w:trPr>
        <w:tc>
          <w:tcPr>
            <w:tcW w:w="176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09"/>
        </w:trPr>
        <w:tc>
          <w:tcPr>
            <w:tcW w:w="1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color w:val="auto"/>
                <w:w w:val="92"/>
              </w:rPr>
              <w:t>Change Due</w:t>
            </w: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1"/>
              </w:rPr>
              <w:t>to Volume</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to Rate</w:t>
            </w: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40" w:type="dxa"/>
            <w:vAlign w:val="bottom"/>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Other time deposits</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Fed funds purchased &amp; securities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3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Overall, net interest spread for the second quarter 2020 was 46 basis points lower than last year. As the following chart indicates, the decline in yields on interest earning assets was greater than the decline in the cost of funds when comparing to the same period a year ago.</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17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June 30, 2020</w:t>
            </w:r>
          </w:p>
        </w:tc>
        <w:tc>
          <w:tcPr>
            <w:tcW w:w="2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June 30, 2019</w:t>
            </w:r>
          </w:p>
        </w:tc>
        <w:tc>
          <w:tcPr>
            <w:tcW w:w="3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June 30, 2018</w:t>
            </w:r>
          </w:p>
        </w:tc>
        <w:tc>
          <w:tcPr>
            <w:tcW w:w="1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7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4.25%</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5.25%</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Expense/cost</w:t>
            </w:r>
          </w:p>
        </w:tc>
        <w:tc>
          <w:tcPr>
            <w:tcW w:w="17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78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vMerge w:val="continue"/>
            <w:shd w:val="clear" w:color="auto" w:fill="CFF0FC"/>
          </w:tcPr>
          <w:p>
            <w:pPr>
              <w:spacing w:after="0"/>
              <w:rPr>
                <w:sz w:val="19"/>
                <w:szCs w:val="19"/>
                <w:color w:val="auto"/>
              </w:rPr>
            </w:pPr>
          </w:p>
        </w:tc>
        <w:tc>
          <w:tcPr>
            <w:tcW w:w="17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3.34%</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Interest Margin</w:t>
            </w:r>
          </w:p>
        </w:tc>
        <w:tc>
          <w:tcPr>
            <w:tcW w:w="1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80" w:type="dxa"/>
            <w:vAlign w:val="bottom"/>
            <w:vMerge w:val="restart"/>
          </w:tcPr>
          <w:p>
            <w:pPr>
              <w:jc w:val="right"/>
              <w:ind w:right="430"/>
              <w:spacing w:after="0"/>
              <w:rPr>
                <w:sz w:val="20"/>
                <w:szCs w:val="20"/>
                <w:color w:val="auto"/>
              </w:rPr>
            </w:pPr>
            <w:r>
              <w:rPr>
                <w:rFonts w:ascii="Arial" w:cs="Arial" w:eastAsia="Arial" w:hAnsi="Arial"/>
                <w:sz w:val="18"/>
                <w:szCs w:val="18"/>
                <w:color w:val="auto"/>
              </w:rPr>
              <w:t>57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Net interest income was only up $41 thousand for the second quarter 2020 over the same time frame in 2019 with the decrease in loan interest income offset by lower interest expense, as previously mentioned. As the new loans added in 2019 and 2020 generate more income, management expects the benefits of the Company’s strategy of repositioning the balance sheet to continue to widen this margin as measured in dollars. In terms of net interest margin rate, the Bank recognizes competition for deposits has and will continue to put pressure on the margin which may lead to a tightening.</w:t>
      </w:r>
    </w:p>
    <w:p>
      <w:pPr>
        <w:spacing w:after="0" w:line="157" w:lineRule="exact"/>
        <w:rPr>
          <w:sz w:val="20"/>
          <w:szCs w:val="20"/>
          <w:color w:val="auto"/>
        </w:rPr>
      </w:pPr>
    </w:p>
    <w:p>
      <w:pPr>
        <w:ind w:left="760" w:right="304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Noninterest Results of Operations - Second Quarter 2020 to Second Quarter 2019 </w:t>
      </w:r>
      <w:r>
        <w:rPr>
          <w:rFonts w:ascii="Arial" w:cs="Arial" w:eastAsia="Arial" w:hAnsi="Arial"/>
          <w:sz w:val="18"/>
          <w:szCs w:val="18"/>
          <w:b w:val="1"/>
          <w:bCs w:val="1"/>
          <w:color w:val="auto"/>
        </w:rPr>
        <w:t>Provision Expense</w:t>
      </w:r>
    </w:p>
    <w:p>
      <w:pPr>
        <w:jc w:val="both"/>
        <w:ind w:left="760"/>
        <w:spacing w:after="0" w:line="291" w:lineRule="auto"/>
        <w:rPr>
          <w:sz w:val="20"/>
          <w:szCs w:val="20"/>
          <w:color w:val="auto"/>
        </w:rPr>
      </w:pPr>
      <w:r>
        <w:rPr>
          <w:rFonts w:ascii="Arial" w:cs="Arial" w:eastAsia="Arial" w:hAnsi="Arial"/>
          <w:sz w:val="16"/>
          <w:szCs w:val="16"/>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commercial and industrial and consumer loan portfolios accounted for the largest component of charge-offs while the consumer portfolio accounted for the largest component of recoveries for second quarter of 2020 and 2019. The commercial real estate portfolio is currently creating a large impact on the ALLL due to the loan growth.</w:t>
      </w:r>
    </w:p>
    <w:p>
      <w:pPr>
        <w:spacing w:after="0" w:line="139"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Total provision for loan losses was $1.4 million higher for the second quarter 2020 as compared to the same quarter 2019. Provision for loan loss was increased due to the uncertainty related to COVID-19 and its effects on the ability of individuals, businesses and other entities to meet their financial obligations. Therefore, it is prudent to incorporate the impact of COVID-19 in the evaluation of the adequacy of Allowance for Loan and Lease Losses (ALLL). Due to the governors’ prior closure of non-essential businesses in many states, including restaurants (except for carryout and delivery), hair salons, and retail establishments, the risk in those industries has increased. The restaurant and hospitality sectors have been hit especially hard. Risk in the Consumer and 1-4 Family Portfolio has increased but the full impact remains unknown. Increases to the Bank’s ALLL for the second quarter of 2020, centered around current customers and businesses that are particularly vulnerable due to the stay at home order and qualitative factors, were adjusted accordingly. Management continues to monitor asset quality, making adjustments to the provision as necessary. Loan charge-offs were $109 thousand higher in second quarter 2020 than the same quarter 2019. Recoveries were $26 thousand higher in second quarter 2020 as compared to second quarter 2019. Combined net charge-offs were $83 thousand higher in second quarter 2020 than the same time period 2019. Past due loans, which include no deferrals related to COVID-19, decreased $809 thousand at June 30, 2020 as compared to June 30, 2019. The majority of the change is attributed to the decrease of past due balances in the agricultural and agricultural real estate portfolios with an increase in the consumer real estate portfolio.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2020, 2019, and 2018.</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color w:val="auto"/>
                <w:w w:val="91"/>
              </w:rPr>
              <w:t>Three Months</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8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280" w:type="dxa"/>
            <w:vAlign w:val="bottom"/>
          </w:tcPr>
          <w:p>
            <w:pPr>
              <w:spacing w:after="0"/>
              <w:rPr>
                <w:sz w:val="18"/>
                <w:szCs w:val="18"/>
                <w:color w:val="auto"/>
              </w:rPr>
            </w:pPr>
          </w:p>
        </w:tc>
        <w:tc>
          <w:tcPr>
            <w:tcW w:w="216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6"/>
              </w:rPr>
              <w:t>June 30, 2020</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color w:val="auto"/>
                <w:w w:val="87"/>
              </w:rPr>
              <w:t>June 30, 2019</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June 30, 2018</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1,344,723</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1,091,131</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831,015</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1,321,405</w:t>
            </w:r>
          </w:p>
        </w:tc>
        <w:tc>
          <w:tcPr>
            <w:tcW w:w="2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1,107,271</w:t>
            </w:r>
          </w:p>
        </w:tc>
        <w:tc>
          <w:tcPr>
            <w:tcW w:w="3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833,932</w:t>
            </w: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Allowance for Loan Losses - April 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8,533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6,636</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128</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1,569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Loan &amp; Lease Losses - June 30,</w:t>
            </w:r>
          </w:p>
        </w:tc>
        <w:tc>
          <w:tcPr>
            <w:tcW w:w="22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9,933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6,683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&amp; Letters of Credit - June 30,</w:t>
            </w: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June 30,</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10,538</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7,053</w:t>
            </w:r>
          </w:p>
        </w:tc>
        <w:tc>
          <w:tcPr>
            <w:tcW w:w="3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198"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Loans classified as nonaccrual were higher as of June 30, 2020 at $8.5 million as compared to $1.3 million as of June 30, 2019. The majority of the increase wa in the agricultural real estate, consumer real estate and commercial and industrial portfolios.</w:t>
      </w:r>
    </w:p>
    <w:p>
      <w:pPr>
        <w:spacing w:after="0" w:line="14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balances for allowance for loan losses by loan type for six months ended June 30, 2020 and June 30, 2019.</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(In Thousands)</w:t>
            </w:r>
          </w:p>
        </w:tc>
        <w:tc>
          <w:tcPr>
            <w:tcW w:w="146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1"/>
              </w:rPr>
              <w:t>June 30, 2020</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June 30, 2019</w:t>
            </w:r>
          </w:p>
        </w:tc>
        <w:tc>
          <w:tcPr>
            <w:tcW w:w="14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Amount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570</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12.91%</w:t>
            </w:r>
          </w:p>
        </w:tc>
        <w:tc>
          <w:tcPr>
            <w:tcW w:w="180" w:type="dxa"/>
            <w:vAlign w:val="bottom"/>
            <w:tcBorders>
              <w:top w:val="single" w:sz="8" w:color="auto"/>
            </w:tcBorders>
            <w:gridSpan w:val="2"/>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46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1,036</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4,458</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43.74%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3,320</w:t>
            </w:r>
          </w:p>
        </w:tc>
        <w:tc>
          <w:tcPr>
            <w:tcW w:w="1460" w:type="dxa"/>
            <w:vAlign w:val="bottom"/>
          </w:tcPr>
          <w:p>
            <w:pPr>
              <w:jc w:val="right"/>
              <w:spacing w:after="0"/>
              <w:rPr>
                <w:sz w:val="20"/>
                <w:szCs w:val="20"/>
                <w:color w:val="auto"/>
              </w:rPr>
            </w:pPr>
            <w:r>
              <w:rPr>
                <w:rFonts w:ascii="Arial" w:cs="Arial" w:eastAsia="Arial" w:hAnsi="Arial"/>
                <w:sz w:val="18"/>
                <w:szCs w:val="18"/>
                <w:color w:val="auto"/>
              </w:rPr>
              <w:t>40.56%</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2,423</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4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9,933</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6,683</w:t>
            </w:r>
          </w:p>
        </w:tc>
        <w:tc>
          <w:tcPr>
            <w:tcW w:w="146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605</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10,538</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7,053</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Noninterest Income</w:t>
      </w:r>
    </w:p>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Noninterest income was up $345 thousand for the second quarter 2020 over the same time frame in 2019. The Company has seen an increase in its mortgage production volume and the gain on the sale of these loans was $168 thousand higher for the second quarter 2020 over the same period in 2019. Loan originations on loans held for sale for the second quarter 2020 were $70.7 million with proceeds from sale at $62.5 million for 2020 compared to 2019’s second quarter activity of $17.3 million in originations and $15.9 million in sales. The increase in loan originations was driven by the refinance activity associated with the reduction in interest rates. The mortgages sold were both 1-4 family and agricultural real estate loans originated for sale.</w:t>
      </w:r>
    </w:p>
    <w:p>
      <w:pPr>
        <w:spacing w:after="0" w:line="152"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Combined service fees increased by $177 thousand as compared to second quarter 2019. Service fee income for 1-4 family and agricultural real estate loans increased by $199 thousand, mortgage release fees increased $160 thousand, servicing rights income increased $261 thousand and debit card income increased by $97 thousand over the same quarter in 2019. The additional fee income was offset by a decrease in overdraft and returned check charges of $350 thousand, miscellaneous service charges of $99 thousand and credit card fees of $51 thousand.</w:t>
      </w:r>
    </w:p>
    <w:p>
      <w:pPr>
        <w:spacing w:after="0" w:line="11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Bank may see an impact in some of the line items such as interchange fee income and overdraft fees going forward; however, we do see additional income being derived from home loan activity.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second quarter of 2020 and 2019, mortgage servicing rights caused a net $68 thousand in income. The higher capitalized additions for 2020 are attributed to a higher loan origination level of 1-4 families. A lower interest rate environment has helped to generate the mortgage refinance activity. For loans of 15 years and less, the value was 0.538% in the second quarter 2020 versus 1.19% in second quarter 2019. For loans over 15 years, the value was 0.716% versus 1.34% for the same periods respectively. The carrying value is well below the market value of $3.5 million which indicates any large expense to fund the valuation allowance to be unlikely in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Six Months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8"/>
                <w:szCs w:val="18"/>
                <w:color w:val="auto"/>
              </w:rPr>
              <w:t>(In Thousands)</w:t>
            </w:r>
          </w:p>
        </w:tc>
      </w:tr>
      <w:tr>
        <w:trPr>
          <w:trHeight w:val="223"/>
        </w:trPr>
        <w:tc>
          <w:tcPr>
            <w:tcW w:w="346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Capitalized Additions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Ending Balance, June 30,</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Mortgage Servicing Rights net, June 30,</w:t>
            </w: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For the second quarter 2020, noninterest expenses were $682 thousand higher than for the same quarter in 2019. Salaries, wages, and employee benefits (includes normal merit increases, restricted stock expense, incentive payout and all employee benefits) increased $260 thousand in total which was comprised of increased salaries of $265 thousand and decreased benefits of $5 thousand. Furniture and equipment expenses decreased $13 thousand from the prior year primarily due to an increase in depreciation of $44 thousand and a decrease in maintenance contracts of $51 thousand. Data processing charges increased $32 thousand for second quarter 2020. Building occupancy costs decreased $50 thousand and advertising decreased $117 thousand for the quarter. Franchise taxes increased $140 thousand over second quarter 2019 with the increase in equity due to the issuance of stock in the Bank of Geneva acquisition. Consulting fees and other general and administrative expenses were up $122 thousand and $88 thousand respectfully as compared to second quarter 2019.</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Federal income tax expense was $356 thousand lower for the second quarter 2020 compared to the same quarter in 2019. Effective tax rates were 19.10% and 19.43% for second quarter 2020 and 2019 respectively. The lower effective tax rate for second quarter 2020 equated to a decrease in federal income tax expense of only $20 thousand with the remainder attributed to the decrease in pre-tax income.</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Results overall, net income in the second quarter of 2020 was down $1.4 million as compared to the same quarter last year. Second quarter 2020 included an additional $1.4 million of loan loss provision as compared to second quarter 2019. Second quarter 2019 included $1.6 million tax adjusted for the reversal of the estimated credit loss associated with the payoff of two purchase credit-impaired loans As discussed previously, the long-term effects of COVID-19 and the ability of borrowers to make timely payments are unknown at this time. The Company has done an exceptional job of growing loans while keeping past dues low. The Company remains strong, stable, and well capitalized and has the capacity to continue to cover the increased costs of expansion.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Comparison of Results of Interest Earnings and Expenses for six month periods ended June 30, 2020 and 2019</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Income</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Higher loan balances created the improvement in the interest income for the first six months of 2020 as compared to the first six months of 2019. Interest income rose 1.7% or $592 thousand while interest income from loans accounted for the majority of the increase. Contributing to the improvement was an increase in securities income of $374 thousand offset by a decrease in income from Fed Funds sold and interest-bearing deposits of $454 thousand over 2019. The asset yield decreased by 59 basis points to 4.44% for the first six months of 2020 compared to the first six months of 2019’s 5.03%. The 2019 yield was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favorably impacted by the $2.0 million reversal of the fair value adjustment from the payoff of the purchased credit-impaired loans.</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With each quarter of 2020, the loan growth has provided an offset to the overall decline in asset yield. The growth factor contribution is shown in the charts which follow.</w:t>
      </w:r>
    </w:p>
    <w:p>
      <w:pPr>
        <w:spacing w:after="0" w:line="13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average interest earning asset base was $204.4 million higher in the first six months 2020 than the first six months of 2019, an increase of approximately 15.0%.</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21% tax rate in the charts to follow.</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8"/>
          </w:tcPr>
          <w:p>
            <w:pPr>
              <w:jc w:val="right"/>
              <w:ind w:right="150"/>
              <w:spacing w:after="0"/>
              <w:rPr>
                <w:sz w:val="20"/>
                <w:szCs w:val="20"/>
                <w:color w:val="auto"/>
              </w:rPr>
            </w:pPr>
            <w:r>
              <w:rPr>
                <w:rFonts w:ascii="Arial" w:cs="Arial" w:eastAsia="Arial" w:hAnsi="Arial"/>
                <w:sz w:val="18"/>
                <w:szCs w:val="18"/>
                <w:color w:val="auto"/>
                <w:w w:val="90"/>
              </w:rPr>
              <w:t>Year to Date Ended June 30,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11"/>
          </w:tcPr>
          <w:p>
            <w:pPr>
              <w:jc w:val="right"/>
              <w:ind w:right="84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44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92"/>
              </w:rPr>
              <w:t>Interest/Dividends</w:t>
            </w: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5"/>
          </w:tcPr>
          <w:p>
            <w:pPr>
              <w:jc w:val="right"/>
              <w:ind w:right="87"/>
              <w:spacing w:after="0"/>
              <w:rPr>
                <w:sz w:val="20"/>
                <w:szCs w:val="20"/>
                <w:color w:val="auto"/>
              </w:rPr>
            </w:pPr>
            <w:r>
              <w:rPr>
                <w:rFonts w:ascii="Arial" w:cs="Arial" w:eastAsia="Arial" w:hAnsi="Arial"/>
                <w:sz w:val="18"/>
                <w:szCs w:val="18"/>
                <w:color w:val="auto"/>
                <w:w w:val="99"/>
              </w:rPr>
              <w:t>June 30, 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1,279,127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32,075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3"/>
              </w:rPr>
              <w:t>5.02%</w:t>
            </w:r>
          </w:p>
        </w:tc>
        <w:tc>
          <w:tcPr>
            <w:tcW w:w="16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190,067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3"/>
              </w:rPr>
              <w:t>2.37%</w:t>
            </w:r>
          </w:p>
        </w:tc>
        <w:tc>
          <w:tcPr>
            <w:tcW w:w="1620" w:type="dxa"/>
            <w:vAlign w:val="bottom"/>
            <w:gridSpan w:val="5"/>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3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3"/>
              </w:rPr>
              <w:t>2.36%</w:t>
            </w:r>
          </w:p>
        </w:tc>
        <w:tc>
          <w:tcPr>
            <w:tcW w:w="16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342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3"/>
              </w:rPr>
              <w:t>0.48%</w:t>
            </w:r>
          </w:p>
        </w:tc>
        <w:tc>
          <w:tcPr>
            <w:tcW w:w="1620" w:type="dxa"/>
            <w:vAlign w:val="bottom"/>
            <w:gridSpan w:val="5"/>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342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3"/>
            <w:vMerge w:val="continue"/>
            <w:shd w:val="clear" w:color="auto" w:fill="CFF0FC"/>
          </w:tcPr>
          <w:p>
            <w:pPr>
              <w:spacing w:after="0"/>
              <w:rPr>
                <w:sz w:val="19"/>
                <w:szCs w:val="19"/>
                <w:color w:val="auto"/>
              </w:rPr>
            </w:pPr>
          </w:p>
        </w:tc>
        <w:tc>
          <w:tcPr>
            <w:tcW w:w="4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1,566,495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34,737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3"/>
              </w:rPr>
              <w:t>4.44%</w:t>
            </w:r>
          </w:p>
        </w:tc>
        <w:tc>
          <w:tcPr>
            <w:tcW w:w="120" w:type="dxa"/>
            <w:vAlign w:val="bottom"/>
            <w:vMerge w:val="continue"/>
            <w:shd w:val="clear" w:color="auto" w:fill="CFF0FC"/>
          </w:tcPr>
          <w:p>
            <w:pPr>
              <w:spacing w:after="0"/>
              <w:rPr>
                <w:sz w:val="19"/>
                <w:szCs w:val="19"/>
                <w:color w:val="auto"/>
              </w:rPr>
            </w:pPr>
          </w:p>
        </w:tc>
        <w:tc>
          <w:tcPr>
            <w:tcW w:w="15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56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0" w:type="dxa"/>
            <w:vAlign w:val="bottom"/>
            <w:gridSpan w:val="19"/>
          </w:tcPr>
          <w:p>
            <w:pPr>
              <w:jc w:val="right"/>
              <w:ind w:right="390"/>
              <w:spacing w:after="0"/>
              <w:rPr>
                <w:sz w:val="20"/>
                <w:szCs w:val="20"/>
                <w:color w:val="auto"/>
              </w:rPr>
            </w:pPr>
            <w:r>
              <w:rPr>
                <w:rFonts w:ascii="Arial" w:cs="Arial" w:eastAsia="Arial" w:hAnsi="Arial"/>
                <w:sz w:val="18"/>
                <w:szCs w:val="18"/>
                <w:color w:val="auto"/>
                <w:w w:val="88"/>
              </w:rPr>
              <w:t>Change in Interest Income Year to Date June 30, 2020 Compared to June 30,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5"/>
          </w:tcPr>
          <w:p>
            <w:pPr>
              <w:jc w:val="center"/>
              <w:ind w:right="120"/>
              <w:spacing w:after="0"/>
              <w:rPr>
                <w:sz w:val="20"/>
                <w:szCs w:val="20"/>
                <w:color w:val="auto"/>
              </w:rPr>
            </w:pPr>
            <w:r>
              <w:rPr>
                <w:rFonts w:ascii="Arial" w:cs="Arial" w:eastAsia="Arial" w:hAnsi="Arial"/>
                <w:sz w:val="18"/>
                <w:szCs w:val="18"/>
                <w:color w:val="auto"/>
                <w:w w:val="90"/>
              </w:rPr>
              <w:t>(In Thousands)</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Change Due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50"/>
              <w:spacing w:after="0"/>
              <w:rPr>
                <w:sz w:val="20"/>
                <w:szCs w:val="20"/>
                <w:color w:val="auto"/>
              </w:rPr>
            </w:pPr>
            <w:r>
              <w:rPr>
                <w:rFonts w:ascii="Arial" w:cs="Arial" w:eastAsia="Arial" w:hAnsi="Arial"/>
                <w:sz w:val="18"/>
                <w:szCs w:val="18"/>
                <w:color w:val="auto"/>
                <w:w w:val="89"/>
              </w:rPr>
              <w:t>Change Due</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ind w:left="560"/>
              <w:spacing w:after="0"/>
              <w:rPr>
                <w:sz w:val="20"/>
                <w:szCs w:val="20"/>
                <w:color w:val="auto"/>
              </w:rPr>
            </w:pPr>
            <w:r>
              <w:rPr>
                <w:rFonts w:ascii="Arial" w:cs="Arial" w:eastAsia="Arial" w:hAnsi="Arial"/>
                <w:sz w:val="18"/>
                <w:szCs w:val="18"/>
                <w:color w:val="auto"/>
              </w:rPr>
              <w:t>Interest Earning Assets: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gridSpan w:val="4"/>
          </w:tcPr>
          <w:p>
            <w:pPr>
              <w:jc w:val="right"/>
              <w:ind w:right="110"/>
              <w:spacing w:after="0"/>
              <w:rPr>
                <w:sz w:val="20"/>
                <w:szCs w:val="20"/>
                <w:color w:val="auto"/>
              </w:rPr>
            </w:pPr>
            <w:r>
              <w:rPr>
                <w:rFonts w:ascii="Arial" w:cs="Arial" w:eastAsia="Arial" w:hAnsi="Arial"/>
                <w:sz w:val="18"/>
                <w:szCs w:val="18"/>
                <w:color w:val="auto"/>
              </w:rPr>
              <w:t>Total 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to Volume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5"/>
          </w:tcPr>
          <w:p>
            <w:pPr>
              <w:jc w:val="right"/>
              <w:ind w:right="1080"/>
              <w:spacing w:after="0"/>
              <w:rPr>
                <w:sz w:val="20"/>
                <w:szCs w:val="20"/>
                <w:color w:val="auto"/>
              </w:rPr>
            </w:pPr>
            <w:r>
              <w:rPr>
                <w:rFonts w:ascii="Arial" w:cs="Arial" w:eastAsia="Arial" w:hAnsi="Arial"/>
                <w:sz w:val="18"/>
                <w:szCs w:val="18"/>
                <w:color w:val="auto"/>
                <w:w w:val="89"/>
              </w:rPr>
              <w:t>to Rate</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Fed funds sold &amp; other</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(484)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expense was lower for the first six months of 2020 compared to the first six months of 2019. At $6.1 million, the first six months of 2020 was down $725 thousand as compared to the same time period 2019 or 10.6%.</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average balance of interest-bearing liabilities was higher by $143.4 million in 2020 than the first six months of 2019. Interest bearing deposits increased $141.1 million while Fed Funds purchased, and securities sold under agreement to repurchase increased by $4.6 million. The higher balance coupled with the slight variation of the balance sheet mix, resulted in a 30 basis points decrease in the cost of funds at 1.06% for the first six months of 2020 as compared to 2019’s 1.36%.</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change chart below shows the decreased cost was driven more by rate than volume.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40" w:type="dxa"/>
            <w:vAlign w:val="bottom"/>
            <w:gridSpan w:val="5"/>
          </w:tcPr>
          <w:p>
            <w:pPr>
              <w:jc w:val="right"/>
              <w:ind w:right="650"/>
              <w:spacing w:after="0"/>
              <w:rPr>
                <w:sz w:val="20"/>
                <w:szCs w:val="20"/>
                <w:color w:val="auto"/>
              </w:rPr>
            </w:pPr>
            <w:r>
              <w:rPr>
                <w:rFonts w:ascii="Arial" w:cs="Arial" w:eastAsia="Arial" w:hAnsi="Arial"/>
                <w:sz w:val="18"/>
                <w:szCs w:val="18"/>
                <w:color w:val="auto"/>
              </w:rPr>
              <w:t>Year to Date Ended June 30, 2020</w:t>
            </w:r>
          </w:p>
        </w:tc>
        <w:tc>
          <w:tcPr>
            <w:tcW w:w="260" w:type="dxa"/>
            <w:vAlign w:val="bottom"/>
            <w:gridSpan w:val="2"/>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June 30, 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816,610</w:t>
            </w:r>
          </w:p>
        </w:tc>
        <w:tc>
          <w:tcPr>
            <w:tcW w:w="780" w:type="dxa"/>
            <w:vAlign w:val="bottom"/>
            <w:gridSpan w:val="3"/>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273,738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1,149,116</w:t>
            </w: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in Interest Expense Year to Date June 30, 2020 Compared to June 30, 2019</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9"/>
              </w:rPr>
              <w:t>Change Due</w:t>
            </w:r>
          </w:p>
        </w:tc>
        <w:tc>
          <w:tcPr>
            <w:tcW w:w="8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Total Change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to Volume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 Rate</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Other time deposits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Interest Income</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Overall, net interest spread figures for the first six months of 2020 were down from 2019 by 29 basis points and down 19 basis points from 2018. Net interest margin for the first six months of 2020 was lower than the same period 2019 and 2018. As the chart below illustrates, lower yields on interest and dividend income were only partially offset by lower interest expense resulting in total net interest margin down 36 basis points since the first six months of 2019 and under the first six months of 2018 by 11 basis points.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1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June 30, 2020</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June 30, 2019</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4.44%</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5.03%</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Interest Expense/cost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3.38%</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3.67%</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Net interest income was up $1.3 million in the first six months of 2020 over the same time frame in 2019 due to the increase in loan income and lower interest expense as previously mentioned. New loans added in 2019 and 2020 will continue to generate more income, while deposit pressure is expected to continue to increase on the expense side.</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Results of Noninterest Earnings and Expenses for six month periods ended June 30, 2020 and 2019</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 Expense</w:t>
      </w:r>
    </w:p>
    <w:p>
      <w:pPr>
        <w:spacing w:after="0" w:line="198"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Total provision for loan losses was $2.8 million higher for the first six months 2020 than for the first six months 2019 attributable primarily to the uncertainties associated with COVID-19 and its effects on the ability of individuals, businesses and other entities to meet their financial obligations. Therefore, it is prudent to incorporate the impact of COVID-19 in the evaluation of the adequacy of Allowance for Loan and Lease Losses (ALLL). Due to the governors’ prior closure of non-essential businesses in many states, including restaurants (except for carryout and delivery), hair salons, and retail establishments, the risk in those industries has increased. The restaurant and hospitality sectors have been hit especially hard. Risk in the Consumer and 1-4 Family Portfolio has increased but the full impact remains unknown. Increases to the Bank’s ALLL for the first six months of 2020, centered around current customers and businesses that are particularly vulnerable due to the stay at home order and qualitative factors, were adjusted accordingly. Management continues to monitor asset quality, making adjustments to the provision as necessary. Loan charge-offs were $66 thousand higher in the first six months of 2020 compared to the same period 2019. Recoveries were $27 thousand higher in the first half of 2020 as compared to first half of 2019. Combined net charge-offs were $39 thousand higher in the six months ended June 2020 as compared to the same time period 2019. Management continues to evaluate the potential financial implications resulting from COVID-19 and adjusts ALLL qualitative factors as necessary.</w:t>
      </w:r>
    </w:p>
    <w:p>
      <w:pPr>
        <w:spacing w:after="0" w:line="12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six months ended June 30, 2020, 2019, and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Six Months 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center"/>
              <w:ind w:right="600"/>
              <w:spacing w:after="0"/>
              <w:rPr>
                <w:sz w:val="20"/>
                <w:szCs w:val="20"/>
                <w:color w:val="auto"/>
              </w:rPr>
            </w:pPr>
            <w:r>
              <w:rPr>
                <w:rFonts w:ascii="Arial" w:cs="Arial" w:eastAsia="Arial" w:hAnsi="Arial"/>
                <w:sz w:val="18"/>
                <w:szCs w:val="18"/>
                <w:color w:val="auto"/>
                <w:w w:val="91"/>
              </w:rPr>
              <w:t>Six Months Ended</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Six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center"/>
              <w:ind w:right="620"/>
              <w:spacing w:after="0"/>
              <w:rPr>
                <w:sz w:val="20"/>
                <w:szCs w:val="20"/>
                <w:color w:val="auto"/>
              </w:rPr>
            </w:pPr>
            <w:r>
              <w:rPr>
                <w:rFonts w:ascii="Arial" w:cs="Arial" w:eastAsia="Arial" w:hAnsi="Arial"/>
                <w:sz w:val="18"/>
                <w:szCs w:val="18"/>
                <w:color w:val="auto"/>
                <w:w w:val="87"/>
              </w:rPr>
              <w:t>June 30, 2019</w:t>
            </w: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June 30, 2018</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1,344,723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831,015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1,279,127</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1,107,649</w:t>
            </w:r>
          </w:p>
        </w:tc>
        <w:tc>
          <w:tcPr>
            <w:tcW w:w="1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829,545</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7,228</w:t>
            </w:r>
          </w:p>
        </w:tc>
        <w:tc>
          <w:tcPr>
            <w:tcW w:w="1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6,775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Loan &amp; Lease Losses - June 30,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9,933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&amp; Letters of Credit - June 30,</w:t>
            </w:r>
          </w:p>
        </w:tc>
        <w:tc>
          <w:tcPr>
            <w:tcW w:w="1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June 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2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117.24%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375.51%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751.49%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20" w:hanging="370"/>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5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comparing past due balances of loans 30+ days, June 30, 2020 balances were $3.6 million as compared to June 30, 2019 balances of $4.4 million. Net charge-offs were also slightly higher at $294 thousand for the first six months of 2020 compared to the first six months of 2019’s $255 thousand.</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Income</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Noninterest income for the first six months 2020 increased over the first six months of 2019 by $772 thousand. Combined service fees increased by $189 thousand with increased debit card income of $195 thousand, servicing rights income of $348 thousand and mortgage release fees of $217 thousand. Overdraft and returned check income decreased $352 thousand and miscellaneous service fees decreased $178 thousand. Gain on sale of loans showed a $293 thousand increase over the first six months of 2019. The Company did sell some of its available-for-sale securities in first quarter 2020 and recognized a gain of $270 thousand.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Expense</w:t>
      </w:r>
    </w:p>
    <w:p>
      <w:pPr>
        <w:spacing w:after="0" w:line="185"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Through the first six months of 2020, noninterest expenses were $134 thousand lower than in the first six months of 2019. 2019 included $1.3 million of third party acquisition related costs incurred with the Limberlost transaction. The first half of 2020 included an increase of $176 thousand in salaries and wages in addition to an increase of $78 thousand in employee benefits. The addition of the acquired offices, normal merit increases, increased restricted stock expense, increased medical costs and increased employer taxes related to the vesting of restricted stock awards have impacted 2020. 2019 included acquisition costs in these categories of $145 thousand.</w:t>
      </w:r>
    </w:p>
    <w:p>
      <w:pPr>
        <w:spacing w:after="0" w:line="149"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Data processing fees were $825 thousand lower than last year with $868 thousand of the decrease acquisition related. A seven year contract extension was signed in the third quarter of 2016 which has helped reduce the expense while adding new products and services to better align with our customers’ expectations in the coming years. We have already added additional products in 2020, mainly focused on mobile services and business deposit accounts. Furniture and equipment was $49 thousand higher than 2019. Increased depreciation for new offices and office transformations, along with decreased maintenance costs have led to this expense to increase over 2019.</w:t>
      </w:r>
    </w:p>
    <w:p>
      <w:pPr>
        <w:spacing w:after="0" w:line="136"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General and administrative expenses were up only $11 thousand over the first six months of 2019. Acquisition costs of $182 thousand were included in this line for 2019. The largest increase was $97 thousand for audit, accounting and exam fees. Miscellaneous NSF expenses were $46 thousand more than 2019. The largest decrease for 2020 was in legal expenses. These two line items on the income statement were down by $74 thousand over the first six months of 2019. During the first half of 2019, legal acquisition expenses were $96 thousand. Travel and convention expenses were down $48 thousand as compared to 2019.</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Income Taxes</w:t>
      </w:r>
    </w:p>
    <w:p>
      <w:pPr>
        <w:spacing w:after="0" w:line="185"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Federal income tax expense was $118 thousand lower for the first six months of 2020 compared to the first six months of 2019. Effective tax rates were 18.92% and 18.94% for the first six months of 2020 and 2019 respectively. The slightly lower effective tax rate for the first half of 2020 equaled a decrease in federal income tax expense of $2 thousand with the remainder of the decrease driven from decreased earnings.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Income</w:t>
      </w:r>
    </w:p>
    <w:p>
      <w:pPr>
        <w:spacing w:after="0" w:line="19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Overall, net income through the first six months of 2020 was down $495 thousand as compared to the first six months of 2019. Provision for loan loss, which increased $2.8 million for the first half of 2020 as compared to the first half of 2019, was the largest contributor to the decreased net income.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ind w:right="168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6"/>
          </w:tcPr>
          <w:p>
            <w:pPr>
              <w:jc w:val="center"/>
              <w:ind w:right="1500"/>
              <w:spacing w:after="0"/>
              <w:rPr>
                <w:sz w:val="20"/>
                <w:szCs w:val="20"/>
                <w:color w:val="auto"/>
              </w:rPr>
            </w:pPr>
            <w:r>
              <w:rPr>
                <w:rFonts w:ascii="Arial" w:cs="Arial" w:eastAsia="Arial" w:hAnsi="Arial"/>
                <w:sz w:val="18"/>
                <w:szCs w:val="18"/>
                <w:color w:val="auto"/>
                <w:w w:val="88"/>
              </w:rPr>
              <w:t>Interest Rate Shock</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6"/>
          </w:tcPr>
          <w:p>
            <w:pPr>
              <w:jc w:val="center"/>
              <w:ind w:right="1320"/>
              <w:spacing w:after="0"/>
              <w:rPr>
                <w:sz w:val="20"/>
                <w:szCs w:val="20"/>
                <w:color w:val="auto"/>
              </w:rPr>
            </w:pPr>
            <w:r>
              <w:rPr>
                <w:rFonts w:ascii="Arial" w:cs="Arial" w:eastAsia="Arial" w:hAnsi="Arial"/>
                <w:sz w:val="18"/>
                <w:szCs w:val="18"/>
                <w:color w:val="auto"/>
                <w:w w:val="89"/>
              </w:rPr>
              <w:t>Interest Rate Shock</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3020" w:type="dxa"/>
            <w:vAlign w:val="bottom"/>
            <w:gridSpan w:val="7"/>
          </w:tcPr>
          <w:p>
            <w:pPr>
              <w:jc w:val="center"/>
              <w:ind w:right="1380"/>
              <w:spacing w:after="0" w:line="196" w:lineRule="exact"/>
              <w:rPr>
                <w:sz w:val="20"/>
                <w:szCs w:val="20"/>
                <w:color w:val="auto"/>
              </w:rPr>
            </w:pPr>
            <w:r>
              <w:rPr>
                <w:rFonts w:ascii="Arial" w:cs="Arial" w:eastAsia="Arial" w:hAnsi="Arial"/>
                <w:sz w:val="18"/>
                <w:szCs w:val="18"/>
                <w:color w:val="auto"/>
                <w:w w:val="92"/>
              </w:rPr>
              <w:t>on Net Interest Margin</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60" w:type="dxa"/>
            <w:vAlign w:val="bottom"/>
            <w:gridSpan w:val="7"/>
          </w:tcPr>
          <w:p>
            <w:pPr>
              <w:jc w:val="center"/>
              <w:ind w:right="1200"/>
              <w:spacing w:after="0" w:line="196" w:lineRule="exact"/>
              <w:rPr>
                <w:sz w:val="20"/>
                <w:szCs w:val="20"/>
                <w:color w:val="auto"/>
              </w:rPr>
            </w:pPr>
            <w:r>
              <w:rPr>
                <w:rFonts w:ascii="Arial" w:cs="Arial" w:eastAsia="Arial" w:hAnsi="Arial"/>
                <w:sz w:val="18"/>
                <w:szCs w:val="18"/>
                <w:color w:val="auto"/>
                <w:w w:val="91"/>
              </w:rPr>
              <w:t>on Net Interest Income</w:t>
            </w:r>
          </w:p>
        </w:tc>
      </w:tr>
      <w:tr>
        <w:trPr>
          <w:trHeight w:val="20"/>
        </w:trPr>
        <w:tc>
          <w:tcPr>
            <w:tcW w:w="10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49"/>
        </w:trPr>
        <w:tc>
          <w:tcPr>
            <w:tcW w:w="204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Net Interest</w:t>
            </w:r>
          </w:p>
        </w:tc>
        <w:tc>
          <w:tcPr>
            <w:tcW w:w="204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 Change to</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Rate</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Rate</w:t>
            </w:r>
          </w:p>
        </w:tc>
        <w:tc>
          <w:tcPr>
            <w:tcW w:w="204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Cumulative</w:t>
            </w:r>
          </w:p>
        </w:tc>
        <w:tc>
          <w:tcPr>
            <w:tcW w:w="19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 Change to</w:t>
            </w:r>
          </w:p>
        </w:tc>
      </w:tr>
      <w:tr>
        <w:trPr>
          <w:trHeight w:val="230"/>
        </w:trPr>
        <w:tc>
          <w:tcPr>
            <w:tcW w:w="2040" w:type="dxa"/>
            <w:vAlign w:val="bottom"/>
            <w:gridSpan w:val="4"/>
          </w:tcPr>
          <w:p>
            <w:pPr>
              <w:jc w:val="center"/>
              <w:ind w:right="280"/>
              <w:spacing w:after="0"/>
              <w:rPr>
                <w:sz w:val="20"/>
                <w:szCs w:val="20"/>
                <w:color w:val="auto"/>
              </w:rPr>
            </w:pPr>
            <w:r>
              <w:rPr>
                <w:rFonts w:ascii="Arial" w:cs="Arial" w:eastAsia="Arial" w:hAnsi="Arial"/>
                <w:sz w:val="18"/>
                <w:szCs w:val="18"/>
                <w:color w:val="auto"/>
                <w:w w:val="94"/>
              </w:rPr>
              <w:t>Margin (Ratio)</w:t>
            </w:r>
          </w:p>
        </w:tc>
        <w:tc>
          <w:tcPr>
            <w:tcW w:w="204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Flat Rate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Direction</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Changes by</w:t>
            </w:r>
          </w:p>
        </w:tc>
        <w:tc>
          <w:tcPr>
            <w:tcW w:w="204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Total ($000)</w:t>
            </w:r>
          </w:p>
        </w:tc>
        <w:tc>
          <w:tcPr>
            <w:tcW w:w="19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Flat Rate</w:t>
            </w:r>
          </w:p>
        </w:tc>
      </w:tr>
      <w:tr>
        <w:trPr>
          <w:trHeight w:val="223"/>
        </w:trPr>
        <w:tc>
          <w:tcPr>
            <w:tcW w:w="1180" w:type="dxa"/>
            <w:vAlign w:val="bottom"/>
            <w:tcBorders>
              <w:top w:val="single" w:sz="8" w:color="auto"/>
            </w:tcBorders>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3.08%</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2"/>
              </w:rPr>
              <w:t>-18.42%</w:t>
            </w:r>
          </w:p>
        </w:tc>
        <w:tc>
          <w:tcPr>
            <w:tcW w:w="3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3.00%</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47,590</w:t>
            </w: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-20.05%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3.27%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2"/>
              </w:rPr>
              <w:t>-13.31%</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Rising</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51,055</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-14.23%</w:t>
            </w:r>
          </w:p>
        </w:tc>
        <w:tc>
          <w:tcPr>
            <w:tcW w:w="100" w:type="dxa"/>
            <w:vAlign w:val="bottom"/>
          </w:tcPr>
          <w:p>
            <w:pPr>
              <w:spacing w:after="0"/>
              <w:rPr>
                <w:sz w:val="19"/>
                <w:szCs w:val="19"/>
                <w:color w:val="auto"/>
              </w:rPr>
            </w:pPr>
          </w:p>
        </w:tc>
      </w:tr>
      <w:tr>
        <w:trPr>
          <w:trHeight w:val="230"/>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3.48%</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-7.73%</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5"/>
              </w:rPr>
              <w:t>Rising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54,715</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-8.08%</w:t>
            </w:r>
          </w:p>
        </w:tc>
        <w:tc>
          <w:tcPr>
            <w:tcW w:w="100" w:type="dxa"/>
            <w:vAlign w:val="bottom"/>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3.77%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0.00%</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Flat</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59,524</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29"/>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3.65%</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-3.29%</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8"/>
              </w:rPr>
              <w:t>Falling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58,580</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-1.59%</w:t>
            </w:r>
          </w:p>
        </w:tc>
        <w:tc>
          <w:tcPr>
            <w:tcW w:w="100" w:type="dxa"/>
            <w:vAlign w:val="bottom"/>
            <w:shd w:val="clear" w:color="auto" w:fill="CFF0FC"/>
          </w:tcPr>
          <w:p>
            <w:pPr>
              <w:spacing w:after="0"/>
              <w:rPr>
                <w:sz w:val="19"/>
                <w:szCs w:val="19"/>
                <w:color w:val="auto"/>
              </w:rPr>
            </w:pPr>
          </w:p>
        </w:tc>
      </w:tr>
      <w:tr>
        <w:trPr>
          <w:trHeight w:val="230"/>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3.45%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-8.58%</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Falling</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56,270</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1"/>
              </w:rPr>
              <w:t>-5.47%</w:t>
            </w:r>
          </w:p>
        </w:tc>
        <w:tc>
          <w:tcPr>
            <w:tcW w:w="100" w:type="dxa"/>
            <w:vAlign w:val="bottom"/>
          </w:tcPr>
          <w:p>
            <w:pPr>
              <w:spacing w:after="0"/>
              <w:rPr>
                <w:sz w:val="19"/>
                <w:szCs w:val="19"/>
                <w:color w:val="auto"/>
              </w:rPr>
            </w:pPr>
          </w:p>
        </w:tc>
      </w:tr>
      <w:tr>
        <w:trPr>
          <w:trHeight w:val="229"/>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3.23%</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2"/>
              </w:rPr>
              <w:t>-14.39%</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8"/>
              </w:rPr>
              <w:t>Falling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53,587</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-9.97%</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year with the Limberlost acquisition, the Bank has experienced an increase in the time balances of our deposit portfolio, and therefore, an increase of term funding. Over the past two years, the Bank has also paid off term borrowings with the last $5 million maturing December 2018; however, additional borrowings were a part of the Limberlost acquisition in 2019.</w:t>
      </w:r>
    </w:p>
    <w:p>
      <w:pPr>
        <w:spacing w:after="0" w:line="151"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shock chart currently shows a tightening in net interest margin over the next twelve months in both a rising rate and falling rate environment. Due to the existence of such a low rate environment, the model does not predict expansion of net interest margin at any level. Cost of funds are at 0.91% for the quarter and 1.05% for the year so the lowest shock of 100 basis points is where the Bank can take full advantage and reprice funds to match the level of shock. Once the shocks are falling over 100 basis points, the cost of funds cannot lower to match and the loss on net interest income continues to build. The negative impact in a rising rate environment is partially caused by a timing issue on the ability to reprice assets as quickly as liabilities.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As of June 30, 2020,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June 30, 2020 . There have been no changes in the Company's internal control over financial reporting that occurred during the quarter ended June 30, 2020 that have materially affected, or are reasonably likely to materially affect, the Company's internal control over financial reporting.</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Except as otherwise provided below, 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2019.</w:t>
      </w:r>
    </w:p>
    <w:p>
      <w:pPr>
        <w:spacing w:after="0" w:line="126"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b w:val="1"/>
          <w:bCs w:val="1"/>
          <w:color w:val="212529"/>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53"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December 2019, a novel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 state and local governments have ordered non-essential businesses to close and residents to shelter in place at home. This has resulted in an unprecedented slow-down in economic activity and a related increase in unemployment. Since the COVID-19 outbreak, more than 22 million people have filed claims for unemployment, and stock markets have declined in value and, in particular, bank stocks have significantly declined in value. In response to the COVID-19 outbreak, the Federal Reserve Board has reduced the benchmark fed funds rate to a target range of 0% to 0.25%, and the yields on 10 and 30-year treasury notes have declined to historic lows. The federal banking agencies have encouraged financial institutions to prudently work with affected borrowers and recently passed legislation to provide relief from reporting loan classifications due to modifications related to the COVID-19 outbreak.</w:t>
      </w:r>
    </w:p>
    <w:p>
      <w:pPr>
        <w:spacing w:after="0" w:line="14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Finally, the spread of the coronavirus has caused us to modify our business practices, including employee travel, employee work locations, and cancellation of physical participation in meetings, events and conferences. We may take further actions as may be required by government authorities or that we determine are in the best interests of our employees, customers and business partners. There is no certainty that such measures will be sufficient to mitigate the risks posed by the virus or will otherwise be satisfactory to government authorities. In addition, the success of our operations substantially depends on the management skills of our executive officers and directors, many of whom have held officer and director positions with us for many years. The unanticipated loss or unavailability of key employees due to the outbreak could harm our ability to operate our business or execute our business strategy.</w:t>
      </w:r>
    </w:p>
    <w:p>
      <w:pPr>
        <w:spacing w:after="0" w:line="137"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Given the ongoing and dynamic nature of the circumstances, it is difficult to predict the full impact of the COVID-19 outbreak on our business. The United States government has taken steps to attempt to mitigate some of the more severe anticipated economic effects of the virus, including the passage of the CARES Act, but there can be no assurance that such steps will be effective or achieve their desired results in a timely fashion. The extent of such impact from the COVID-19 outbreak and related mitigation efforts will depend on future developments, which are highly uncertain, including but not limited to, the duration and spread of the outbreak, its severity, the actions to contain the virus or treat its impact, and how quickly and to what extent normal economic and operating conditions can resume. As the result, we could be subject to any of the following risks, any of which could have a material, adverse effect on our business, financial condition, liquidity, and results of operations:</w:t>
      </w:r>
    </w:p>
    <w:p>
      <w:pPr>
        <w:spacing w:after="0" w:line="139" w:lineRule="exact"/>
        <w:rPr>
          <w:sz w:val="20"/>
          <w:szCs w:val="20"/>
          <w:color w:val="auto"/>
        </w:rPr>
      </w:pPr>
    </w:p>
    <w:p>
      <w:pPr>
        <w:ind w:left="1500" w:hanging="372"/>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for our products and services may decline, making it difficult to grow assets and income;</w:t>
      </w:r>
    </w:p>
    <w:p>
      <w:pPr>
        <w:spacing w:after="0" w:line="11" w:lineRule="exact"/>
        <w:rPr>
          <w:rFonts w:ascii="Arial" w:cs="Arial" w:eastAsia="Arial" w:hAnsi="Arial"/>
          <w:sz w:val="18"/>
          <w:szCs w:val="18"/>
          <w:color w:val="auto"/>
        </w:rPr>
      </w:pPr>
    </w:p>
    <w:p>
      <w:pPr>
        <w:ind w:left="1500" w:hanging="372"/>
        <w:spacing w:after="0" w:line="288" w:lineRule="auto"/>
        <w:tabs>
          <w:tab w:leader="none" w:pos="1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economy is unable to substantially reopen, and high levels of unemployment continue for an extended period of time, loan delinquencies, problem assets, and foreclosures may increase, resulting in increased charges and reduced income;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ind w:left="920" w:hanging="372"/>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collateral for loans, especially real estate, may decline in value, which could cause loan losses to increase;</w:t>
      </w:r>
    </w:p>
    <w:p>
      <w:pPr>
        <w:spacing w:after="0" w:line="23" w:lineRule="exact"/>
        <w:rPr>
          <w:rFonts w:ascii="Arial" w:cs="Arial" w:eastAsia="Arial" w:hAnsi="Arial"/>
          <w:sz w:val="18"/>
          <w:szCs w:val="18"/>
          <w:color w:val="auto"/>
        </w:rPr>
      </w:pPr>
    </w:p>
    <w:p>
      <w:pPr>
        <w:ind w:left="920" w:hanging="372"/>
        <w:spacing w:after="0" w:line="250"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allowance for loan losses may have to be increased if borrowers experience financial difficulties beyond forbearance periods, which will adversely affect our net income;</w:t>
      </w:r>
    </w:p>
    <w:p>
      <w:pPr>
        <w:ind w:left="920" w:hanging="372"/>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9" w:lineRule="exact"/>
        <w:rPr>
          <w:rFonts w:ascii="Arial" w:cs="Arial" w:eastAsia="Arial" w:hAnsi="Arial"/>
          <w:sz w:val="18"/>
          <w:szCs w:val="18"/>
          <w:color w:val="auto"/>
        </w:rPr>
      </w:pPr>
    </w:p>
    <w:p>
      <w:pPr>
        <w:ind w:left="920" w:hanging="372"/>
        <w:spacing w:after="0" w:line="281"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the result of the decline in the Federal Reserve Board’s target federal funds rate, the yield on our assets may decline to a greater extent than the decline in our cost of interest-bearing liabilities, reducing our net interest margin and spread and reducing net income;</w:t>
      </w:r>
    </w:p>
    <w:p>
      <w:pPr>
        <w:spacing w:after="0" w:line="1" w:lineRule="exact"/>
        <w:rPr>
          <w:rFonts w:ascii="Arial" w:cs="Arial" w:eastAsia="Arial" w:hAnsi="Arial"/>
          <w:sz w:val="16"/>
          <w:szCs w:val="16"/>
          <w:color w:val="auto"/>
        </w:rPr>
      </w:pPr>
    </w:p>
    <w:p>
      <w:pPr>
        <w:ind w:left="920" w:hanging="372"/>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material decrease in net income or a net loss over several quarters could result in a decrease in the rate of our quarterly cash dividend;</w:t>
      </w:r>
    </w:p>
    <w:p>
      <w:pPr>
        <w:spacing w:after="0" w:line="32" w:lineRule="exact"/>
        <w:rPr>
          <w:rFonts w:ascii="Arial" w:cs="Arial" w:eastAsia="Arial" w:hAnsi="Arial"/>
          <w:sz w:val="16"/>
          <w:szCs w:val="16"/>
          <w:color w:val="auto"/>
        </w:rPr>
      </w:pPr>
    </w:p>
    <w:p>
      <w:pPr>
        <w:ind w:left="920" w:right="20" w:hanging="372"/>
        <w:spacing w:after="0" w:line="250"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rely on third party vendors for certain services and the unavailability of a critical service due to the COVID-19 outbreak could have an adverse effect on us; and</w:t>
      </w:r>
    </w:p>
    <w:p>
      <w:pPr>
        <w:ind w:left="920" w:hanging="372"/>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5715</wp:posOffset>
            </wp:positionV>
            <wp:extent cx="66522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52260" cy="154305"/>
                    </a:xfrm>
                    <a:prstGeom prst="rect">
                      <a:avLst/>
                    </a:prstGeom>
                    <a:noFill/>
                  </pic:spPr>
                </pic:pic>
              </a:graphicData>
            </a:graphic>
          </wp:anchor>
        </w:drawing>
      </w:r>
    </w:p>
    <w:p>
      <w:pPr>
        <w:spacing w:after="0" w:line="39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Any one or a combination of the factors identified above could negatively impact our business, financial condition and results of operations and prospects. Even after the COVID-19 outbreak has subsided, we may continue to experience materially adverse impacts to our business as a result of the virus’s global economic impact, including the availability of credit, adverse impacts on our liquidity and any recession that has occurred or may occur in the future.</w:t>
      </w:r>
    </w:p>
    <w:p>
      <w:pPr>
        <w:spacing w:after="0" w:line="160" w:lineRule="exact"/>
        <w:rPr>
          <w:sz w:val="20"/>
          <w:szCs w:val="20"/>
          <w:color w:val="auto"/>
        </w:rPr>
      </w:pPr>
    </w:p>
    <w:p>
      <w:pPr>
        <w:ind w:left="180" w:right="3800"/>
        <w:spacing w:after="0" w:line="481" w:lineRule="auto"/>
        <w:rPr>
          <w:sz w:val="20"/>
          <w:szCs w:val="20"/>
          <w:color w:val="auto"/>
        </w:rPr>
      </w:pPr>
      <w:r>
        <w:rPr>
          <w:rFonts w:ascii="Arial" w:cs="Arial" w:eastAsia="Arial" w:hAnsi="Arial"/>
          <w:sz w:val="18"/>
          <w:szCs w:val="18"/>
          <w:color w:val="auto"/>
        </w:rPr>
        <w:t>ITEM 2 UNREGISTERED SALES OF EQUITY SECURITIES AND USE OF PROCEEDS Treasury stock repurchased the quarter ended June 30,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3"/>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8"/>
              </w:rPr>
              <w:t>of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85"/>
              </w:rPr>
              <w:t>Purchased 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r>
      <w:tr>
        <w:trPr>
          <w:trHeight w:val="216"/>
        </w:trPr>
        <w:tc>
          <w:tcPr>
            <w:tcW w:w="2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24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(a) Total Number of</w:t>
            </w:r>
          </w:p>
        </w:tc>
        <w:tc>
          <w:tcPr>
            <w:tcW w:w="30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w w:val="94"/>
              </w:rPr>
              <w:t>(b) Average Price</w:t>
            </w: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2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Shares Purchased</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Paid per Share</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 xml:space="preserve">or Programs </w:t>
            </w:r>
            <w:r>
              <w:rPr>
                <w:rFonts w:ascii="Arial" w:cs="Arial" w:eastAsia="Arial" w:hAnsi="Arial"/>
                <w:sz w:val="15"/>
                <w:szCs w:val="15"/>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4/1/2020 to 4/30/2020</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545,000</w:t>
            </w:r>
          </w:p>
        </w:tc>
      </w:tr>
      <w:tr>
        <w:trPr>
          <w:trHeight w:val="230"/>
        </w:trPr>
        <w:tc>
          <w:tcPr>
            <w:tcW w:w="2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5/1/2020 to 5/31/2020</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545,000</w:t>
            </w:r>
          </w:p>
        </w:tc>
      </w:tr>
      <w:tr>
        <w:trPr>
          <w:trHeight w:val="230"/>
        </w:trPr>
        <w:tc>
          <w:tcPr>
            <w:tcW w:w="2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6/1/2020 to 6/30/2020</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3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tcBorders>
              <w:bottom w:val="single" w:sz="8" w:color="auto"/>
            </w:tcBorders>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545,000</w:t>
            </w:r>
          </w:p>
        </w:tc>
      </w:tr>
      <w:tr>
        <w:trPr>
          <w:trHeight w:val="22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545,000</w:t>
            </w:r>
          </w:p>
        </w:tc>
      </w:tr>
    </w:tbl>
    <w:p>
      <w:pPr>
        <w:spacing w:after="0" w:line="229" w:lineRule="exact"/>
        <w:rPr>
          <w:sz w:val="20"/>
          <w:szCs w:val="20"/>
          <w:color w:val="auto"/>
        </w:rPr>
      </w:pPr>
    </w:p>
    <w:p>
      <w:pPr>
        <w:jc w:val="both"/>
        <w:ind w:left="540" w:hanging="370"/>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17, 2020. On that date, the Board of Directors authorized the repurchase of 550,000 common shares between January 17, 2020 and December 31, 2020.</w:t>
      </w:r>
    </w:p>
    <w:p>
      <w:pPr>
        <w:spacing w:after="0" w:line="2" w:lineRule="exact"/>
        <w:rPr>
          <w:rFonts w:ascii="Arial" w:cs="Arial" w:eastAsia="Arial" w:hAnsi="Arial"/>
          <w:sz w:val="18"/>
          <w:szCs w:val="18"/>
          <w:color w:val="auto"/>
        </w:rPr>
      </w:pPr>
    </w:p>
    <w:p>
      <w:pPr>
        <w:ind w:left="540" w:hanging="370"/>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which were repurchased for taxes on vested stock awards are outside of this program.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36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520" w:type="dxa"/>
            <w:vAlign w:val="bottom"/>
            <w:gridSpan w:val="6"/>
          </w:tcPr>
          <w:p>
            <w:pPr>
              <w:ind w:left="40"/>
              <w:spacing w:after="0"/>
              <w:rPr>
                <w:sz w:val="20"/>
                <w:szCs w:val="20"/>
                <w:color w:val="auto"/>
              </w:rPr>
            </w:pPr>
            <w:r>
              <w:rPr>
                <w:rFonts w:ascii="Arial" w:cs="Arial" w:eastAsia="Arial" w:hAnsi="Arial"/>
                <w:sz w:val="18"/>
                <w:szCs w:val="18"/>
                <w:color w:val="auto"/>
              </w:rPr>
              <w:t>ITEM 6 EXHIBITS</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100" w:type="dxa"/>
            <w:vAlign w:val="bottom"/>
            <w:tcBorders>
              <w:bottom w:val="single" w:sz="8" w:color="0000EE"/>
            </w:tcBorders>
            <w:gridSpan w:val="5"/>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Amended Articles of Incorporation of the Registrant (incorporated by reference to Exhibit 3.1 to Registrant’s Quarterly Report on Form 10-</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Q filed with the Commission on October 25, 2017).</w:t>
              </w:r>
            </w:hyperlink>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20" w:type="dxa"/>
            <w:vAlign w:val="bottom"/>
          </w:tcPr>
          <w:p>
            <w:pPr>
              <w:spacing w:after="0"/>
              <w:rPr>
                <w:sz w:val="17"/>
                <w:szCs w:val="17"/>
                <w:color w:val="auto"/>
              </w:rPr>
            </w:pPr>
          </w:p>
        </w:tc>
        <w:tc>
          <w:tcPr>
            <w:tcW w:w="10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Form 10-Q filed with the Commission on July 26, 2017).</w:t>
              </w:r>
            </w:hyperlink>
          </w:p>
        </w:tc>
        <w:tc>
          <w:tcPr>
            <w:tcW w:w="5980" w:type="dxa"/>
            <w:vAlign w:val="bottom"/>
            <w:gridSpan w:val="2"/>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4</w:t>
            </w: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Description of Registrant’s Common Stock (incorporated by reference to Exhibit 4.1 to Registrant's Annual Report on Form 10-K filed with</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the Commission on February 26, 2020).</w:t>
              </w:r>
            </w:hyperlink>
          </w:p>
        </w:tc>
        <w:tc>
          <w:tcPr>
            <w:tcW w:w="72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Rule 13-a-14(a) Certification - CEO</w:t>
              </w:r>
            </w:hyperlink>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1"/>
                <w:szCs w:val="21"/>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Rule 13-a-14(a) Certification - CFO</w:t>
              </w:r>
            </w:hyperlink>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1"/>
                <w:szCs w:val="21"/>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Section 1350 Certification - CEO</w:t>
              </w:r>
            </w:hyperlink>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1"/>
                <w:szCs w:val="21"/>
                <w:color w:val="auto"/>
              </w:rPr>
            </w:pPr>
          </w:p>
        </w:tc>
        <w:tc>
          <w:tcPr>
            <w:tcW w:w="1010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Section 1350 Certification - CFO</w:t>
              </w:r>
            </w:hyperlink>
          </w:p>
        </w:tc>
      </w:tr>
      <w:tr>
        <w:trPr>
          <w:trHeight w:val="472"/>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 xml:space="preserve">within the Inline XBRL document. </w:t>
            </w:r>
            <w:r>
              <w:rPr>
                <w:rFonts w:ascii="Arial" w:cs="Arial" w:eastAsia="Arial" w:hAnsi="Arial"/>
                <w:sz w:val="15"/>
                <w:szCs w:val="15"/>
                <w:color w:val="auto"/>
              </w:rPr>
              <w:t>(1)</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2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2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20" w:type="dxa"/>
            <w:vAlign w:val="bottom"/>
          </w:tcPr>
          <w:p>
            <w:pPr>
              <w:spacing w:after="0"/>
              <w:rPr>
                <w:sz w:val="21"/>
                <w:szCs w:val="21"/>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r>
    </w:tbl>
    <w:p>
      <w:pPr>
        <w:spacing w:after="0" w:line="13" w:lineRule="exact"/>
        <w:rPr>
          <w:sz w:val="20"/>
          <w:szCs w:val="20"/>
          <w:color w:val="auto"/>
        </w:rPr>
      </w:pPr>
    </w:p>
    <w:p>
      <w:pPr>
        <w:ind w:left="1140" w:hanging="1132"/>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2020,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8"/>
        <w:spacing w:after="0" w:line="263" w:lineRule="auto"/>
        <w:tabs>
          <w:tab w:leader="none" w:pos="230" w:val="left"/>
        </w:tabs>
        <w:numPr>
          <w:ilvl w:val="0"/>
          <w:numId w:val="32"/>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July 29, 2020</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Lars B. Eller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Lars B. Eller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July 29, 2020</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Barbara J. Britenriker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Barbara J. Britenriker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6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July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July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2020,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July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2020,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July 29,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3"/>
    </w:lvl>
    <w:lvl w:ilvl="1">
      <w:lvlJc w:val="left"/>
      <w:lvlText w:val="%2."/>
      <w:numFmt w:val="lowerLetter"/>
      <w:start w:val="1"/>
    </w:lvl>
  </w:abstractNum>
  <w:abstractNum w:abstractNumId="11">
    <w:nsid w:val="75A2A8D4"/>
    <w:multiLevelType w:val="hybridMultilevel"/>
    <w:lvl w:ilvl="0">
      <w:lvlJc w:val="left"/>
      <w:lvlText w:val="%1."/>
      <w:numFmt w:val="decimal"/>
      <w:start w:val="8"/>
    </w:lvl>
    <w:lvl w:ilvl="1">
      <w:lvlJc w:val="left"/>
      <w:lvlText w:val="%2."/>
      <w:numFmt w:val="lowerLetter"/>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o"/>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04"/>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3" Type="http://schemas.openxmlformats.org/officeDocument/2006/relationships/image" Target="media/image113.png"/><Relationship Id="rId120" Type="http://schemas.openxmlformats.org/officeDocument/2006/relationships/hyperlink" Target="http://www.sec.gov/Archives/edgar/data/792966/000119312517318709/d447990d10q.htm" TargetMode="External"/><Relationship Id="rId121" Type="http://schemas.openxmlformats.org/officeDocument/2006/relationships/hyperlink" Target="http://www.sec.gov/Archives/edgar/data/792966/000119312517235925/d422994d10q.htm" TargetMode="External"/><Relationship Id="rId122" Type="http://schemas.openxmlformats.org/officeDocument/2006/relationships/hyperlink" Target="http://www.sec.gov/Archives/edgar/data/792966/000156459020006695/fmao-10k_2019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2020-07-29T12:55:12Z</dcterms:created>
  <dcterms:modified xsi:type="dcterms:W3CDTF">2020-07-29T12:55:12Z</dcterms:modified>
</cp:coreProperties>
</file>